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仿宋" w:hAnsi="仿宋" w:eastAsia="仿宋" w:cstheme="minorBidi"/>
          <w:b w:val="0"/>
          <w:bCs w:val="0"/>
          <w:color w:val="auto"/>
          <w:kern w:val="2"/>
          <w:sz w:val="24"/>
          <w:szCs w:val="24"/>
          <w:lang w:val="zh-CN"/>
        </w:rPr>
        <w:id w:val="1672597755"/>
      </w:sdtPr>
      <w:sdtEndPr>
        <w:rPr>
          <w:rFonts w:ascii="仿宋" w:hAnsi="仿宋" w:eastAsia="仿宋" w:cstheme="minorBidi"/>
          <w:b w:val="0"/>
          <w:bCs w:val="0"/>
          <w:color w:val="auto"/>
          <w:kern w:val="2"/>
          <w:sz w:val="24"/>
          <w:szCs w:val="24"/>
          <w:lang w:val="zh-CN"/>
        </w:rPr>
      </w:sdtEndPr>
      <w:sdtContent>
        <w:p>
          <w:pPr>
            <w:pStyle w:val="47"/>
            <w:numPr>
              <w:ilvl w:val="0"/>
              <w:numId w:val="2"/>
            </w:numPr>
            <w:spacing w:before="0" w:line="360" w:lineRule="auto"/>
            <w:ind w:left="0" w:leftChars="0" w:firstLine="402" w:firstLineChars="0"/>
            <w:jc w:val="center"/>
            <w:rPr>
              <w:rFonts w:asciiTheme="minorEastAsia" w:hAnsiTheme="minorEastAsia" w:eastAsiaTheme="minorEastAsia"/>
              <w:color w:val="auto"/>
              <w:sz w:val="32"/>
              <w:szCs w:val="32"/>
              <w:lang w:val="zh-CN"/>
            </w:rPr>
          </w:pPr>
          <w:r>
            <w:rPr>
              <w:rFonts w:asciiTheme="minorEastAsia" w:hAnsiTheme="minorEastAsia" w:eastAsiaTheme="minorEastAsia"/>
              <w:color w:val="auto"/>
              <w:sz w:val="32"/>
              <w:szCs w:val="32"/>
              <w:lang w:val="zh-CN"/>
            </w:rPr>
            <w:t>目录</w:t>
          </w:r>
        </w:p>
        <w:p>
          <w:pPr>
            <w:spacing w:line="360" w:lineRule="auto"/>
            <w:rPr>
              <w:lang w:val="zh-CN"/>
            </w:rPr>
          </w:pPr>
        </w:p>
        <w:p>
          <w:pPr>
            <w:pStyle w:val="25"/>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TOC \o "1-6" \h \z \u </w:instrText>
          </w:r>
          <w:r>
            <w:rPr>
              <w:rFonts w:asciiTheme="minorEastAsia" w:hAnsiTheme="minorEastAsia"/>
              <w:szCs w:val="21"/>
            </w:rPr>
            <w:fldChar w:fldCharType="separate"/>
          </w:r>
          <w:r>
            <w:rPr>
              <w:rFonts w:asciiTheme="minorEastAsia" w:hAnsiTheme="minorEastAsia"/>
              <w:szCs w:val="21"/>
            </w:rPr>
            <w:fldChar w:fldCharType="begin"/>
          </w:r>
          <w:r>
            <w:rPr>
              <w:rFonts w:asciiTheme="minorEastAsia" w:hAnsiTheme="minorEastAsia"/>
              <w:szCs w:val="21"/>
            </w:rPr>
            <w:instrText xml:space="preserve"> HYPERLINK \l _Toc19523 </w:instrText>
          </w:r>
          <w:r>
            <w:rPr>
              <w:rFonts w:asciiTheme="minorEastAsia" w:hAnsiTheme="minorEastAsia"/>
              <w:szCs w:val="21"/>
            </w:rPr>
            <w:fldChar w:fldCharType="separate"/>
          </w:r>
          <w:r>
            <w:rPr>
              <w:rFonts w:hint="eastAsia"/>
            </w:rPr>
            <w:t>第一章 公司简介及综合实力介绍</w:t>
          </w:r>
          <w:r>
            <w:tab/>
          </w:r>
          <w:r>
            <w:fldChar w:fldCharType="begin"/>
          </w:r>
          <w:r>
            <w:instrText xml:space="preserve"> PAGEREF _Toc19523 </w:instrText>
          </w:r>
          <w:r>
            <w:fldChar w:fldCharType="separate"/>
          </w:r>
          <w:r>
            <w:t>10</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_Toc7094 </w:instrText>
          </w:r>
          <w:r>
            <w:rPr>
              <w:rFonts w:asciiTheme="minorEastAsia" w:hAnsiTheme="minorEastAsia"/>
              <w:szCs w:val="21"/>
            </w:rPr>
            <w:fldChar w:fldCharType="separate"/>
          </w:r>
          <w:r>
            <w:rPr>
              <w:rFonts w:hint="eastAsia"/>
            </w:rPr>
            <w:t>一、 公司简介</w:t>
          </w:r>
          <w:r>
            <w:tab/>
          </w:r>
          <w:r>
            <w:fldChar w:fldCharType="begin"/>
          </w:r>
          <w:r>
            <w:instrText xml:space="preserve"> PAGEREF _Toc7094 </w:instrText>
          </w:r>
          <w:r>
            <w:fldChar w:fldCharType="separate"/>
          </w:r>
          <w:r>
            <w:t>10</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_Toc16908 </w:instrText>
          </w:r>
          <w:r>
            <w:rPr>
              <w:rFonts w:asciiTheme="minorEastAsia" w:hAnsiTheme="minorEastAsia"/>
              <w:szCs w:val="21"/>
            </w:rPr>
            <w:fldChar w:fldCharType="separate"/>
          </w:r>
          <w:r>
            <w:rPr>
              <w:rFonts w:hint="eastAsia"/>
            </w:rPr>
            <w:t>二、 公司注册资金总额及基本信息表</w:t>
          </w:r>
          <w:r>
            <w:tab/>
          </w:r>
          <w:r>
            <w:fldChar w:fldCharType="begin"/>
          </w:r>
          <w:r>
            <w:instrText xml:space="preserve"> PAGEREF _Toc16908 </w:instrText>
          </w:r>
          <w:r>
            <w:fldChar w:fldCharType="separate"/>
          </w:r>
          <w:r>
            <w:t>12</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_Toc7341 </w:instrText>
          </w:r>
          <w:r>
            <w:rPr>
              <w:rFonts w:asciiTheme="minorEastAsia" w:hAnsiTheme="minorEastAsia"/>
              <w:szCs w:val="21"/>
            </w:rPr>
            <w:fldChar w:fldCharType="separate"/>
          </w:r>
          <w:r>
            <w:rPr>
              <w:rFonts w:hint="eastAsia"/>
            </w:rPr>
            <w:t>三、 公司资质情况证明</w:t>
          </w:r>
          <w:r>
            <w:tab/>
          </w:r>
          <w:r>
            <w:fldChar w:fldCharType="begin"/>
          </w:r>
          <w:r>
            <w:instrText xml:space="preserve"> PAGEREF _Toc7341 </w:instrText>
          </w:r>
          <w:r>
            <w:fldChar w:fldCharType="separate"/>
          </w:r>
          <w:r>
            <w:t>13</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_Toc16593 </w:instrText>
          </w:r>
          <w:r>
            <w:rPr>
              <w:rFonts w:asciiTheme="minorEastAsia" w:hAnsiTheme="minorEastAsia"/>
              <w:szCs w:val="21"/>
            </w:rPr>
            <w:fldChar w:fldCharType="separate"/>
          </w:r>
          <w:r>
            <w:rPr>
              <w:rFonts w:hint="eastAsia"/>
            </w:rPr>
            <w:t>1． 营业执照</w:t>
          </w:r>
          <w:r>
            <w:tab/>
          </w:r>
          <w:r>
            <w:fldChar w:fldCharType="begin"/>
          </w:r>
          <w:r>
            <w:instrText xml:space="preserve"> PAGEREF _Toc16593 </w:instrText>
          </w:r>
          <w:r>
            <w:fldChar w:fldCharType="separate"/>
          </w:r>
          <w:r>
            <w:t>13</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_Toc8571 </w:instrText>
          </w:r>
          <w:r>
            <w:rPr>
              <w:rFonts w:asciiTheme="minorEastAsia" w:hAnsiTheme="minorEastAsia"/>
              <w:szCs w:val="21"/>
            </w:rPr>
            <w:fldChar w:fldCharType="separate"/>
          </w:r>
          <w:r>
            <w:rPr>
              <w:rFonts w:hint="eastAsia"/>
            </w:rPr>
            <w:t>2． 机构</w:t>
          </w:r>
          <w:r>
            <w:rPr>
              <w:rFonts w:hint="eastAsia"/>
              <w:lang w:val="en-US" w:eastAsia="zh-CN"/>
            </w:rPr>
            <w:t>信用代</w:t>
          </w:r>
          <w:r>
            <w:rPr>
              <w:rFonts w:hint="eastAsia"/>
            </w:rPr>
            <w:t>码证</w:t>
          </w:r>
          <w:r>
            <w:tab/>
          </w:r>
          <w:r>
            <w:fldChar w:fldCharType="begin"/>
          </w:r>
          <w:r>
            <w:instrText xml:space="preserve"> PAGEREF _Toc8571 </w:instrText>
          </w:r>
          <w:r>
            <w:fldChar w:fldCharType="separate"/>
          </w:r>
          <w:r>
            <w:t>14</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_Toc7339 </w:instrText>
          </w:r>
          <w:r>
            <w:rPr>
              <w:rFonts w:asciiTheme="minorEastAsia" w:hAnsiTheme="minorEastAsia"/>
              <w:szCs w:val="21"/>
            </w:rPr>
            <w:fldChar w:fldCharType="separate"/>
          </w:r>
          <w:r>
            <w:rPr>
              <w:rFonts w:hint="eastAsia"/>
              <w:lang w:val="en-US" w:eastAsia="zh-CN"/>
            </w:rPr>
            <w:t>3． 计算机软件著作权登记证书</w:t>
          </w:r>
          <w:r>
            <w:tab/>
          </w:r>
          <w:r>
            <w:fldChar w:fldCharType="begin"/>
          </w:r>
          <w:r>
            <w:instrText xml:space="preserve"> PAGEREF _Toc7339 </w:instrText>
          </w:r>
          <w:r>
            <w:fldChar w:fldCharType="separate"/>
          </w:r>
          <w:r>
            <w:t>15</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_Toc1604 </w:instrText>
          </w:r>
          <w:r>
            <w:rPr>
              <w:rFonts w:asciiTheme="minorEastAsia" w:hAnsiTheme="minorEastAsia"/>
              <w:szCs w:val="21"/>
            </w:rPr>
            <w:fldChar w:fldCharType="separate"/>
          </w:r>
          <w:r>
            <w:rPr>
              <w:rFonts w:hint="eastAsia"/>
              <w:lang w:bidi="en-US"/>
            </w:rPr>
            <w:t>4． 与</w:t>
          </w:r>
          <w:r>
            <w:rPr>
              <w:rFonts w:hint="eastAsia" w:asciiTheme="minorEastAsia" w:hAnsiTheme="minorEastAsia" w:eastAsiaTheme="minorEastAsia" w:cstheme="minorEastAsia"/>
              <w:b/>
              <w:bCs/>
              <w:szCs w:val="32"/>
              <w:shd w:val="clear" w:color="auto" w:fill="auto"/>
            </w:rPr>
            <w:t>北京</w:t>
          </w:r>
          <w:r>
            <w:rPr>
              <w:rFonts w:hint="eastAsia" w:asciiTheme="minorEastAsia" w:hAnsiTheme="minorEastAsia" w:cstheme="minorEastAsia"/>
              <w:b/>
              <w:bCs/>
              <w:szCs w:val="32"/>
              <w:shd w:val="clear" w:color="auto" w:fill="auto"/>
              <w:lang w:eastAsia="zh-CN"/>
            </w:rPr>
            <w:t>***</w:t>
          </w:r>
          <w:r>
            <w:rPr>
              <w:rFonts w:hint="eastAsia" w:asciiTheme="minorEastAsia" w:hAnsiTheme="minorEastAsia" w:eastAsiaTheme="minorEastAsia" w:cstheme="minorEastAsia"/>
              <w:b/>
              <w:bCs/>
              <w:szCs w:val="32"/>
              <w:shd w:val="clear" w:color="auto" w:fill="auto"/>
            </w:rPr>
            <w:t>网络科技股份有限公司</w:t>
          </w:r>
          <w:r>
            <w:rPr>
              <w:rFonts w:hint="eastAsia"/>
              <w:lang w:bidi="en-US"/>
            </w:rPr>
            <w:t>关系说明及项目授权</w:t>
          </w:r>
          <w:r>
            <w:tab/>
          </w:r>
          <w:r>
            <w:fldChar w:fldCharType="begin"/>
          </w:r>
          <w:r>
            <w:instrText xml:space="preserve"> PAGEREF _Toc1604 </w:instrText>
          </w:r>
          <w:r>
            <w:fldChar w:fldCharType="separate"/>
          </w:r>
          <w:r>
            <w:t>18</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_Toc24556 </w:instrText>
          </w:r>
          <w:r>
            <w:rPr>
              <w:rFonts w:asciiTheme="minorEastAsia" w:hAnsiTheme="minorEastAsia"/>
              <w:szCs w:val="21"/>
            </w:rPr>
            <w:fldChar w:fldCharType="separate"/>
          </w:r>
          <w:r>
            <w:rPr>
              <w:rFonts w:hint="eastAsia"/>
              <w:lang w:val="en-US" w:eastAsia="zh-CN"/>
            </w:rPr>
            <w:t xml:space="preserve">5． </w:t>
          </w:r>
          <w:r>
            <w:rPr>
              <w:rFonts w:hint="eastAsia" w:asciiTheme="minorEastAsia" w:hAnsiTheme="minorEastAsia" w:eastAsiaTheme="minorEastAsia" w:cstheme="minorEastAsia"/>
              <w:b/>
              <w:bCs/>
              <w:szCs w:val="32"/>
              <w:shd w:val="clear" w:color="auto" w:fill="auto"/>
            </w:rPr>
            <w:t>北京</w:t>
          </w:r>
          <w:r>
            <w:rPr>
              <w:rFonts w:hint="eastAsia" w:asciiTheme="minorEastAsia" w:hAnsiTheme="minorEastAsia" w:cstheme="minorEastAsia"/>
              <w:b/>
              <w:bCs/>
              <w:szCs w:val="32"/>
              <w:shd w:val="clear" w:color="auto" w:fill="auto"/>
              <w:lang w:eastAsia="zh-CN"/>
            </w:rPr>
            <w:t>***</w:t>
          </w:r>
          <w:r>
            <w:rPr>
              <w:rFonts w:hint="eastAsia" w:asciiTheme="minorEastAsia" w:hAnsiTheme="minorEastAsia" w:eastAsiaTheme="minorEastAsia" w:cstheme="minorEastAsia"/>
              <w:b/>
              <w:bCs/>
              <w:szCs w:val="32"/>
              <w:shd w:val="clear" w:color="auto" w:fill="auto"/>
            </w:rPr>
            <w:t>网络科技股份有限公司</w:t>
          </w:r>
          <w:r>
            <w:rPr>
              <w:rFonts w:hint="eastAsia"/>
              <w:lang w:val="en-US" w:eastAsia="zh-CN"/>
            </w:rPr>
            <w:t>资质</w:t>
          </w:r>
          <w:r>
            <w:tab/>
          </w:r>
          <w:r>
            <w:fldChar w:fldCharType="begin"/>
          </w:r>
          <w:r>
            <w:instrText xml:space="preserve"> PAGEREF _Toc24556 </w:instrText>
          </w:r>
          <w:r>
            <w:fldChar w:fldCharType="separate"/>
          </w:r>
          <w:r>
            <w:t>19</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_Toc22472 </w:instrText>
          </w:r>
          <w:r>
            <w:rPr>
              <w:rFonts w:asciiTheme="minorEastAsia" w:hAnsiTheme="minorEastAsia"/>
              <w:szCs w:val="21"/>
            </w:rPr>
            <w:fldChar w:fldCharType="separate"/>
          </w:r>
          <w:r>
            <w:rPr>
              <w:rFonts w:hint="eastAsia"/>
            </w:rPr>
            <w:t>6． 中关村高新技术企业认证</w:t>
          </w:r>
          <w:r>
            <w:tab/>
          </w:r>
          <w:r>
            <w:fldChar w:fldCharType="begin"/>
          </w:r>
          <w:r>
            <w:instrText xml:space="preserve"> PAGEREF _Toc22472 </w:instrText>
          </w:r>
          <w:r>
            <w:fldChar w:fldCharType="separate"/>
          </w:r>
          <w:r>
            <w:t>21</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_Toc18729 </w:instrText>
          </w:r>
          <w:r>
            <w:rPr>
              <w:rFonts w:asciiTheme="minorEastAsia" w:hAnsiTheme="minorEastAsia"/>
              <w:szCs w:val="21"/>
            </w:rPr>
            <w:fldChar w:fldCharType="separate"/>
          </w:r>
          <w:r>
            <w:rPr>
              <w:rFonts w:hint="eastAsia"/>
            </w:rPr>
            <w:t>7． 高新技术企业认证</w:t>
          </w:r>
          <w:r>
            <w:tab/>
          </w:r>
          <w:r>
            <w:fldChar w:fldCharType="begin"/>
          </w:r>
          <w:r>
            <w:instrText xml:space="preserve"> PAGEREF _Toc18729 </w:instrText>
          </w:r>
          <w:r>
            <w:fldChar w:fldCharType="separate"/>
          </w:r>
          <w:r>
            <w:t>21</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_Toc29651 </w:instrText>
          </w:r>
          <w:r>
            <w:rPr>
              <w:rFonts w:asciiTheme="minorEastAsia" w:hAnsiTheme="minorEastAsia"/>
              <w:szCs w:val="21"/>
            </w:rPr>
            <w:fldChar w:fldCharType="separate"/>
          </w:r>
          <w:r>
            <w:rPr>
              <w:rFonts w:hint="eastAsia"/>
            </w:rPr>
            <w:t xml:space="preserve">8． </w:t>
          </w:r>
          <w:r>
            <w:rPr>
              <w:rFonts w:hint="eastAsia"/>
              <w:lang w:val="en-US" w:eastAsia="zh-CN"/>
            </w:rPr>
            <w:t>***软件著作权</w:t>
          </w:r>
          <w:r>
            <w:tab/>
          </w:r>
          <w:r>
            <w:fldChar w:fldCharType="begin"/>
          </w:r>
          <w:r>
            <w:instrText xml:space="preserve"> PAGEREF _Toc29651 </w:instrText>
          </w:r>
          <w:r>
            <w:fldChar w:fldCharType="separate"/>
          </w:r>
          <w:r>
            <w:t>22</w:t>
          </w:r>
          <w:r>
            <w:fldChar w:fldCharType="end"/>
          </w:r>
          <w:r>
            <w:rPr>
              <w:rFonts w:asciiTheme="minorEastAsia" w:hAnsiTheme="minorEastAsia"/>
              <w:szCs w:val="21"/>
            </w:rPr>
            <w:fldChar w:fldCharType="end"/>
          </w:r>
        </w:p>
        <w:p>
          <w:pPr>
            <w:pStyle w:val="25"/>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_Toc6755 </w:instrText>
          </w:r>
          <w:r>
            <w:rPr>
              <w:rFonts w:asciiTheme="minorEastAsia" w:hAnsiTheme="minorEastAsia"/>
              <w:szCs w:val="21"/>
            </w:rPr>
            <w:fldChar w:fldCharType="separate"/>
          </w:r>
          <w:r>
            <w:rPr>
              <w:rFonts w:hint="eastAsia"/>
            </w:rPr>
            <w:t>第二章 项目背景</w:t>
          </w:r>
          <w:r>
            <w:rPr>
              <w:rFonts w:hint="eastAsia"/>
              <w:lang w:val="en-US" w:eastAsia="zh-CN"/>
            </w:rPr>
            <w:t>与总体目标</w:t>
          </w:r>
          <w:r>
            <w:tab/>
          </w:r>
          <w:r>
            <w:fldChar w:fldCharType="begin"/>
          </w:r>
          <w:r>
            <w:instrText xml:space="preserve"> PAGEREF _Toc6755 </w:instrText>
          </w:r>
          <w:r>
            <w:fldChar w:fldCharType="separate"/>
          </w:r>
          <w:r>
            <w:t>30</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_Toc2622 </w:instrText>
          </w:r>
          <w:r>
            <w:rPr>
              <w:rFonts w:asciiTheme="minorEastAsia" w:hAnsiTheme="minorEastAsia"/>
              <w:szCs w:val="21"/>
            </w:rPr>
            <w:fldChar w:fldCharType="separate"/>
          </w:r>
          <w:r>
            <w:rPr>
              <w:rFonts w:hint="eastAsia"/>
              <w:szCs w:val="24"/>
              <w:lang w:val="en-US" w:eastAsia="zh-CN"/>
            </w:rPr>
            <w:t>一、 建设目标</w:t>
          </w:r>
          <w:r>
            <w:tab/>
          </w:r>
          <w:r>
            <w:fldChar w:fldCharType="begin"/>
          </w:r>
          <w:r>
            <w:instrText xml:space="preserve"> PAGEREF _Toc2622 </w:instrText>
          </w:r>
          <w:r>
            <w:fldChar w:fldCharType="separate"/>
          </w:r>
          <w:r>
            <w:t>30</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_Toc19066 </w:instrText>
          </w:r>
          <w:r>
            <w:rPr>
              <w:rFonts w:asciiTheme="minorEastAsia" w:hAnsiTheme="minorEastAsia"/>
              <w:szCs w:val="21"/>
            </w:rPr>
            <w:fldChar w:fldCharType="separate"/>
          </w:r>
          <w:r>
            <w:rPr>
              <w:rFonts w:hint="eastAsia"/>
              <w:szCs w:val="24"/>
            </w:rPr>
            <w:t>二、 建设原则</w:t>
          </w:r>
          <w:r>
            <w:tab/>
          </w:r>
          <w:r>
            <w:fldChar w:fldCharType="begin"/>
          </w:r>
          <w:r>
            <w:instrText xml:space="preserve"> PAGEREF _Toc19066 </w:instrText>
          </w:r>
          <w:r>
            <w:fldChar w:fldCharType="separate"/>
          </w:r>
          <w:r>
            <w:t>31</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_Toc27409 </w:instrText>
          </w:r>
          <w:r>
            <w:rPr>
              <w:rFonts w:asciiTheme="minorEastAsia" w:hAnsiTheme="minorEastAsia"/>
              <w:szCs w:val="21"/>
            </w:rPr>
            <w:fldChar w:fldCharType="separate"/>
          </w:r>
          <w:r>
            <w:rPr>
              <w:rFonts w:hint="eastAsia"/>
            </w:rPr>
            <w:t>三、 建设方案总体要求</w:t>
          </w:r>
          <w:r>
            <w:tab/>
          </w:r>
          <w:r>
            <w:fldChar w:fldCharType="begin"/>
          </w:r>
          <w:r>
            <w:instrText xml:space="preserve"> PAGEREF _Toc27409 </w:instrText>
          </w:r>
          <w:r>
            <w:fldChar w:fldCharType="separate"/>
          </w:r>
          <w:r>
            <w:t>31</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_Toc29532 </w:instrText>
          </w:r>
          <w:r>
            <w:rPr>
              <w:rFonts w:asciiTheme="minorEastAsia" w:hAnsiTheme="minorEastAsia"/>
              <w:szCs w:val="21"/>
            </w:rPr>
            <w:fldChar w:fldCharType="separate"/>
          </w:r>
          <w:r>
            <w:rPr>
              <w:rFonts w:hint="eastAsia"/>
              <w:lang w:val="en-US" w:eastAsia="zh-CN"/>
            </w:rPr>
            <w:t>1. 方案需求</w:t>
          </w:r>
          <w:r>
            <w:tab/>
          </w:r>
          <w:r>
            <w:fldChar w:fldCharType="begin"/>
          </w:r>
          <w:r>
            <w:instrText xml:space="preserve"> PAGEREF _Toc29532 </w:instrText>
          </w:r>
          <w:r>
            <w:fldChar w:fldCharType="separate"/>
          </w:r>
          <w:r>
            <w:t>31</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_Toc12922 </w:instrText>
          </w:r>
          <w:r>
            <w:rPr>
              <w:rFonts w:asciiTheme="minorEastAsia" w:hAnsiTheme="minorEastAsia"/>
              <w:szCs w:val="21"/>
            </w:rPr>
            <w:fldChar w:fldCharType="separate"/>
          </w:r>
          <w:r>
            <w:rPr>
              <w:rFonts w:hint="eastAsia"/>
              <w:lang w:val="en-US" w:eastAsia="zh-CN"/>
            </w:rPr>
            <w:t>1.1</w:t>
          </w:r>
          <w:r>
            <w:rPr>
              <w:rFonts w:hint="eastAsia"/>
              <w:lang w:eastAsia="zh-CN"/>
            </w:rPr>
            <w:t>xx</w:t>
          </w:r>
          <w:r>
            <w:rPr>
              <w:rFonts w:hint="eastAsia"/>
            </w:rPr>
            <w:t>集团有限公司电子发票管理系统：</w:t>
          </w:r>
          <w:r>
            <w:tab/>
          </w:r>
          <w:r>
            <w:fldChar w:fldCharType="begin"/>
          </w:r>
          <w:r>
            <w:instrText xml:space="preserve"> PAGEREF _Toc12922 </w:instrText>
          </w:r>
          <w:r>
            <w:fldChar w:fldCharType="separate"/>
          </w:r>
          <w:r>
            <w:t>31</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_Toc27278 </w:instrText>
          </w:r>
          <w:r>
            <w:rPr>
              <w:rFonts w:asciiTheme="minorEastAsia" w:hAnsiTheme="minorEastAsia"/>
              <w:szCs w:val="21"/>
            </w:rPr>
            <w:fldChar w:fldCharType="separate"/>
          </w:r>
          <w:r>
            <w:rPr>
              <w:rFonts w:hint="eastAsia"/>
              <w:lang w:val="en-US" w:eastAsia="zh-CN"/>
            </w:rPr>
            <w:t>1.2</w:t>
          </w:r>
          <w:r>
            <w:rPr>
              <w:rFonts w:hint="eastAsia"/>
              <w:lang w:eastAsia="zh-CN"/>
            </w:rPr>
            <w:t>xx</w:t>
          </w:r>
          <w:r>
            <w:rPr>
              <w:rFonts w:hint="eastAsia"/>
            </w:rPr>
            <w:t>集团有限公司电子收费分公司发票管理系统：</w:t>
          </w:r>
          <w:r>
            <w:tab/>
          </w:r>
          <w:r>
            <w:fldChar w:fldCharType="begin"/>
          </w:r>
          <w:r>
            <w:instrText xml:space="preserve"> PAGEREF _Toc27278 </w:instrText>
          </w:r>
          <w:r>
            <w:fldChar w:fldCharType="separate"/>
          </w:r>
          <w:r>
            <w:t>32</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_Toc10681 </w:instrText>
          </w:r>
          <w:r>
            <w:rPr>
              <w:rFonts w:asciiTheme="minorEastAsia" w:hAnsiTheme="minorEastAsia"/>
              <w:szCs w:val="21"/>
            </w:rPr>
            <w:fldChar w:fldCharType="separate"/>
          </w:r>
          <w:r>
            <w:rPr>
              <w:rFonts w:hint="eastAsia"/>
              <w:szCs w:val="24"/>
              <w:lang w:val="en-US" w:eastAsia="zh-CN"/>
            </w:rPr>
            <w:t xml:space="preserve">2. </w:t>
          </w:r>
          <w:r>
            <w:rPr>
              <w:rFonts w:hint="eastAsia" w:asciiTheme="minorEastAsia" w:hAnsiTheme="minorEastAsia" w:eastAsiaTheme="minorEastAsia"/>
              <w:b/>
              <w:bCs/>
              <w:szCs w:val="24"/>
            </w:rPr>
            <w:t>系统要求</w:t>
          </w:r>
          <w:r>
            <w:tab/>
          </w:r>
          <w:r>
            <w:fldChar w:fldCharType="begin"/>
          </w:r>
          <w:r>
            <w:instrText xml:space="preserve"> PAGEREF _Toc10681 </w:instrText>
          </w:r>
          <w:r>
            <w:fldChar w:fldCharType="separate"/>
          </w:r>
          <w:r>
            <w:t>32</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_Toc7926 </w:instrText>
          </w:r>
          <w:r>
            <w:rPr>
              <w:rFonts w:asciiTheme="minorEastAsia" w:hAnsiTheme="minorEastAsia"/>
              <w:szCs w:val="21"/>
            </w:rPr>
            <w:fldChar w:fldCharType="separate"/>
          </w:r>
          <w:r>
            <w:rPr>
              <w:rFonts w:hint="eastAsia"/>
              <w:szCs w:val="24"/>
              <w:lang w:val="en-US" w:eastAsia="zh-CN"/>
            </w:rPr>
            <w:t xml:space="preserve">2.1 </w:t>
          </w:r>
          <w:r>
            <w:rPr>
              <w:rFonts w:hint="eastAsia"/>
              <w:szCs w:val="24"/>
            </w:rPr>
            <w:t>实现公司可以开具增值税电子普通发票，达到节约成本、加强风险控制能力、提高工作效率和提升客户体验的目的。</w:t>
          </w:r>
          <w:r>
            <w:tab/>
          </w:r>
          <w:r>
            <w:fldChar w:fldCharType="begin"/>
          </w:r>
          <w:r>
            <w:instrText xml:space="preserve"> PAGEREF _Toc7926 </w:instrText>
          </w:r>
          <w:r>
            <w:fldChar w:fldCharType="separate"/>
          </w:r>
          <w:r>
            <w:t>32</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_Toc11314 </w:instrText>
          </w:r>
          <w:r>
            <w:rPr>
              <w:rFonts w:asciiTheme="minorEastAsia" w:hAnsiTheme="minorEastAsia"/>
              <w:szCs w:val="21"/>
            </w:rPr>
            <w:fldChar w:fldCharType="separate"/>
          </w:r>
          <w:r>
            <w:rPr>
              <w:rFonts w:hint="eastAsia"/>
              <w:lang w:val="en-US" w:eastAsia="zh-CN"/>
            </w:rPr>
            <w:t xml:space="preserve">2.2 </w:t>
          </w:r>
          <w:r>
            <w:rPr>
              <w:rFonts w:hint="eastAsia"/>
            </w:rPr>
            <w:t>实现与外部发票查验平台对接，准确记录查验结果，达到控制假票风险、减少重复低价值劳动、提高工作效率的目的。</w:t>
          </w:r>
          <w:r>
            <w:tab/>
          </w:r>
          <w:r>
            <w:fldChar w:fldCharType="begin"/>
          </w:r>
          <w:r>
            <w:instrText xml:space="preserve"> PAGEREF _Toc11314 </w:instrText>
          </w:r>
          <w:r>
            <w:fldChar w:fldCharType="separate"/>
          </w:r>
          <w:r>
            <w:t>34</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_Toc28186 </w:instrText>
          </w:r>
          <w:r>
            <w:rPr>
              <w:rFonts w:asciiTheme="minorEastAsia" w:hAnsiTheme="minorEastAsia"/>
              <w:szCs w:val="21"/>
            </w:rPr>
            <w:fldChar w:fldCharType="separate"/>
          </w:r>
          <w:r>
            <w:rPr>
              <w:rFonts w:hint="eastAsia"/>
              <w:lang w:val="en-US" w:eastAsia="zh-CN"/>
            </w:rPr>
            <w:t>3.</w:t>
          </w:r>
          <w:r>
            <w:rPr>
              <w:rFonts w:hint="eastAsia"/>
            </w:rPr>
            <w:t>技术指标</w:t>
          </w:r>
          <w:r>
            <w:tab/>
          </w:r>
          <w:r>
            <w:fldChar w:fldCharType="begin"/>
          </w:r>
          <w:r>
            <w:instrText xml:space="preserve"> PAGEREF _Toc28186 </w:instrText>
          </w:r>
          <w:r>
            <w:fldChar w:fldCharType="separate"/>
          </w:r>
          <w:r>
            <w:t>34</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_Toc6718 </w:instrText>
          </w:r>
          <w:r>
            <w:rPr>
              <w:rFonts w:asciiTheme="minorEastAsia" w:hAnsiTheme="minorEastAsia"/>
              <w:szCs w:val="21"/>
            </w:rPr>
            <w:fldChar w:fldCharType="separate"/>
          </w:r>
          <w:r>
            <w:rPr>
              <w:rFonts w:hint="eastAsia" w:eastAsiaTheme="minorEastAsia"/>
              <w:b/>
              <w:bCs/>
              <w:lang w:val="en-US" w:eastAsia="zh-CN"/>
            </w:rPr>
            <w:t>3.1</w:t>
          </w:r>
          <w:r>
            <w:rPr>
              <w:rFonts w:hint="eastAsia" w:asciiTheme="minorEastAsia" w:hAnsiTheme="minorEastAsia" w:eastAsiaTheme="minorEastAsia"/>
              <w:szCs w:val="24"/>
            </w:rPr>
            <w:t>产品质量要求</w:t>
          </w:r>
          <w:r>
            <w:tab/>
          </w:r>
          <w:r>
            <w:fldChar w:fldCharType="begin"/>
          </w:r>
          <w:r>
            <w:instrText xml:space="preserve"> PAGEREF _Toc6718 </w:instrText>
          </w:r>
          <w:r>
            <w:fldChar w:fldCharType="separate"/>
          </w:r>
          <w:r>
            <w:t>34</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_Toc29740 </w:instrText>
          </w:r>
          <w:r>
            <w:rPr>
              <w:rFonts w:asciiTheme="minorEastAsia" w:hAnsiTheme="minorEastAsia"/>
              <w:szCs w:val="21"/>
            </w:rPr>
            <w:fldChar w:fldCharType="separate"/>
          </w:r>
          <w:r>
            <w:rPr>
              <w:rFonts w:hint="eastAsia"/>
              <w:lang w:val="en-US" w:eastAsia="zh-CN"/>
            </w:rPr>
            <w:t>3.</w:t>
          </w:r>
          <w:r>
            <w:t>2</w:t>
          </w:r>
          <w:r>
            <w:rPr>
              <w:rFonts w:hint="eastAsia"/>
            </w:rPr>
            <w:t>安装实施</w:t>
          </w:r>
          <w:r>
            <w:tab/>
          </w:r>
          <w:r>
            <w:fldChar w:fldCharType="begin"/>
          </w:r>
          <w:r>
            <w:instrText xml:space="preserve"> PAGEREF _Toc29740 </w:instrText>
          </w:r>
          <w:r>
            <w:fldChar w:fldCharType="separate"/>
          </w:r>
          <w:r>
            <w:t>34</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_Toc28544 </w:instrText>
          </w:r>
          <w:r>
            <w:rPr>
              <w:rFonts w:asciiTheme="minorEastAsia" w:hAnsiTheme="minorEastAsia"/>
              <w:szCs w:val="21"/>
            </w:rPr>
            <w:fldChar w:fldCharType="separate"/>
          </w:r>
          <w:r>
            <w:rPr>
              <w:rFonts w:hint="eastAsia"/>
              <w:lang w:val="en-US" w:eastAsia="zh-CN"/>
            </w:rPr>
            <w:t>3.</w:t>
          </w:r>
          <w:r>
            <w:t>3</w:t>
          </w:r>
          <w:r>
            <w:rPr>
              <w:rFonts w:hint="eastAsia"/>
            </w:rPr>
            <w:t>电子发票开具及发票查验相关软件的维保服务</w:t>
          </w:r>
          <w:r>
            <w:tab/>
          </w:r>
          <w:r>
            <w:fldChar w:fldCharType="begin"/>
          </w:r>
          <w:r>
            <w:instrText xml:space="preserve"> PAGEREF _Toc28544 </w:instrText>
          </w:r>
          <w:r>
            <w:fldChar w:fldCharType="separate"/>
          </w:r>
          <w:r>
            <w:t>34</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_Toc13722 </w:instrText>
          </w:r>
          <w:r>
            <w:rPr>
              <w:rFonts w:asciiTheme="minorEastAsia" w:hAnsiTheme="minorEastAsia"/>
              <w:szCs w:val="21"/>
            </w:rPr>
            <w:fldChar w:fldCharType="separate"/>
          </w:r>
          <w:r>
            <w:rPr>
              <w:rFonts w:hint="eastAsia"/>
              <w:lang w:val="en-US" w:eastAsia="zh-CN"/>
            </w:rPr>
            <w:t>3.4</w:t>
          </w:r>
          <w:r>
            <w:rPr>
              <w:rFonts w:hint="eastAsia"/>
            </w:rPr>
            <w:t>服务商责任</w:t>
          </w:r>
          <w:r>
            <w:tab/>
          </w:r>
          <w:r>
            <w:fldChar w:fldCharType="begin"/>
          </w:r>
          <w:r>
            <w:instrText xml:space="preserve"> PAGEREF _Toc13722 </w:instrText>
          </w:r>
          <w:r>
            <w:fldChar w:fldCharType="separate"/>
          </w:r>
          <w:r>
            <w:t>35</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_Toc187 </w:instrText>
          </w:r>
          <w:r>
            <w:rPr>
              <w:rFonts w:asciiTheme="minorEastAsia" w:hAnsiTheme="minorEastAsia"/>
              <w:szCs w:val="21"/>
            </w:rPr>
            <w:fldChar w:fldCharType="separate"/>
          </w:r>
          <w:r>
            <w:rPr>
              <w:rFonts w:hint="eastAsia"/>
              <w:lang w:val="en-US" w:eastAsia="zh-CN"/>
            </w:rPr>
            <w:t>3.</w:t>
          </w:r>
          <w:r>
            <w:t>5</w:t>
          </w:r>
          <w:r>
            <w:rPr>
              <w:rFonts w:hint="eastAsia"/>
            </w:rPr>
            <w:t>研发服务具体要求</w:t>
          </w:r>
          <w:r>
            <w:tab/>
          </w:r>
          <w:r>
            <w:fldChar w:fldCharType="begin"/>
          </w:r>
          <w:r>
            <w:instrText xml:space="preserve"> PAGEREF _Toc187 </w:instrText>
          </w:r>
          <w:r>
            <w:fldChar w:fldCharType="separate"/>
          </w:r>
          <w:r>
            <w:t>35</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_Toc13821 </w:instrText>
          </w:r>
          <w:r>
            <w:rPr>
              <w:rFonts w:asciiTheme="minorEastAsia" w:hAnsiTheme="minorEastAsia"/>
              <w:szCs w:val="21"/>
            </w:rPr>
            <w:fldChar w:fldCharType="separate"/>
          </w:r>
          <w:r>
            <w:rPr>
              <w:rFonts w:hint="eastAsia"/>
              <w:lang w:val="en-US" w:eastAsia="zh-CN"/>
            </w:rPr>
            <w:t>3</w:t>
          </w:r>
          <w:r>
            <w:t>.6</w:t>
          </w:r>
          <w:r>
            <w:rPr>
              <w:rFonts w:hint="eastAsia"/>
            </w:rPr>
            <w:t>安装及实施服务具体要求</w:t>
          </w:r>
          <w:r>
            <w:tab/>
          </w:r>
          <w:r>
            <w:fldChar w:fldCharType="begin"/>
          </w:r>
          <w:r>
            <w:instrText xml:space="preserve"> PAGEREF _Toc13821 </w:instrText>
          </w:r>
          <w:r>
            <w:fldChar w:fldCharType="separate"/>
          </w:r>
          <w:r>
            <w:t>35</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_Toc17789 </w:instrText>
          </w:r>
          <w:r>
            <w:rPr>
              <w:rFonts w:asciiTheme="minorEastAsia" w:hAnsiTheme="minorEastAsia"/>
              <w:szCs w:val="21"/>
            </w:rPr>
            <w:fldChar w:fldCharType="separate"/>
          </w:r>
          <w:r>
            <w:rPr>
              <w:rFonts w:hint="eastAsia"/>
              <w:lang w:val="en-US" w:eastAsia="zh-CN"/>
            </w:rPr>
            <w:t>3.7</w:t>
          </w:r>
          <w:r>
            <w:rPr>
              <w:rFonts w:hint="eastAsia"/>
            </w:rPr>
            <w:t>软件维护服务要求</w:t>
          </w:r>
          <w:r>
            <w:tab/>
          </w:r>
          <w:r>
            <w:fldChar w:fldCharType="begin"/>
          </w:r>
          <w:r>
            <w:instrText xml:space="preserve"> PAGEREF _Toc17789 </w:instrText>
          </w:r>
          <w:r>
            <w:fldChar w:fldCharType="separate"/>
          </w:r>
          <w:r>
            <w:t>36</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_Toc28567 </w:instrText>
          </w:r>
          <w:r>
            <w:rPr>
              <w:rFonts w:asciiTheme="minorEastAsia" w:hAnsiTheme="minorEastAsia"/>
              <w:szCs w:val="21"/>
            </w:rPr>
            <w:fldChar w:fldCharType="separate"/>
          </w:r>
          <w:r>
            <w:rPr>
              <w:rFonts w:hint="eastAsia"/>
              <w:lang w:val="en-US" w:eastAsia="zh-CN"/>
            </w:rPr>
            <w:t>3</w:t>
          </w:r>
          <w:r>
            <w:t>.8</w:t>
          </w:r>
          <w:r>
            <w:rPr>
              <w:rFonts w:hint="eastAsia"/>
            </w:rPr>
            <w:t>培训要求</w:t>
          </w:r>
          <w:r>
            <w:tab/>
          </w:r>
          <w:r>
            <w:fldChar w:fldCharType="begin"/>
          </w:r>
          <w:r>
            <w:instrText xml:space="preserve"> PAGEREF _Toc28567 </w:instrText>
          </w:r>
          <w:r>
            <w:fldChar w:fldCharType="separate"/>
          </w:r>
          <w:r>
            <w:t>37</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_Toc29736 </w:instrText>
          </w:r>
          <w:r>
            <w:rPr>
              <w:rFonts w:asciiTheme="minorEastAsia" w:hAnsiTheme="minorEastAsia"/>
              <w:szCs w:val="21"/>
            </w:rPr>
            <w:fldChar w:fldCharType="separate"/>
          </w:r>
          <w:r>
            <w:rPr>
              <w:rFonts w:hint="eastAsia"/>
              <w:lang w:val="en-US" w:eastAsia="zh-CN"/>
            </w:rPr>
            <w:t>3.</w:t>
          </w:r>
          <w:r>
            <w:t>9</w:t>
          </w:r>
          <w:r>
            <w:rPr>
              <w:rFonts w:hint="eastAsia"/>
            </w:rPr>
            <w:t>其他要求</w:t>
          </w:r>
          <w:r>
            <w:tab/>
          </w:r>
          <w:r>
            <w:fldChar w:fldCharType="begin"/>
          </w:r>
          <w:r>
            <w:instrText xml:space="preserve"> PAGEREF _Toc29736 </w:instrText>
          </w:r>
          <w:r>
            <w:fldChar w:fldCharType="separate"/>
          </w:r>
          <w:r>
            <w:t>37</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_Toc30665 </w:instrText>
          </w:r>
          <w:r>
            <w:rPr>
              <w:rFonts w:asciiTheme="minorEastAsia" w:hAnsiTheme="minorEastAsia"/>
              <w:szCs w:val="21"/>
            </w:rPr>
            <w:fldChar w:fldCharType="separate"/>
          </w:r>
          <w:r>
            <w:rPr>
              <w:rFonts w:hint="eastAsia"/>
              <w:lang w:val="en-US" w:eastAsia="zh-CN"/>
            </w:rPr>
            <w:t>4</w:t>
          </w:r>
          <w:r>
            <w:t>.</w:t>
          </w:r>
          <w:r>
            <w:rPr>
              <w:rFonts w:hint="eastAsia"/>
            </w:rPr>
            <w:t>性能要求</w:t>
          </w:r>
          <w:r>
            <w:tab/>
          </w:r>
          <w:r>
            <w:fldChar w:fldCharType="begin"/>
          </w:r>
          <w:r>
            <w:instrText xml:space="preserve"> PAGEREF _Toc30665 </w:instrText>
          </w:r>
          <w:r>
            <w:fldChar w:fldCharType="separate"/>
          </w:r>
          <w:r>
            <w:t>37</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_Toc11026 </w:instrText>
          </w:r>
          <w:r>
            <w:rPr>
              <w:rFonts w:asciiTheme="minorEastAsia" w:hAnsiTheme="minorEastAsia"/>
              <w:szCs w:val="21"/>
            </w:rPr>
            <w:fldChar w:fldCharType="separate"/>
          </w:r>
          <w:r>
            <w:t>5.</w:t>
          </w:r>
          <w:r>
            <w:rPr>
              <w:rFonts w:hint="eastAsia"/>
            </w:rPr>
            <w:t>安全要求：</w:t>
          </w:r>
          <w:r>
            <w:tab/>
          </w:r>
          <w:r>
            <w:fldChar w:fldCharType="begin"/>
          </w:r>
          <w:r>
            <w:instrText xml:space="preserve"> PAGEREF _Toc11026 </w:instrText>
          </w:r>
          <w:r>
            <w:fldChar w:fldCharType="separate"/>
          </w:r>
          <w:r>
            <w:t>38</w:t>
          </w:r>
          <w:r>
            <w:fldChar w:fldCharType="end"/>
          </w:r>
          <w:r>
            <w:rPr>
              <w:rFonts w:asciiTheme="minorEastAsia" w:hAnsiTheme="minorEastAsia"/>
              <w:szCs w:val="21"/>
            </w:rPr>
            <w:fldChar w:fldCharType="end"/>
          </w:r>
        </w:p>
        <w:p>
          <w:pPr>
            <w:pStyle w:val="25"/>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_Toc16421 </w:instrText>
          </w:r>
          <w:r>
            <w:rPr>
              <w:rFonts w:asciiTheme="minorEastAsia" w:hAnsiTheme="minorEastAsia"/>
              <w:szCs w:val="21"/>
            </w:rPr>
            <w:fldChar w:fldCharType="separate"/>
          </w:r>
          <w:r>
            <w:rPr>
              <w:rFonts w:hint="eastAsia"/>
            </w:rPr>
            <w:t>第三章 技术解决方案</w:t>
          </w:r>
          <w:r>
            <w:tab/>
          </w:r>
          <w:r>
            <w:fldChar w:fldCharType="begin"/>
          </w:r>
          <w:r>
            <w:instrText xml:space="preserve"> PAGEREF _Toc16421 </w:instrText>
          </w:r>
          <w:r>
            <w:fldChar w:fldCharType="separate"/>
          </w:r>
          <w:r>
            <w:t>39</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_Toc30676 </w:instrText>
          </w:r>
          <w:r>
            <w:rPr>
              <w:rFonts w:asciiTheme="minorEastAsia" w:hAnsiTheme="minorEastAsia"/>
              <w:szCs w:val="21"/>
            </w:rPr>
            <w:fldChar w:fldCharType="separate"/>
          </w:r>
          <w:r>
            <w:rPr>
              <w:rFonts w:hint="eastAsia"/>
            </w:rPr>
            <w:t>一、 架构说明及建议（整体应用架构、技术架构、系统集成）</w:t>
          </w:r>
          <w:r>
            <w:tab/>
          </w:r>
          <w:r>
            <w:fldChar w:fldCharType="begin"/>
          </w:r>
          <w:r>
            <w:instrText xml:space="preserve"> PAGEREF _Toc30676 </w:instrText>
          </w:r>
          <w:r>
            <w:fldChar w:fldCharType="separate"/>
          </w:r>
          <w:r>
            <w:t>39</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_Toc8447 </w:instrText>
          </w:r>
          <w:r>
            <w:rPr>
              <w:rFonts w:asciiTheme="minorEastAsia" w:hAnsiTheme="minorEastAsia"/>
              <w:szCs w:val="21"/>
            </w:rPr>
            <w:fldChar w:fldCharType="separate"/>
          </w:r>
          <w:r>
            <w:rPr>
              <w:rFonts w:hint="eastAsia"/>
            </w:rPr>
            <w:t>1． 总体框架</w:t>
          </w:r>
          <w:r>
            <w:tab/>
          </w:r>
          <w:r>
            <w:fldChar w:fldCharType="begin"/>
          </w:r>
          <w:r>
            <w:instrText xml:space="preserve"> PAGEREF _Toc8447 </w:instrText>
          </w:r>
          <w:r>
            <w:fldChar w:fldCharType="separate"/>
          </w:r>
          <w:r>
            <w:t>39</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_Toc22027 </w:instrText>
          </w:r>
          <w:r>
            <w:rPr>
              <w:rFonts w:asciiTheme="minorEastAsia" w:hAnsiTheme="minorEastAsia"/>
              <w:szCs w:val="21"/>
            </w:rPr>
            <w:fldChar w:fldCharType="separate"/>
          </w:r>
          <w:r>
            <w:rPr>
              <w:rFonts w:hint="eastAsia"/>
            </w:rPr>
            <w:t>1.1总体架构图</w:t>
          </w:r>
          <w:r>
            <w:tab/>
          </w:r>
          <w:r>
            <w:fldChar w:fldCharType="begin"/>
          </w:r>
          <w:r>
            <w:instrText xml:space="preserve"> PAGEREF _Toc22027 </w:instrText>
          </w:r>
          <w:r>
            <w:fldChar w:fldCharType="separate"/>
          </w:r>
          <w:r>
            <w:t>40</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_Toc433 </w:instrText>
          </w:r>
          <w:r>
            <w:rPr>
              <w:rFonts w:asciiTheme="minorEastAsia" w:hAnsiTheme="minorEastAsia"/>
              <w:szCs w:val="21"/>
            </w:rPr>
            <w:fldChar w:fldCharType="separate"/>
          </w:r>
          <w:r>
            <w:rPr>
              <w:rFonts w:hint="eastAsia"/>
            </w:rPr>
            <w:t>1.2系统组成</w:t>
          </w:r>
          <w:r>
            <w:tab/>
          </w:r>
          <w:r>
            <w:fldChar w:fldCharType="begin"/>
          </w:r>
          <w:r>
            <w:instrText xml:space="preserve"> PAGEREF _Toc433 </w:instrText>
          </w:r>
          <w:r>
            <w:fldChar w:fldCharType="separate"/>
          </w:r>
          <w:r>
            <w:t>41</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_Toc18703 </w:instrText>
          </w:r>
          <w:r>
            <w:rPr>
              <w:rFonts w:asciiTheme="minorEastAsia" w:hAnsiTheme="minorEastAsia"/>
              <w:szCs w:val="21"/>
            </w:rPr>
            <w:fldChar w:fldCharType="separate"/>
          </w:r>
          <w:r>
            <w:rPr>
              <w:rFonts w:hint="eastAsia"/>
            </w:rPr>
            <w:t>2． 应用架构</w:t>
          </w:r>
          <w:r>
            <w:tab/>
          </w:r>
          <w:r>
            <w:fldChar w:fldCharType="begin"/>
          </w:r>
          <w:r>
            <w:instrText xml:space="preserve"> PAGEREF _Toc18703 </w:instrText>
          </w:r>
          <w:r>
            <w:fldChar w:fldCharType="separate"/>
          </w:r>
          <w:r>
            <w:t>42</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_Toc21493 </w:instrText>
          </w:r>
          <w:r>
            <w:rPr>
              <w:rFonts w:asciiTheme="minorEastAsia" w:hAnsiTheme="minorEastAsia"/>
              <w:szCs w:val="21"/>
            </w:rPr>
            <w:fldChar w:fldCharType="separate"/>
          </w:r>
          <w:r>
            <w:rPr>
              <w:rFonts w:hint="eastAsia"/>
            </w:rPr>
            <w:t>3． 技术架构</w:t>
          </w:r>
          <w:r>
            <w:tab/>
          </w:r>
          <w:r>
            <w:fldChar w:fldCharType="begin"/>
          </w:r>
          <w:r>
            <w:instrText xml:space="preserve"> PAGEREF _Toc21493 </w:instrText>
          </w:r>
          <w:r>
            <w:fldChar w:fldCharType="separate"/>
          </w:r>
          <w:r>
            <w:t>42</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_Toc4205 </w:instrText>
          </w:r>
          <w:r>
            <w:rPr>
              <w:rFonts w:asciiTheme="minorEastAsia" w:hAnsiTheme="minorEastAsia"/>
              <w:szCs w:val="21"/>
            </w:rPr>
            <w:fldChar w:fldCharType="separate"/>
          </w:r>
          <w:r>
            <w:rPr>
              <w:rFonts w:hint="eastAsia"/>
            </w:rPr>
            <w:t>4． 软件架构</w:t>
          </w:r>
          <w:r>
            <w:tab/>
          </w:r>
          <w:r>
            <w:fldChar w:fldCharType="begin"/>
          </w:r>
          <w:r>
            <w:instrText xml:space="preserve"> PAGEREF _Toc4205 </w:instrText>
          </w:r>
          <w:r>
            <w:fldChar w:fldCharType="separate"/>
          </w:r>
          <w:r>
            <w:t>44</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_Toc761 </w:instrText>
          </w:r>
          <w:r>
            <w:rPr>
              <w:rFonts w:asciiTheme="minorEastAsia" w:hAnsiTheme="minorEastAsia"/>
              <w:szCs w:val="21"/>
            </w:rPr>
            <w:fldChar w:fldCharType="separate"/>
          </w:r>
          <w:r>
            <w:rPr>
              <w:rFonts w:hint="eastAsia"/>
            </w:rPr>
            <w:t>4.1 整体功能框架</w:t>
          </w:r>
          <w:r>
            <w:tab/>
          </w:r>
          <w:r>
            <w:fldChar w:fldCharType="begin"/>
          </w:r>
          <w:r>
            <w:instrText xml:space="preserve"> PAGEREF _Toc761 </w:instrText>
          </w:r>
          <w:r>
            <w:fldChar w:fldCharType="separate"/>
          </w:r>
          <w:r>
            <w:t>44</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_Toc13607 </w:instrText>
          </w:r>
          <w:r>
            <w:rPr>
              <w:rFonts w:asciiTheme="minorEastAsia" w:hAnsiTheme="minorEastAsia"/>
              <w:szCs w:val="21"/>
            </w:rPr>
            <w:fldChar w:fldCharType="separate"/>
          </w:r>
          <w:r>
            <w:rPr>
              <w:rFonts w:hint="eastAsia"/>
            </w:rPr>
            <w:t xml:space="preserve">4.2 </w:t>
          </w:r>
          <w:r>
            <w:rPr>
              <w:rFonts w:hint="eastAsia"/>
              <w:lang w:val="en-US" w:eastAsia="zh-CN"/>
            </w:rPr>
            <w:t>接口</w:t>
          </w:r>
          <w:r>
            <w:rPr>
              <w:rFonts w:hint="eastAsia"/>
            </w:rPr>
            <w:t>系统</w:t>
          </w:r>
          <w:r>
            <w:tab/>
          </w:r>
          <w:r>
            <w:fldChar w:fldCharType="begin"/>
          </w:r>
          <w:r>
            <w:instrText xml:space="preserve"> PAGEREF _Toc13607 </w:instrText>
          </w:r>
          <w:r>
            <w:fldChar w:fldCharType="separate"/>
          </w:r>
          <w:r>
            <w:t>44</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_Toc15383 </w:instrText>
          </w:r>
          <w:r>
            <w:rPr>
              <w:rFonts w:asciiTheme="minorEastAsia" w:hAnsiTheme="minorEastAsia"/>
              <w:szCs w:val="21"/>
            </w:rPr>
            <w:fldChar w:fldCharType="separate"/>
          </w:r>
          <w:r>
            <w:rPr>
              <w:rFonts w:hint="eastAsia"/>
            </w:rPr>
            <w:t xml:space="preserve">4.3 </w:t>
          </w:r>
          <w:r>
            <w:rPr>
              <w:rFonts w:hint="eastAsia"/>
              <w:lang w:val="en-US" w:eastAsia="zh-CN"/>
            </w:rPr>
            <w:t>发票管理</w:t>
          </w:r>
          <w:r>
            <w:rPr>
              <w:rFonts w:hint="eastAsia"/>
            </w:rPr>
            <w:t>系统</w:t>
          </w:r>
          <w:r>
            <w:tab/>
          </w:r>
          <w:r>
            <w:fldChar w:fldCharType="begin"/>
          </w:r>
          <w:r>
            <w:instrText xml:space="preserve"> PAGEREF _Toc15383 </w:instrText>
          </w:r>
          <w:r>
            <w:fldChar w:fldCharType="separate"/>
          </w:r>
          <w:r>
            <w:t>45</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_Toc24074 </w:instrText>
          </w:r>
          <w:r>
            <w:rPr>
              <w:rFonts w:asciiTheme="minorEastAsia" w:hAnsiTheme="minorEastAsia"/>
              <w:szCs w:val="21"/>
            </w:rPr>
            <w:fldChar w:fldCharType="separate"/>
          </w:r>
          <w:r>
            <w:rPr>
              <w:rFonts w:hint="eastAsia"/>
            </w:rPr>
            <w:t>4.3.1</w:t>
          </w:r>
          <w:r>
            <w:t>发票申领</w:t>
          </w:r>
          <w:r>
            <w:tab/>
          </w:r>
          <w:r>
            <w:fldChar w:fldCharType="begin"/>
          </w:r>
          <w:r>
            <w:instrText xml:space="preserve"> PAGEREF _Toc24074 </w:instrText>
          </w:r>
          <w:r>
            <w:fldChar w:fldCharType="separate"/>
          </w:r>
          <w:r>
            <w:t>45</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_Toc26204 </w:instrText>
          </w:r>
          <w:r>
            <w:rPr>
              <w:rFonts w:asciiTheme="minorEastAsia" w:hAnsiTheme="minorEastAsia"/>
              <w:szCs w:val="21"/>
            </w:rPr>
            <w:fldChar w:fldCharType="separate"/>
          </w:r>
          <w:r>
            <w:rPr>
              <w:rFonts w:hint="eastAsia"/>
            </w:rPr>
            <w:t>4.3.2</w:t>
          </w:r>
          <w:r>
            <w:t>发票分发</w:t>
          </w:r>
          <w:r>
            <w:tab/>
          </w:r>
          <w:r>
            <w:fldChar w:fldCharType="begin"/>
          </w:r>
          <w:r>
            <w:instrText xml:space="preserve"> PAGEREF _Toc26204 </w:instrText>
          </w:r>
          <w:r>
            <w:fldChar w:fldCharType="separate"/>
          </w:r>
          <w:r>
            <w:t>45</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_Toc2967 </w:instrText>
          </w:r>
          <w:r>
            <w:rPr>
              <w:rFonts w:asciiTheme="minorEastAsia" w:hAnsiTheme="minorEastAsia"/>
              <w:szCs w:val="21"/>
            </w:rPr>
            <w:fldChar w:fldCharType="separate"/>
          </w:r>
          <w:r>
            <w:rPr>
              <w:rFonts w:hint="eastAsia"/>
            </w:rPr>
            <w:t>4.3.3</w:t>
          </w:r>
          <w:r>
            <w:t>发票退回</w:t>
          </w:r>
          <w:r>
            <w:tab/>
          </w:r>
          <w:r>
            <w:fldChar w:fldCharType="begin"/>
          </w:r>
          <w:r>
            <w:instrText xml:space="preserve"> PAGEREF _Toc2967 </w:instrText>
          </w:r>
          <w:r>
            <w:fldChar w:fldCharType="separate"/>
          </w:r>
          <w:r>
            <w:t>45</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_Toc1860 </w:instrText>
          </w:r>
          <w:r>
            <w:rPr>
              <w:rFonts w:asciiTheme="minorEastAsia" w:hAnsiTheme="minorEastAsia"/>
              <w:szCs w:val="21"/>
            </w:rPr>
            <w:fldChar w:fldCharType="separate"/>
          </w:r>
          <w:r>
            <w:rPr>
              <w:rFonts w:hint="eastAsia"/>
            </w:rPr>
            <w:t>4.3.4</w:t>
          </w:r>
          <w:r>
            <w:t>发票读入</w:t>
          </w:r>
          <w:r>
            <w:tab/>
          </w:r>
          <w:r>
            <w:fldChar w:fldCharType="begin"/>
          </w:r>
          <w:r>
            <w:instrText xml:space="preserve"> PAGEREF _Toc1860 </w:instrText>
          </w:r>
          <w:r>
            <w:fldChar w:fldCharType="separate"/>
          </w:r>
          <w:r>
            <w:t>45</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_Toc8274 </w:instrText>
          </w:r>
          <w:r>
            <w:rPr>
              <w:rFonts w:asciiTheme="minorEastAsia" w:hAnsiTheme="minorEastAsia"/>
              <w:szCs w:val="21"/>
            </w:rPr>
            <w:fldChar w:fldCharType="separate"/>
          </w:r>
          <w:r>
            <w:rPr>
              <w:rFonts w:hint="eastAsia"/>
            </w:rPr>
            <w:t>4.3.5</w:t>
          </w:r>
          <w:r>
            <w:t>发票库存查询</w:t>
          </w:r>
          <w:r>
            <w:tab/>
          </w:r>
          <w:r>
            <w:fldChar w:fldCharType="begin"/>
          </w:r>
          <w:r>
            <w:instrText xml:space="preserve"> PAGEREF _Toc8274 </w:instrText>
          </w:r>
          <w:r>
            <w:fldChar w:fldCharType="separate"/>
          </w:r>
          <w:r>
            <w:t>45</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_Toc1620 </w:instrText>
          </w:r>
          <w:r>
            <w:rPr>
              <w:rFonts w:asciiTheme="minorEastAsia" w:hAnsiTheme="minorEastAsia"/>
              <w:szCs w:val="21"/>
            </w:rPr>
            <w:fldChar w:fldCharType="separate"/>
          </w:r>
          <w:r>
            <w:rPr>
              <w:rFonts w:hint="eastAsia"/>
            </w:rPr>
            <w:t>4.3.6</w:t>
          </w:r>
          <w:r>
            <w:t>发票开具</w:t>
          </w:r>
          <w:r>
            <w:tab/>
          </w:r>
          <w:r>
            <w:fldChar w:fldCharType="begin"/>
          </w:r>
          <w:r>
            <w:instrText xml:space="preserve"> PAGEREF _Toc1620 </w:instrText>
          </w:r>
          <w:r>
            <w:fldChar w:fldCharType="separate"/>
          </w:r>
          <w:r>
            <w:t>46</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_Toc122 </w:instrText>
          </w:r>
          <w:r>
            <w:rPr>
              <w:rFonts w:asciiTheme="minorEastAsia" w:hAnsiTheme="minorEastAsia"/>
              <w:szCs w:val="21"/>
            </w:rPr>
            <w:fldChar w:fldCharType="separate"/>
          </w:r>
          <w:r>
            <w:rPr>
              <w:rFonts w:hint="eastAsia"/>
            </w:rPr>
            <w:t>4.3.7</w:t>
          </w:r>
          <w:r>
            <w:t>发票冲红</w:t>
          </w:r>
          <w:r>
            <w:tab/>
          </w:r>
          <w:r>
            <w:fldChar w:fldCharType="begin"/>
          </w:r>
          <w:r>
            <w:instrText xml:space="preserve"> PAGEREF _Toc122 </w:instrText>
          </w:r>
          <w:r>
            <w:fldChar w:fldCharType="separate"/>
          </w:r>
          <w:r>
            <w:t>46</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_Toc3701 </w:instrText>
          </w:r>
          <w:r>
            <w:rPr>
              <w:rFonts w:asciiTheme="minorEastAsia" w:hAnsiTheme="minorEastAsia"/>
              <w:szCs w:val="21"/>
            </w:rPr>
            <w:fldChar w:fldCharType="separate"/>
          </w:r>
          <w:r>
            <w:rPr>
              <w:rFonts w:hint="eastAsia"/>
            </w:rPr>
            <w:t>4.3.8</w:t>
          </w:r>
          <w:r>
            <w:t>发票上传</w:t>
          </w:r>
          <w:r>
            <w:tab/>
          </w:r>
          <w:r>
            <w:fldChar w:fldCharType="begin"/>
          </w:r>
          <w:r>
            <w:instrText xml:space="preserve"> PAGEREF _Toc3701 </w:instrText>
          </w:r>
          <w:r>
            <w:fldChar w:fldCharType="separate"/>
          </w:r>
          <w:r>
            <w:t>46</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_Toc11372 </w:instrText>
          </w:r>
          <w:r>
            <w:rPr>
              <w:rFonts w:asciiTheme="minorEastAsia" w:hAnsiTheme="minorEastAsia"/>
              <w:szCs w:val="21"/>
            </w:rPr>
            <w:fldChar w:fldCharType="separate"/>
          </w:r>
          <w:r>
            <w:rPr>
              <w:rFonts w:hint="eastAsia"/>
            </w:rPr>
            <w:t>4.3.9</w:t>
          </w:r>
          <w:r>
            <w:t>业务监控</w:t>
          </w:r>
          <w:r>
            <w:tab/>
          </w:r>
          <w:r>
            <w:fldChar w:fldCharType="begin"/>
          </w:r>
          <w:r>
            <w:instrText xml:space="preserve"> PAGEREF _Toc11372 </w:instrText>
          </w:r>
          <w:r>
            <w:fldChar w:fldCharType="separate"/>
          </w:r>
          <w:r>
            <w:t>46</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_Toc833 </w:instrText>
          </w:r>
          <w:r>
            <w:rPr>
              <w:rFonts w:asciiTheme="minorEastAsia" w:hAnsiTheme="minorEastAsia"/>
              <w:szCs w:val="21"/>
            </w:rPr>
            <w:fldChar w:fldCharType="separate"/>
          </w:r>
          <w:r>
            <w:rPr>
              <w:rFonts w:hint="eastAsia"/>
            </w:rPr>
            <w:t>4.3.1</w:t>
          </w:r>
          <w:r>
            <w:t>0查询统计</w:t>
          </w:r>
          <w:r>
            <w:tab/>
          </w:r>
          <w:r>
            <w:fldChar w:fldCharType="begin"/>
          </w:r>
          <w:r>
            <w:instrText xml:space="preserve"> PAGEREF _Toc833 </w:instrText>
          </w:r>
          <w:r>
            <w:fldChar w:fldCharType="separate"/>
          </w:r>
          <w:r>
            <w:t>46</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_Toc4934 </w:instrText>
          </w:r>
          <w:r>
            <w:rPr>
              <w:rFonts w:asciiTheme="minorEastAsia" w:hAnsiTheme="minorEastAsia"/>
              <w:szCs w:val="21"/>
            </w:rPr>
            <w:fldChar w:fldCharType="separate"/>
          </w:r>
          <w:r>
            <w:rPr>
              <w:rFonts w:hint="eastAsia"/>
            </w:rPr>
            <w:t>4.3.11</w:t>
          </w:r>
          <w:r>
            <w:t>多税号管理</w:t>
          </w:r>
          <w:r>
            <w:tab/>
          </w:r>
          <w:r>
            <w:fldChar w:fldCharType="begin"/>
          </w:r>
          <w:r>
            <w:instrText xml:space="preserve"> PAGEREF _Toc4934 </w:instrText>
          </w:r>
          <w:r>
            <w:fldChar w:fldCharType="separate"/>
          </w:r>
          <w:r>
            <w:t>46</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_Toc29088 </w:instrText>
          </w:r>
          <w:r>
            <w:rPr>
              <w:rFonts w:asciiTheme="minorEastAsia" w:hAnsiTheme="minorEastAsia"/>
              <w:szCs w:val="21"/>
            </w:rPr>
            <w:fldChar w:fldCharType="separate"/>
          </w:r>
          <w:r>
            <w:rPr>
              <w:rFonts w:hint="eastAsia"/>
            </w:rPr>
            <w:t>4.3.12</w:t>
          </w:r>
          <w:r>
            <w:t>多盘调度配置</w:t>
          </w:r>
          <w:r>
            <w:tab/>
          </w:r>
          <w:r>
            <w:fldChar w:fldCharType="begin"/>
          </w:r>
          <w:r>
            <w:instrText xml:space="preserve"> PAGEREF _Toc29088 </w:instrText>
          </w:r>
          <w:r>
            <w:fldChar w:fldCharType="separate"/>
          </w:r>
          <w:r>
            <w:t>47</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_Toc1926 </w:instrText>
          </w:r>
          <w:r>
            <w:rPr>
              <w:rFonts w:asciiTheme="minorEastAsia" w:hAnsiTheme="minorEastAsia"/>
              <w:szCs w:val="21"/>
            </w:rPr>
            <w:fldChar w:fldCharType="separate"/>
          </w:r>
          <w:r>
            <w:rPr>
              <w:rFonts w:hint="eastAsia"/>
            </w:rPr>
            <w:t>4.3.13</w:t>
          </w:r>
          <w:r>
            <w:t>远程抄报税</w:t>
          </w:r>
          <w:r>
            <w:tab/>
          </w:r>
          <w:r>
            <w:fldChar w:fldCharType="begin"/>
          </w:r>
          <w:r>
            <w:instrText xml:space="preserve"> PAGEREF _Toc1926 </w:instrText>
          </w:r>
          <w:r>
            <w:fldChar w:fldCharType="separate"/>
          </w:r>
          <w:r>
            <w:t>47</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_Toc24168 </w:instrText>
          </w:r>
          <w:r>
            <w:rPr>
              <w:rFonts w:asciiTheme="minorEastAsia" w:hAnsiTheme="minorEastAsia"/>
              <w:szCs w:val="21"/>
            </w:rPr>
            <w:fldChar w:fldCharType="separate"/>
          </w:r>
          <w:r>
            <w:rPr>
              <w:rFonts w:hint="eastAsia"/>
            </w:rPr>
            <w:t>4.3.14</w:t>
          </w:r>
          <w:r>
            <w:t>远程清卡</w:t>
          </w:r>
          <w:r>
            <w:tab/>
          </w:r>
          <w:r>
            <w:fldChar w:fldCharType="begin"/>
          </w:r>
          <w:r>
            <w:instrText xml:space="preserve"> PAGEREF _Toc24168 </w:instrText>
          </w:r>
          <w:r>
            <w:fldChar w:fldCharType="separate"/>
          </w:r>
          <w:r>
            <w:t>47</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_Toc19894 </w:instrText>
          </w:r>
          <w:r>
            <w:rPr>
              <w:rFonts w:asciiTheme="minorEastAsia" w:hAnsiTheme="minorEastAsia"/>
              <w:szCs w:val="21"/>
            </w:rPr>
            <w:fldChar w:fldCharType="separate"/>
          </w:r>
          <w:r>
            <w:rPr>
              <w:rFonts w:hint="eastAsia"/>
            </w:rPr>
            <w:t>4.3.15</w:t>
          </w:r>
          <w:r>
            <w:t>系统管理</w:t>
          </w:r>
          <w:r>
            <w:tab/>
          </w:r>
          <w:r>
            <w:fldChar w:fldCharType="begin"/>
          </w:r>
          <w:r>
            <w:instrText xml:space="preserve"> PAGEREF _Toc19894 </w:instrText>
          </w:r>
          <w:r>
            <w:fldChar w:fldCharType="separate"/>
          </w:r>
          <w:r>
            <w:t>47</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_Toc10972 </w:instrText>
          </w:r>
          <w:r>
            <w:rPr>
              <w:rFonts w:asciiTheme="minorEastAsia" w:hAnsiTheme="minorEastAsia"/>
              <w:szCs w:val="21"/>
            </w:rPr>
            <w:fldChar w:fldCharType="separate"/>
          </w:r>
          <w:r>
            <w:rPr>
              <w:rFonts w:hint="eastAsia"/>
            </w:rPr>
            <w:t>签章制作</w:t>
          </w:r>
          <w:r>
            <w:tab/>
          </w:r>
          <w:r>
            <w:fldChar w:fldCharType="begin"/>
          </w:r>
          <w:r>
            <w:instrText xml:space="preserve"> PAGEREF _Toc10972 </w:instrText>
          </w:r>
          <w:r>
            <w:fldChar w:fldCharType="separate"/>
          </w:r>
          <w:r>
            <w:t>47</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_Toc15721 </w:instrText>
          </w:r>
          <w:r>
            <w:rPr>
              <w:rFonts w:asciiTheme="minorEastAsia" w:hAnsiTheme="minorEastAsia"/>
              <w:szCs w:val="21"/>
            </w:rPr>
            <w:fldChar w:fldCharType="separate"/>
          </w:r>
          <w:r>
            <w:rPr>
              <w:rFonts w:hint="eastAsia"/>
            </w:rPr>
            <w:t>签章管理</w:t>
          </w:r>
          <w:r>
            <w:tab/>
          </w:r>
          <w:r>
            <w:fldChar w:fldCharType="begin"/>
          </w:r>
          <w:r>
            <w:instrText xml:space="preserve"> PAGEREF _Toc15721 </w:instrText>
          </w:r>
          <w:r>
            <w:fldChar w:fldCharType="separate"/>
          </w:r>
          <w:r>
            <w:t>47</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_Toc17979 </w:instrText>
          </w:r>
          <w:r>
            <w:rPr>
              <w:rFonts w:asciiTheme="minorEastAsia" w:hAnsiTheme="minorEastAsia"/>
              <w:szCs w:val="21"/>
            </w:rPr>
            <w:fldChar w:fldCharType="separate"/>
          </w:r>
          <w:r>
            <w:rPr>
              <w:rFonts w:hint="eastAsia"/>
            </w:rPr>
            <w:t>模板管理</w:t>
          </w:r>
          <w:r>
            <w:tab/>
          </w:r>
          <w:r>
            <w:fldChar w:fldCharType="begin"/>
          </w:r>
          <w:r>
            <w:instrText xml:space="preserve"> PAGEREF _Toc17979 </w:instrText>
          </w:r>
          <w:r>
            <w:fldChar w:fldCharType="separate"/>
          </w:r>
          <w:r>
            <w:t>47</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_Toc28424 </w:instrText>
          </w:r>
          <w:r>
            <w:rPr>
              <w:rFonts w:asciiTheme="minorEastAsia" w:hAnsiTheme="minorEastAsia"/>
              <w:szCs w:val="21"/>
            </w:rPr>
            <w:fldChar w:fldCharType="separate"/>
          </w:r>
          <w:r>
            <w:rPr>
              <w:rFonts w:hint="eastAsia"/>
            </w:rPr>
            <w:t>4.3.16</w:t>
          </w:r>
          <w:r>
            <w:t>系统监控</w:t>
          </w:r>
          <w:r>
            <w:tab/>
          </w:r>
          <w:r>
            <w:fldChar w:fldCharType="begin"/>
          </w:r>
          <w:r>
            <w:instrText xml:space="preserve"> PAGEREF _Toc28424 </w:instrText>
          </w:r>
          <w:r>
            <w:fldChar w:fldCharType="separate"/>
          </w:r>
          <w:r>
            <w:t>47</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_Toc23749 </w:instrText>
          </w:r>
          <w:r>
            <w:rPr>
              <w:rFonts w:asciiTheme="minorEastAsia" w:hAnsiTheme="minorEastAsia"/>
              <w:szCs w:val="21"/>
            </w:rPr>
            <w:fldChar w:fldCharType="separate"/>
          </w:r>
          <w:r>
            <w:rPr>
              <w:rFonts w:hint="eastAsia"/>
            </w:rPr>
            <w:t>4.4.</w:t>
          </w:r>
          <w:r>
            <w:rPr>
              <w:rFonts w:hint="eastAsia"/>
              <w:lang w:val="en-US" w:eastAsia="zh-CN"/>
            </w:rPr>
            <w:t>17</w:t>
          </w:r>
          <w:r>
            <w:rPr>
              <w:rFonts w:hint="eastAsia"/>
            </w:rPr>
            <w:t>电子发票同步服务</w:t>
          </w:r>
          <w:r>
            <w:tab/>
          </w:r>
          <w:r>
            <w:fldChar w:fldCharType="begin"/>
          </w:r>
          <w:r>
            <w:instrText xml:space="preserve"> PAGEREF _Toc23749 </w:instrText>
          </w:r>
          <w:r>
            <w:fldChar w:fldCharType="separate"/>
          </w:r>
          <w:r>
            <w:t>48</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_Toc1360 </w:instrText>
          </w:r>
          <w:r>
            <w:rPr>
              <w:rFonts w:asciiTheme="minorEastAsia" w:hAnsiTheme="minorEastAsia"/>
              <w:szCs w:val="21"/>
            </w:rPr>
            <w:fldChar w:fldCharType="separate"/>
          </w:r>
          <w:r>
            <w:rPr>
              <w:rFonts w:hint="eastAsia"/>
            </w:rPr>
            <w:t>4.4 发票服务平台</w:t>
          </w:r>
          <w:r>
            <w:tab/>
          </w:r>
          <w:r>
            <w:fldChar w:fldCharType="begin"/>
          </w:r>
          <w:r>
            <w:instrText xml:space="preserve"> PAGEREF _Toc1360 </w:instrText>
          </w:r>
          <w:r>
            <w:fldChar w:fldCharType="separate"/>
          </w:r>
          <w:r>
            <w:t>48</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_Toc30683 </w:instrText>
          </w:r>
          <w:r>
            <w:rPr>
              <w:rFonts w:asciiTheme="minorEastAsia" w:hAnsiTheme="minorEastAsia"/>
              <w:szCs w:val="21"/>
            </w:rPr>
            <w:fldChar w:fldCharType="separate"/>
          </w:r>
          <w:r>
            <w:rPr>
              <w:rFonts w:hint="eastAsia"/>
            </w:rPr>
            <w:t>4.4.</w:t>
          </w:r>
          <w:r>
            <w:rPr>
              <w:rFonts w:hint="eastAsia"/>
              <w:lang w:val="en-US" w:eastAsia="zh-CN"/>
            </w:rPr>
            <w:t>1发票查询</w:t>
          </w:r>
          <w:r>
            <w:tab/>
          </w:r>
          <w:r>
            <w:fldChar w:fldCharType="begin"/>
          </w:r>
          <w:r>
            <w:instrText xml:space="preserve"> PAGEREF _Toc30683 </w:instrText>
          </w:r>
          <w:r>
            <w:fldChar w:fldCharType="separate"/>
          </w:r>
          <w:r>
            <w:t>48</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_Toc22377 </w:instrText>
          </w:r>
          <w:r>
            <w:rPr>
              <w:rFonts w:asciiTheme="minorEastAsia" w:hAnsiTheme="minorEastAsia"/>
              <w:szCs w:val="21"/>
            </w:rPr>
            <w:fldChar w:fldCharType="separate"/>
          </w:r>
          <w:r>
            <w:rPr>
              <w:rFonts w:hint="eastAsia"/>
            </w:rPr>
            <w:t>4.4.</w:t>
          </w:r>
          <w:r>
            <w:rPr>
              <w:rFonts w:hint="eastAsia"/>
              <w:lang w:val="en-US" w:eastAsia="zh-CN"/>
            </w:rPr>
            <w:t>2发票验证</w:t>
          </w:r>
          <w:r>
            <w:tab/>
          </w:r>
          <w:r>
            <w:fldChar w:fldCharType="begin"/>
          </w:r>
          <w:r>
            <w:instrText xml:space="preserve"> PAGEREF _Toc22377 </w:instrText>
          </w:r>
          <w:r>
            <w:fldChar w:fldCharType="separate"/>
          </w:r>
          <w:r>
            <w:t>48</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_Toc24610 </w:instrText>
          </w:r>
          <w:r>
            <w:rPr>
              <w:rFonts w:asciiTheme="minorEastAsia" w:hAnsiTheme="minorEastAsia"/>
              <w:szCs w:val="21"/>
            </w:rPr>
            <w:fldChar w:fldCharType="separate"/>
          </w:r>
          <w:r>
            <w:rPr>
              <w:rFonts w:hint="eastAsia"/>
            </w:rPr>
            <w:t>4.4.</w:t>
          </w:r>
          <w:r>
            <w:rPr>
              <w:rFonts w:hint="eastAsia"/>
              <w:lang w:val="en-US" w:eastAsia="zh-CN"/>
            </w:rPr>
            <w:t>3发票下载</w:t>
          </w:r>
          <w:r>
            <w:tab/>
          </w:r>
          <w:r>
            <w:fldChar w:fldCharType="begin"/>
          </w:r>
          <w:r>
            <w:instrText xml:space="preserve"> PAGEREF _Toc24610 </w:instrText>
          </w:r>
          <w:r>
            <w:fldChar w:fldCharType="separate"/>
          </w:r>
          <w:r>
            <w:t>48</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_Toc10490 </w:instrText>
          </w:r>
          <w:r>
            <w:rPr>
              <w:rFonts w:asciiTheme="minorEastAsia" w:hAnsiTheme="minorEastAsia"/>
              <w:szCs w:val="21"/>
            </w:rPr>
            <w:fldChar w:fldCharType="separate"/>
          </w:r>
          <w:r>
            <w:rPr>
              <w:rFonts w:hint="eastAsia"/>
            </w:rPr>
            <w:t>二、 3.2 数据整合说明及建议</w:t>
          </w:r>
          <w:r>
            <w:tab/>
          </w:r>
          <w:r>
            <w:fldChar w:fldCharType="begin"/>
          </w:r>
          <w:r>
            <w:instrText xml:space="preserve"> PAGEREF _Toc10490 </w:instrText>
          </w:r>
          <w:r>
            <w:fldChar w:fldCharType="separate"/>
          </w:r>
          <w:r>
            <w:t>49</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_Toc23003 </w:instrText>
          </w:r>
          <w:r>
            <w:rPr>
              <w:rFonts w:asciiTheme="minorEastAsia" w:hAnsiTheme="minorEastAsia"/>
              <w:szCs w:val="21"/>
            </w:rPr>
            <w:fldChar w:fldCharType="separate"/>
          </w:r>
          <w:r>
            <w:rPr>
              <w:rFonts w:hint="eastAsia"/>
            </w:rPr>
            <w:t>1． 3.2.1 核心接口设计及实现方式</w:t>
          </w:r>
          <w:r>
            <w:tab/>
          </w:r>
          <w:r>
            <w:fldChar w:fldCharType="begin"/>
          </w:r>
          <w:r>
            <w:instrText xml:space="preserve"> PAGEREF _Toc23003 </w:instrText>
          </w:r>
          <w:r>
            <w:fldChar w:fldCharType="separate"/>
          </w:r>
          <w:r>
            <w:t>49</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_Toc18350 </w:instrText>
          </w:r>
          <w:r>
            <w:rPr>
              <w:rFonts w:asciiTheme="minorEastAsia" w:hAnsiTheme="minorEastAsia"/>
              <w:szCs w:val="21"/>
            </w:rPr>
            <w:fldChar w:fldCharType="separate"/>
          </w:r>
          <w:r>
            <w:rPr>
              <w:rFonts w:hint="eastAsia"/>
            </w:rPr>
            <w:t>2． 3.2.2 通用接口（外层报文）格式设计</w:t>
          </w:r>
          <w:r>
            <w:tab/>
          </w:r>
          <w:r>
            <w:fldChar w:fldCharType="begin"/>
          </w:r>
          <w:r>
            <w:instrText xml:space="preserve"> PAGEREF _Toc18350 </w:instrText>
          </w:r>
          <w:r>
            <w:fldChar w:fldCharType="separate"/>
          </w:r>
          <w:r>
            <w:t>51</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_Toc21701 </w:instrText>
          </w:r>
          <w:r>
            <w:rPr>
              <w:rFonts w:asciiTheme="minorEastAsia" w:hAnsiTheme="minorEastAsia"/>
              <w:szCs w:val="21"/>
            </w:rPr>
            <w:fldChar w:fldCharType="separate"/>
          </w:r>
          <w:r>
            <w:rPr>
              <w:rFonts w:hint="eastAsia"/>
            </w:rPr>
            <w:t>3． 3.2.3 与</w:t>
          </w:r>
          <w:r>
            <w:rPr>
              <w:rFonts w:hint="eastAsia"/>
              <w:lang w:eastAsia="zh-CN"/>
            </w:rPr>
            <w:t>xx交通</w:t>
          </w:r>
          <w:r>
            <w:rPr>
              <w:rFonts w:hint="eastAsia"/>
            </w:rPr>
            <w:t>业务系统、发票管理系统的接口设计</w:t>
          </w:r>
          <w:r>
            <w:tab/>
          </w:r>
          <w:r>
            <w:fldChar w:fldCharType="begin"/>
          </w:r>
          <w:r>
            <w:instrText xml:space="preserve"> PAGEREF _Toc21701 </w:instrText>
          </w:r>
          <w:r>
            <w:fldChar w:fldCharType="separate"/>
          </w:r>
          <w:r>
            <w:t>52</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_Toc25086 </w:instrText>
          </w:r>
          <w:r>
            <w:rPr>
              <w:rFonts w:asciiTheme="minorEastAsia" w:hAnsiTheme="minorEastAsia"/>
              <w:szCs w:val="21"/>
            </w:rPr>
            <w:fldChar w:fldCharType="separate"/>
          </w:r>
          <w:r>
            <w:rPr>
              <w:rFonts w:hint="eastAsia"/>
            </w:rPr>
            <w:t>2.2.3.1发票开具接口</w:t>
          </w:r>
          <w:r>
            <w:tab/>
          </w:r>
          <w:r>
            <w:fldChar w:fldCharType="begin"/>
          </w:r>
          <w:r>
            <w:instrText xml:space="preserve"> PAGEREF _Toc25086 </w:instrText>
          </w:r>
          <w:r>
            <w:fldChar w:fldCharType="separate"/>
          </w:r>
          <w:r>
            <w:t>52</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_Toc13383 </w:instrText>
          </w:r>
          <w:r>
            <w:rPr>
              <w:rFonts w:asciiTheme="minorEastAsia" w:hAnsiTheme="minorEastAsia"/>
              <w:szCs w:val="21"/>
            </w:rPr>
            <w:fldChar w:fldCharType="separate"/>
          </w:r>
          <w:r>
            <w:rPr>
              <w:rFonts w:hint="eastAsia"/>
            </w:rPr>
            <w:t>（1） 3.2.3.2发票信息下载接口</w:t>
          </w:r>
          <w:r>
            <w:tab/>
          </w:r>
          <w:r>
            <w:fldChar w:fldCharType="begin"/>
          </w:r>
          <w:r>
            <w:instrText xml:space="preserve"> PAGEREF _Toc13383 </w:instrText>
          </w:r>
          <w:r>
            <w:fldChar w:fldCharType="separate"/>
          </w:r>
          <w:r>
            <w:t>61</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_Toc18756 </w:instrText>
          </w:r>
          <w:r>
            <w:rPr>
              <w:rFonts w:asciiTheme="minorEastAsia" w:hAnsiTheme="minorEastAsia"/>
              <w:szCs w:val="21"/>
            </w:rPr>
            <w:fldChar w:fldCharType="separate"/>
          </w:r>
          <w:r>
            <w:rPr>
              <w:rFonts w:hint="eastAsia"/>
            </w:rPr>
            <w:t>3.2.3.3发票信息推送接口</w:t>
          </w:r>
          <w:r>
            <w:tab/>
          </w:r>
          <w:r>
            <w:fldChar w:fldCharType="begin"/>
          </w:r>
          <w:r>
            <w:instrText xml:space="preserve"> PAGEREF _Toc18756 </w:instrText>
          </w:r>
          <w:r>
            <w:fldChar w:fldCharType="separate"/>
          </w:r>
          <w:r>
            <w:t>64</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_Toc14771 </w:instrText>
          </w:r>
          <w:r>
            <w:rPr>
              <w:rFonts w:asciiTheme="minorEastAsia" w:hAnsiTheme="minorEastAsia"/>
              <w:szCs w:val="21"/>
            </w:rPr>
            <w:fldChar w:fldCharType="separate"/>
          </w:r>
          <w:r>
            <w:rPr>
              <w:rFonts w:hint="eastAsia"/>
            </w:rPr>
            <w:t>2.2.3.4对账接口</w:t>
          </w:r>
          <w:r>
            <w:tab/>
          </w:r>
          <w:r>
            <w:fldChar w:fldCharType="begin"/>
          </w:r>
          <w:r>
            <w:instrText xml:space="preserve"> PAGEREF _Toc14771 </w:instrText>
          </w:r>
          <w:r>
            <w:fldChar w:fldCharType="separate"/>
          </w:r>
          <w:r>
            <w:t>66</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_Toc8543 </w:instrText>
          </w:r>
          <w:r>
            <w:rPr>
              <w:rFonts w:asciiTheme="minorEastAsia" w:hAnsiTheme="minorEastAsia"/>
              <w:szCs w:val="21"/>
            </w:rPr>
            <w:fldChar w:fldCharType="separate"/>
          </w:r>
          <w:r>
            <w:rPr>
              <w:rFonts w:hint="eastAsia"/>
            </w:rPr>
            <w:t>4． 3.2.4 与第三方服务平台的接口设计</w:t>
          </w:r>
          <w:r>
            <w:tab/>
          </w:r>
          <w:r>
            <w:fldChar w:fldCharType="begin"/>
          </w:r>
          <w:r>
            <w:instrText xml:space="preserve"> PAGEREF _Toc8543 </w:instrText>
          </w:r>
          <w:r>
            <w:fldChar w:fldCharType="separate"/>
          </w:r>
          <w:r>
            <w:t>68</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_Toc10724 </w:instrText>
          </w:r>
          <w:r>
            <w:rPr>
              <w:rFonts w:asciiTheme="minorEastAsia" w:hAnsiTheme="minorEastAsia"/>
              <w:szCs w:val="21"/>
            </w:rPr>
            <w:fldChar w:fldCharType="separate"/>
          </w:r>
          <w:r>
            <w:rPr>
              <w:rFonts w:hint="eastAsia"/>
            </w:rPr>
            <w:t>3.2.4.1发票验证</w:t>
          </w:r>
          <w:r>
            <w:tab/>
          </w:r>
          <w:r>
            <w:fldChar w:fldCharType="begin"/>
          </w:r>
          <w:r>
            <w:instrText xml:space="preserve"> PAGEREF _Toc10724 </w:instrText>
          </w:r>
          <w:r>
            <w:fldChar w:fldCharType="separate"/>
          </w:r>
          <w:r>
            <w:t>68</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_Toc21098 </w:instrText>
          </w:r>
          <w:r>
            <w:rPr>
              <w:rFonts w:asciiTheme="minorEastAsia" w:hAnsiTheme="minorEastAsia"/>
              <w:szCs w:val="21"/>
            </w:rPr>
            <w:fldChar w:fldCharType="separate"/>
          </w:r>
          <w:r>
            <w:rPr>
              <w:rFonts w:hint="eastAsia"/>
            </w:rPr>
            <w:t>3.2.4.2开具发票上传</w:t>
          </w:r>
          <w:r>
            <w:tab/>
          </w:r>
          <w:r>
            <w:fldChar w:fldCharType="begin"/>
          </w:r>
          <w:r>
            <w:instrText xml:space="preserve"> PAGEREF _Toc21098 </w:instrText>
          </w:r>
          <w:r>
            <w:fldChar w:fldCharType="separate"/>
          </w:r>
          <w:r>
            <w:t>77</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_Toc20613 </w:instrText>
          </w:r>
          <w:r>
            <w:rPr>
              <w:rFonts w:asciiTheme="minorEastAsia" w:hAnsiTheme="minorEastAsia"/>
              <w:szCs w:val="21"/>
            </w:rPr>
            <w:fldChar w:fldCharType="separate"/>
          </w:r>
          <w:r>
            <w:rPr>
              <w:rFonts w:hint="eastAsia"/>
            </w:rPr>
            <w:t>3.2.4.3进项发票下载</w:t>
          </w:r>
          <w:r>
            <w:tab/>
          </w:r>
          <w:r>
            <w:fldChar w:fldCharType="begin"/>
          </w:r>
          <w:r>
            <w:instrText xml:space="preserve"> PAGEREF _Toc20613 </w:instrText>
          </w:r>
          <w:r>
            <w:fldChar w:fldCharType="separate"/>
          </w:r>
          <w:r>
            <w:t>82</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_Toc30048 </w:instrText>
          </w:r>
          <w:r>
            <w:rPr>
              <w:rFonts w:asciiTheme="minorEastAsia" w:hAnsiTheme="minorEastAsia"/>
              <w:szCs w:val="21"/>
            </w:rPr>
            <w:fldChar w:fldCharType="separate"/>
          </w:r>
          <w:r>
            <w:rPr>
              <w:rFonts w:hint="eastAsia"/>
            </w:rPr>
            <w:t>5． 3.2.5 Web Services接口标准</w:t>
          </w:r>
          <w:r>
            <w:tab/>
          </w:r>
          <w:r>
            <w:fldChar w:fldCharType="begin"/>
          </w:r>
          <w:r>
            <w:instrText xml:space="preserve"> PAGEREF _Toc30048 </w:instrText>
          </w:r>
          <w:r>
            <w:fldChar w:fldCharType="separate"/>
          </w:r>
          <w:r>
            <w:t>89</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_Toc22202 </w:instrText>
          </w:r>
          <w:r>
            <w:rPr>
              <w:rFonts w:asciiTheme="minorEastAsia" w:hAnsiTheme="minorEastAsia"/>
              <w:szCs w:val="21"/>
            </w:rPr>
            <w:fldChar w:fldCharType="separate"/>
          </w:r>
          <w:r>
            <w:rPr>
              <w:rFonts w:hint="eastAsia"/>
            </w:rPr>
            <w:t>6． 3.2.6 XML数据交换标准</w:t>
          </w:r>
          <w:r>
            <w:tab/>
          </w:r>
          <w:r>
            <w:fldChar w:fldCharType="begin"/>
          </w:r>
          <w:r>
            <w:instrText xml:space="preserve"> PAGEREF _Toc22202 </w:instrText>
          </w:r>
          <w:r>
            <w:fldChar w:fldCharType="separate"/>
          </w:r>
          <w:r>
            <w:t>91</w:t>
          </w:r>
          <w:r>
            <w:fldChar w:fldCharType="end"/>
          </w:r>
          <w:r>
            <w:rPr>
              <w:rFonts w:asciiTheme="minorEastAsia" w:hAnsiTheme="minorEastAsia"/>
              <w:szCs w:val="21"/>
            </w:rPr>
            <w:fldChar w:fldCharType="end"/>
          </w:r>
        </w:p>
        <w:p>
          <w:pPr>
            <w:pStyle w:val="25"/>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_Toc31389 </w:instrText>
          </w:r>
          <w:r>
            <w:rPr>
              <w:rFonts w:asciiTheme="minorEastAsia" w:hAnsiTheme="minorEastAsia"/>
              <w:szCs w:val="21"/>
            </w:rPr>
            <w:fldChar w:fldCharType="separate"/>
          </w:r>
          <w:r>
            <w:rPr>
              <w:rFonts w:hint="eastAsia"/>
            </w:rPr>
            <w:t>第四章 系统安全解决方案</w:t>
          </w:r>
          <w:r>
            <w:tab/>
          </w:r>
          <w:r>
            <w:fldChar w:fldCharType="begin"/>
          </w:r>
          <w:r>
            <w:instrText xml:space="preserve"> PAGEREF _Toc31389 </w:instrText>
          </w:r>
          <w:r>
            <w:fldChar w:fldCharType="separate"/>
          </w:r>
          <w:r>
            <w:t>93</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_Toc20494 </w:instrText>
          </w:r>
          <w:r>
            <w:rPr>
              <w:rFonts w:asciiTheme="minorEastAsia" w:hAnsiTheme="minorEastAsia"/>
              <w:szCs w:val="21"/>
            </w:rPr>
            <w:fldChar w:fldCharType="separate"/>
          </w:r>
          <w:r>
            <w:rPr>
              <w:rFonts w:hint="eastAsia"/>
            </w:rPr>
            <w:t>一、 安全总体要求</w:t>
          </w:r>
          <w:r>
            <w:tab/>
          </w:r>
          <w:r>
            <w:fldChar w:fldCharType="begin"/>
          </w:r>
          <w:r>
            <w:instrText xml:space="preserve"> PAGEREF _Toc20494 </w:instrText>
          </w:r>
          <w:r>
            <w:fldChar w:fldCharType="separate"/>
          </w:r>
          <w:r>
            <w:t>93</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_Toc409 </w:instrText>
          </w:r>
          <w:r>
            <w:rPr>
              <w:rFonts w:asciiTheme="minorEastAsia" w:hAnsiTheme="minorEastAsia"/>
              <w:szCs w:val="21"/>
            </w:rPr>
            <w:fldChar w:fldCharType="separate"/>
          </w:r>
          <w:r>
            <w:rPr>
              <w:rFonts w:hint="eastAsia"/>
            </w:rPr>
            <w:t>二、 安全策略与措施</w:t>
          </w:r>
          <w:r>
            <w:tab/>
          </w:r>
          <w:r>
            <w:fldChar w:fldCharType="begin"/>
          </w:r>
          <w:r>
            <w:instrText xml:space="preserve"> PAGEREF _Toc409 </w:instrText>
          </w:r>
          <w:r>
            <w:fldChar w:fldCharType="separate"/>
          </w:r>
          <w:r>
            <w:t>93</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_Toc14288 </w:instrText>
          </w:r>
          <w:r>
            <w:rPr>
              <w:rFonts w:asciiTheme="minorEastAsia" w:hAnsiTheme="minorEastAsia"/>
              <w:szCs w:val="21"/>
            </w:rPr>
            <w:fldChar w:fldCharType="separate"/>
          </w:r>
          <w:r>
            <w:rPr>
              <w:rFonts w:hint="eastAsia"/>
            </w:rPr>
            <w:t>1． 安全架构与总体架构的关系</w:t>
          </w:r>
          <w:r>
            <w:tab/>
          </w:r>
          <w:r>
            <w:fldChar w:fldCharType="begin"/>
          </w:r>
          <w:r>
            <w:instrText xml:space="preserve"> PAGEREF _Toc14288 </w:instrText>
          </w:r>
          <w:r>
            <w:fldChar w:fldCharType="separate"/>
          </w:r>
          <w:r>
            <w:t>95</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_Toc21332 </w:instrText>
          </w:r>
          <w:r>
            <w:rPr>
              <w:rFonts w:asciiTheme="minorEastAsia" w:hAnsiTheme="minorEastAsia"/>
              <w:szCs w:val="21"/>
            </w:rPr>
            <w:fldChar w:fldCharType="separate"/>
          </w:r>
          <w:r>
            <w:rPr>
              <w:rFonts w:hint="eastAsia"/>
            </w:rPr>
            <w:t>2． 安全架构与信息安全系统的关系</w:t>
          </w:r>
          <w:r>
            <w:tab/>
          </w:r>
          <w:r>
            <w:fldChar w:fldCharType="begin"/>
          </w:r>
          <w:r>
            <w:instrText xml:space="preserve"> PAGEREF _Toc21332 </w:instrText>
          </w:r>
          <w:r>
            <w:fldChar w:fldCharType="separate"/>
          </w:r>
          <w:r>
            <w:t>95</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_Toc10814 </w:instrText>
          </w:r>
          <w:r>
            <w:rPr>
              <w:rFonts w:asciiTheme="minorEastAsia" w:hAnsiTheme="minorEastAsia"/>
              <w:szCs w:val="21"/>
            </w:rPr>
            <w:fldChar w:fldCharType="separate"/>
          </w:r>
          <w:r>
            <w:rPr>
              <w:rFonts w:hint="eastAsia"/>
            </w:rPr>
            <w:t>3． 安全体系架构</w:t>
          </w:r>
          <w:r>
            <w:tab/>
          </w:r>
          <w:r>
            <w:fldChar w:fldCharType="begin"/>
          </w:r>
          <w:r>
            <w:instrText xml:space="preserve"> PAGEREF _Toc10814 </w:instrText>
          </w:r>
          <w:r>
            <w:fldChar w:fldCharType="separate"/>
          </w:r>
          <w:r>
            <w:t>95</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_Toc15691 </w:instrText>
          </w:r>
          <w:r>
            <w:rPr>
              <w:rFonts w:asciiTheme="minorEastAsia" w:hAnsiTheme="minorEastAsia"/>
              <w:szCs w:val="21"/>
            </w:rPr>
            <w:fldChar w:fldCharType="separate"/>
          </w:r>
          <w:r>
            <w:rPr>
              <w:rFonts w:hint="eastAsia"/>
            </w:rPr>
            <w:t>4． 信息安全方针</w:t>
          </w:r>
          <w:r>
            <w:tab/>
          </w:r>
          <w:r>
            <w:fldChar w:fldCharType="begin"/>
          </w:r>
          <w:r>
            <w:instrText xml:space="preserve"> PAGEREF _Toc15691 </w:instrText>
          </w:r>
          <w:r>
            <w:fldChar w:fldCharType="separate"/>
          </w:r>
          <w:r>
            <w:t>99</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_Toc16439 </w:instrText>
          </w:r>
          <w:r>
            <w:rPr>
              <w:rFonts w:asciiTheme="minorEastAsia" w:hAnsiTheme="minorEastAsia"/>
              <w:szCs w:val="21"/>
            </w:rPr>
            <w:fldChar w:fldCharType="separate"/>
          </w:r>
          <w:r>
            <w:rPr>
              <w:rFonts w:hint="eastAsia"/>
            </w:rPr>
            <w:t>5． 安全技术策略</w:t>
          </w:r>
          <w:r>
            <w:tab/>
          </w:r>
          <w:r>
            <w:fldChar w:fldCharType="begin"/>
          </w:r>
          <w:r>
            <w:instrText xml:space="preserve"> PAGEREF _Toc16439 </w:instrText>
          </w:r>
          <w:r>
            <w:fldChar w:fldCharType="separate"/>
          </w:r>
          <w:r>
            <w:t>100</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_Toc14574 </w:instrText>
          </w:r>
          <w:r>
            <w:rPr>
              <w:rFonts w:asciiTheme="minorEastAsia" w:hAnsiTheme="minorEastAsia"/>
              <w:szCs w:val="21"/>
            </w:rPr>
            <w:fldChar w:fldCharType="separate"/>
          </w:r>
          <w:r>
            <w:rPr>
              <w:rFonts w:hint="eastAsia"/>
            </w:rPr>
            <w:t>6． 安全管理策略</w:t>
          </w:r>
          <w:r>
            <w:tab/>
          </w:r>
          <w:r>
            <w:fldChar w:fldCharType="begin"/>
          </w:r>
          <w:r>
            <w:instrText xml:space="preserve"> PAGEREF _Toc14574 </w:instrText>
          </w:r>
          <w:r>
            <w:fldChar w:fldCharType="separate"/>
          </w:r>
          <w:r>
            <w:t>100</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_Toc26950 </w:instrText>
          </w:r>
          <w:r>
            <w:rPr>
              <w:rFonts w:asciiTheme="minorEastAsia" w:hAnsiTheme="minorEastAsia"/>
              <w:szCs w:val="21"/>
            </w:rPr>
            <w:fldChar w:fldCharType="separate"/>
          </w:r>
          <w:r>
            <w:rPr>
              <w:rFonts w:hint="eastAsia"/>
            </w:rPr>
            <w:t>三、 安全技术整体设计</w:t>
          </w:r>
          <w:r>
            <w:tab/>
          </w:r>
          <w:r>
            <w:fldChar w:fldCharType="begin"/>
          </w:r>
          <w:r>
            <w:instrText xml:space="preserve"> PAGEREF _Toc26950 </w:instrText>
          </w:r>
          <w:r>
            <w:fldChar w:fldCharType="separate"/>
          </w:r>
          <w:r>
            <w:t>100</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_Toc27633 </w:instrText>
          </w:r>
          <w:r>
            <w:rPr>
              <w:rFonts w:asciiTheme="minorEastAsia" w:hAnsiTheme="minorEastAsia"/>
              <w:szCs w:val="21"/>
            </w:rPr>
            <w:fldChar w:fldCharType="separate"/>
          </w:r>
          <w:r>
            <w:rPr>
              <w:rFonts w:hint="eastAsia"/>
            </w:rPr>
            <w:t>1． 安全技术架构</w:t>
          </w:r>
          <w:r>
            <w:tab/>
          </w:r>
          <w:r>
            <w:fldChar w:fldCharType="begin"/>
          </w:r>
          <w:r>
            <w:instrText xml:space="preserve"> PAGEREF _Toc27633 </w:instrText>
          </w:r>
          <w:r>
            <w:fldChar w:fldCharType="separate"/>
          </w:r>
          <w:r>
            <w:t>100</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_Toc16201 </w:instrText>
          </w:r>
          <w:r>
            <w:rPr>
              <w:rFonts w:asciiTheme="minorEastAsia" w:hAnsiTheme="minorEastAsia"/>
              <w:szCs w:val="21"/>
            </w:rPr>
            <w:fldChar w:fldCharType="separate"/>
          </w:r>
          <w:r>
            <w:rPr>
              <w:rFonts w:hint="eastAsia"/>
            </w:rPr>
            <w:t>2． 应用层安全</w:t>
          </w:r>
          <w:r>
            <w:tab/>
          </w:r>
          <w:r>
            <w:fldChar w:fldCharType="begin"/>
          </w:r>
          <w:r>
            <w:instrText xml:space="preserve"> PAGEREF _Toc16201 </w:instrText>
          </w:r>
          <w:r>
            <w:fldChar w:fldCharType="separate"/>
          </w:r>
          <w:r>
            <w:t>101</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_Toc12265 </w:instrText>
          </w:r>
          <w:r>
            <w:rPr>
              <w:rFonts w:asciiTheme="minorEastAsia" w:hAnsiTheme="minorEastAsia"/>
              <w:szCs w:val="21"/>
            </w:rPr>
            <w:fldChar w:fldCharType="separate"/>
          </w:r>
          <w:r>
            <w:rPr>
              <w:rFonts w:hint="eastAsia"/>
            </w:rPr>
            <w:t>3． 数据层安全</w:t>
          </w:r>
          <w:r>
            <w:tab/>
          </w:r>
          <w:r>
            <w:fldChar w:fldCharType="begin"/>
          </w:r>
          <w:r>
            <w:instrText xml:space="preserve"> PAGEREF _Toc12265 </w:instrText>
          </w:r>
          <w:r>
            <w:fldChar w:fldCharType="separate"/>
          </w:r>
          <w:r>
            <w:t>103</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_Toc26621 </w:instrText>
          </w:r>
          <w:r>
            <w:rPr>
              <w:rFonts w:asciiTheme="minorEastAsia" w:hAnsiTheme="minorEastAsia"/>
              <w:szCs w:val="21"/>
            </w:rPr>
            <w:fldChar w:fldCharType="separate"/>
          </w:r>
          <w:r>
            <w:rPr>
              <w:rFonts w:hint="eastAsia"/>
            </w:rPr>
            <w:t>4． 终端安全</w:t>
          </w:r>
          <w:r>
            <w:tab/>
          </w:r>
          <w:r>
            <w:fldChar w:fldCharType="begin"/>
          </w:r>
          <w:r>
            <w:instrText xml:space="preserve"> PAGEREF _Toc26621 </w:instrText>
          </w:r>
          <w:r>
            <w:fldChar w:fldCharType="separate"/>
          </w:r>
          <w:r>
            <w:t>103</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_Toc1047 </w:instrText>
          </w:r>
          <w:r>
            <w:rPr>
              <w:rFonts w:asciiTheme="minorEastAsia" w:hAnsiTheme="minorEastAsia"/>
              <w:szCs w:val="21"/>
            </w:rPr>
            <w:fldChar w:fldCharType="separate"/>
          </w:r>
          <w:r>
            <w:rPr>
              <w:rFonts w:hint="eastAsia"/>
            </w:rPr>
            <w:t>5． 系统层安全策略</w:t>
          </w:r>
          <w:r>
            <w:tab/>
          </w:r>
          <w:r>
            <w:fldChar w:fldCharType="begin"/>
          </w:r>
          <w:r>
            <w:instrText xml:space="preserve"> PAGEREF _Toc1047 </w:instrText>
          </w:r>
          <w:r>
            <w:fldChar w:fldCharType="separate"/>
          </w:r>
          <w:r>
            <w:t>103</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_Toc31795 </w:instrText>
          </w:r>
          <w:r>
            <w:rPr>
              <w:rFonts w:asciiTheme="minorEastAsia" w:hAnsiTheme="minorEastAsia"/>
              <w:szCs w:val="21"/>
            </w:rPr>
            <w:fldChar w:fldCharType="separate"/>
          </w:r>
          <w:r>
            <w:rPr>
              <w:rFonts w:hint="eastAsia"/>
            </w:rPr>
            <w:t>6． 网络层安全策略</w:t>
          </w:r>
          <w:r>
            <w:tab/>
          </w:r>
          <w:r>
            <w:fldChar w:fldCharType="begin"/>
          </w:r>
          <w:r>
            <w:instrText xml:space="preserve"> PAGEREF _Toc31795 </w:instrText>
          </w:r>
          <w:r>
            <w:fldChar w:fldCharType="separate"/>
          </w:r>
          <w:r>
            <w:t>104</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_Toc8788 </w:instrText>
          </w:r>
          <w:r>
            <w:rPr>
              <w:rFonts w:asciiTheme="minorEastAsia" w:hAnsiTheme="minorEastAsia"/>
              <w:szCs w:val="21"/>
            </w:rPr>
            <w:fldChar w:fldCharType="separate"/>
          </w:r>
          <w:r>
            <w:rPr>
              <w:rFonts w:hint="eastAsia"/>
            </w:rPr>
            <w:t>7． 物理层安全</w:t>
          </w:r>
          <w:r>
            <w:tab/>
          </w:r>
          <w:r>
            <w:fldChar w:fldCharType="begin"/>
          </w:r>
          <w:r>
            <w:instrText xml:space="preserve"> PAGEREF _Toc8788 </w:instrText>
          </w:r>
          <w:r>
            <w:fldChar w:fldCharType="separate"/>
          </w:r>
          <w:r>
            <w:t>106</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_Toc27011 </w:instrText>
          </w:r>
          <w:r>
            <w:rPr>
              <w:rFonts w:asciiTheme="minorEastAsia" w:hAnsiTheme="minorEastAsia"/>
              <w:szCs w:val="21"/>
            </w:rPr>
            <w:fldChar w:fldCharType="separate"/>
          </w:r>
          <w:r>
            <w:rPr>
              <w:rFonts w:hint="eastAsia"/>
            </w:rPr>
            <w:t>四、 安全域划分与设计</w:t>
          </w:r>
          <w:r>
            <w:tab/>
          </w:r>
          <w:r>
            <w:fldChar w:fldCharType="begin"/>
          </w:r>
          <w:r>
            <w:instrText xml:space="preserve"> PAGEREF _Toc27011 </w:instrText>
          </w:r>
          <w:r>
            <w:fldChar w:fldCharType="separate"/>
          </w:r>
          <w:r>
            <w:t>106</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_Toc30831 </w:instrText>
          </w:r>
          <w:r>
            <w:rPr>
              <w:rFonts w:asciiTheme="minorEastAsia" w:hAnsiTheme="minorEastAsia"/>
              <w:szCs w:val="21"/>
            </w:rPr>
            <w:fldChar w:fldCharType="separate"/>
          </w:r>
          <w:r>
            <w:rPr>
              <w:rFonts w:hint="eastAsia"/>
            </w:rPr>
            <w:t>五、 安全管理方案</w:t>
          </w:r>
          <w:r>
            <w:tab/>
          </w:r>
          <w:r>
            <w:fldChar w:fldCharType="begin"/>
          </w:r>
          <w:r>
            <w:instrText xml:space="preserve"> PAGEREF _Toc30831 </w:instrText>
          </w:r>
          <w:r>
            <w:fldChar w:fldCharType="separate"/>
          </w:r>
          <w:r>
            <w:t>106</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_Toc10929 </w:instrText>
          </w:r>
          <w:r>
            <w:rPr>
              <w:rFonts w:asciiTheme="minorEastAsia" w:hAnsiTheme="minorEastAsia"/>
              <w:szCs w:val="21"/>
            </w:rPr>
            <w:fldChar w:fldCharType="separate"/>
          </w:r>
          <w:r>
            <w:rPr>
              <w:rFonts w:hint="eastAsia"/>
            </w:rPr>
            <w:t>1． 管理策略</w:t>
          </w:r>
          <w:r>
            <w:tab/>
          </w:r>
          <w:r>
            <w:fldChar w:fldCharType="begin"/>
          </w:r>
          <w:r>
            <w:instrText xml:space="preserve"> PAGEREF _Toc10929 </w:instrText>
          </w:r>
          <w:r>
            <w:fldChar w:fldCharType="separate"/>
          </w:r>
          <w:r>
            <w:t>107</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_Toc4487 </w:instrText>
          </w:r>
          <w:r>
            <w:rPr>
              <w:rFonts w:asciiTheme="minorEastAsia" w:hAnsiTheme="minorEastAsia"/>
              <w:szCs w:val="21"/>
            </w:rPr>
            <w:fldChar w:fldCharType="separate"/>
          </w:r>
          <w:r>
            <w:rPr>
              <w:rFonts w:hint="eastAsia"/>
            </w:rPr>
            <w:t>2． 管理机构</w:t>
          </w:r>
          <w:r>
            <w:tab/>
          </w:r>
          <w:r>
            <w:fldChar w:fldCharType="begin"/>
          </w:r>
          <w:r>
            <w:instrText xml:space="preserve"> PAGEREF _Toc4487 </w:instrText>
          </w:r>
          <w:r>
            <w:fldChar w:fldCharType="separate"/>
          </w:r>
          <w:r>
            <w:t>107</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_Toc21540 </w:instrText>
          </w:r>
          <w:r>
            <w:rPr>
              <w:rFonts w:asciiTheme="minorEastAsia" w:hAnsiTheme="minorEastAsia"/>
              <w:szCs w:val="21"/>
            </w:rPr>
            <w:fldChar w:fldCharType="separate"/>
          </w:r>
          <w:r>
            <w:rPr>
              <w:rFonts w:hint="eastAsia"/>
            </w:rPr>
            <w:t xml:space="preserve">3． </w:t>
          </w:r>
          <w:r>
            <w:t>安全管理制度</w:t>
          </w:r>
          <w:r>
            <w:tab/>
          </w:r>
          <w:r>
            <w:fldChar w:fldCharType="begin"/>
          </w:r>
          <w:r>
            <w:instrText xml:space="preserve"> PAGEREF _Toc21540 </w:instrText>
          </w:r>
          <w:r>
            <w:fldChar w:fldCharType="separate"/>
          </w:r>
          <w:r>
            <w:t>108</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_Toc5922 </w:instrText>
          </w:r>
          <w:r>
            <w:rPr>
              <w:rFonts w:asciiTheme="minorEastAsia" w:hAnsiTheme="minorEastAsia"/>
              <w:szCs w:val="21"/>
            </w:rPr>
            <w:fldChar w:fldCharType="separate"/>
          </w:r>
          <w:r>
            <w:rPr>
              <w:rFonts w:hint="eastAsia"/>
            </w:rPr>
            <w:t>4． 系统生命周期安全管理</w:t>
          </w:r>
          <w:r>
            <w:tab/>
          </w:r>
          <w:r>
            <w:fldChar w:fldCharType="begin"/>
          </w:r>
          <w:r>
            <w:instrText xml:space="preserve"> PAGEREF _Toc5922 </w:instrText>
          </w:r>
          <w:r>
            <w:fldChar w:fldCharType="separate"/>
          </w:r>
          <w:r>
            <w:t>110</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_Toc7449 </w:instrText>
          </w:r>
          <w:r>
            <w:rPr>
              <w:rFonts w:asciiTheme="minorEastAsia" w:hAnsiTheme="minorEastAsia"/>
              <w:szCs w:val="21"/>
            </w:rPr>
            <w:fldChar w:fldCharType="separate"/>
          </w:r>
          <w:r>
            <w:rPr>
              <w:rFonts w:hint="eastAsia"/>
            </w:rPr>
            <w:t>5． 信息生命周期与安全管理</w:t>
          </w:r>
          <w:r>
            <w:tab/>
          </w:r>
          <w:r>
            <w:fldChar w:fldCharType="begin"/>
          </w:r>
          <w:r>
            <w:instrText xml:space="preserve"> PAGEREF _Toc7449 </w:instrText>
          </w:r>
          <w:r>
            <w:fldChar w:fldCharType="separate"/>
          </w:r>
          <w:r>
            <w:t>110</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_Toc4113 </w:instrText>
          </w:r>
          <w:r>
            <w:rPr>
              <w:rFonts w:asciiTheme="minorEastAsia" w:hAnsiTheme="minorEastAsia"/>
              <w:szCs w:val="21"/>
            </w:rPr>
            <w:fldChar w:fldCharType="separate"/>
          </w:r>
          <w:r>
            <w:rPr>
              <w:rFonts w:hint="eastAsia"/>
            </w:rPr>
            <w:t>6． 人员安全管理</w:t>
          </w:r>
          <w:r>
            <w:tab/>
          </w:r>
          <w:r>
            <w:fldChar w:fldCharType="begin"/>
          </w:r>
          <w:r>
            <w:instrText xml:space="preserve"> PAGEREF _Toc4113 </w:instrText>
          </w:r>
          <w:r>
            <w:fldChar w:fldCharType="separate"/>
          </w:r>
          <w:r>
            <w:t>110</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_Toc4991 </w:instrText>
          </w:r>
          <w:r>
            <w:rPr>
              <w:rFonts w:asciiTheme="minorEastAsia" w:hAnsiTheme="minorEastAsia"/>
              <w:szCs w:val="21"/>
            </w:rPr>
            <w:fldChar w:fldCharType="separate"/>
          </w:r>
          <w:r>
            <w:rPr>
              <w:rFonts w:hint="eastAsia"/>
            </w:rPr>
            <w:t>六、 数据传输安全设计</w:t>
          </w:r>
          <w:r>
            <w:tab/>
          </w:r>
          <w:r>
            <w:fldChar w:fldCharType="begin"/>
          </w:r>
          <w:r>
            <w:instrText xml:space="preserve"> PAGEREF _Toc4991 </w:instrText>
          </w:r>
          <w:r>
            <w:fldChar w:fldCharType="separate"/>
          </w:r>
          <w:r>
            <w:t>111</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_Toc29540 </w:instrText>
          </w:r>
          <w:r>
            <w:rPr>
              <w:rFonts w:asciiTheme="minorEastAsia" w:hAnsiTheme="minorEastAsia"/>
              <w:szCs w:val="21"/>
            </w:rPr>
            <w:fldChar w:fldCharType="separate"/>
          </w:r>
          <w:r>
            <w:rPr>
              <w:rFonts w:hint="eastAsia"/>
            </w:rPr>
            <w:t>七、 权限管理设计</w:t>
          </w:r>
          <w:r>
            <w:tab/>
          </w:r>
          <w:r>
            <w:fldChar w:fldCharType="begin"/>
          </w:r>
          <w:r>
            <w:instrText xml:space="preserve"> PAGEREF _Toc29540 </w:instrText>
          </w:r>
          <w:r>
            <w:fldChar w:fldCharType="separate"/>
          </w:r>
          <w:r>
            <w:t>112</w:t>
          </w:r>
          <w:r>
            <w:fldChar w:fldCharType="end"/>
          </w:r>
          <w:r>
            <w:rPr>
              <w:rFonts w:asciiTheme="minorEastAsia" w:hAnsiTheme="minorEastAsia"/>
              <w:szCs w:val="21"/>
            </w:rPr>
            <w:fldChar w:fldCharType="end"/>
          </w:r>
        </w:p>
        <w:p>
          <w:pPr>
            <w:pStyle w:val="25"/>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_Toc22427 </w:instrText>
          </w:r>
          <w:r>
            <w:rPr>
              <w:rFonts w:asciiTheme="minorEastAsia" w:hAnsiTheme="minorEastAsia"/>
              <w:szCs w:val="21"/>
            </w:rPr>
            <w:fldChar w:fldCharType="separate"/>
          </w:r>
          <w:r>
            <w:rPr>
              <w:rFonts w:hint="eastAsia"/>
            </w:rPr>
            <w:t>第五章 系统详细设计</w:t>
          </w:r>
          <w:r>
            <w:tab/>
          </w:r>
          <w:r>
            <w:fldChar w:fldCharType="begin"/>
          </w:r>
          <w:r>
            <w:instrText xml:space="preserve"> PAGEREF _Toc22427 </w:instrText>
          </w:r>
          <w:r>
            <w:fldChar w:fldCharType="separate"/>
          </w:r>
          <w:r>
            <w:t>113</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_Toc6130 </w:instrText>
          </w:r>
          <w:r>
            <w:rPr>
              <w:rFonts w:asciiTheme="minorEastAsia" w:hAnsiTheme="minorEastAsia"/>
              <w:szCs w:val="21"/>
            </w:rPr>
            <w:fldChar w:fldCharType="separate"/>
          </w:r>
          <w:r>
            <w:rPr>
              <w:rFonts w:hint="eastAsia"/>
            </w:rPr>
            <w:t>一、 功能设计</w:t>
          </w:r>
          <w:r>
            <w:tab/>
          </w:r>
          <w:r>
            <w:fldChar w:fldCharType="begin"/>
          </w:r>
          <w:r>
            <w:instrText xml:space="preserve"> PAGEREF _Toc6130 </w:instrText>
          </w:r>
          <w:r>
            <w:fldChar w:fldCharType="separate"/>
          </w:r>
          <w:r>
            <w:t>113</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_Toc26087 </w:instrText>
          </w:r>
          <w:r>
            <w:rPr>
              <w:rFonts w:asciiTheme="minorEastAsia" w:hAnsiTheme="minorEastAsia"/>
              <w:szCs w:val="21"/>
            </w:rPr>
            <w:fldChar w:fldCharType="separate"/>
          </w:r>
          <w:r>
            <w:rPr>
              <w:rFonts w:hint="eastAsia"/>
            </w:rPr>
            <w:t>1． 系统管理</w:t>
          </w:r>
          <w:r>
            <w:tab/>
          </w:r>
          <w:r>
            <w:fldChar w:fldCharType="begin"/>
          </w:r>
          <w:r>
            <w:instrText xml:space="preserve"> PAGEREF _Toc26087 </w:instrText>
          </w:r>
          <w:r>
            <w:fldChar w:fldCharType="separate"/>
          </w:r>
          <w:r>
            <w:t>113</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_Toc3403 </w:instrText>
          </w:r>
          <w:r>
            <w:rPr>
              <w:rFonts w:asciiTheme="minorEastAsia" w:hAnsiTheme="minorEastAsia"/>
              <w:szCs w:val="21"/>
            </w:rPr>
            <w:fldChar w:fldCharType="separate"/>
          </w:r>
          <w:r>
            <w:rPr>
              <w:rFonts w:hint="eastAsia"/>
            </w:rPr>
            <w:t>1.1系统设置</w:t>
          </w:r>
          <w:r>
            <w:tab/>
          </w:r>
          <w:r>
            <w:fldChar w:fldCharType="begin"/>
          </w:r>
          <w:r>
            <w:instrText xml:space="preserve"> PAGEREF _Toc3403 </w:instrText>
          </w:r>
          <w:r>
            <w:fldChar w:fldCharType="separate"/>
          </w:r>
          <w:r>
            <w:t>113</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_Toc26823 </w:instrText>
          </w:r>
          <w:r>
            <w:rPr>
              <w:rFonts w:asciiTheme="minorEastAsia" w:hAnsiTheme="minorEastAsia"/>
              <w:szCs w:val="21"/>
            </w:rPr>
            <w:fldChar w:fldCharType="separate"/>
          </w:r>
          <w:r>
            <w:rPr>
              <w:rFonts w:hint="eastAsia"/>
            </w:rPr>
            <w:t>1.1.1角色管理</w:t>
          </w:r>
          <w:r>
            <w:tab/>
          </w:r>
          <w:r>
            <w:fldChar w:fldCharType="begin"/>
          </w:r>
          <w:r>
            <w:instrText xml:space="preserve"> PAGEREF _Toc26823 </w:instrText>
          </w:r>
          <w:r>
            <w:fldChar w:fldCharType="separate"/>
          </w:r>
          <w:r>
            <w:t>113</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_Toc4363 </w:instrText>
          </w:r>
          <w:r>
            <w:rPr>
              <w:rFonts w:asciiTheme="minorEastAsia" w:hAnsiTheme="minorEastAsia"/>
              <w:szCs w:val="21"/>
            </w:rPr>
            <w:fldChar w:fldCharType="separate"/>
          </w:r>
          <w:r>
            <w:rPr>
              <w:rFonts w:hint="eastAsia"/>
            </w:rPr>
            <w:t>1.1.2用户管理</w:t>
          </w:r>
          <w:r>
            <w:tab/>
          </w:r>
          <w:r>
            <w:fldChar w:fldCharType="begin"/>
          </w:r>
          <w:r>
            <w:instrText xml:space="preserve"> PAGEREF _Toc4363 </w:instrText>
          </w:r>
          <w:r>
            <w:fldChar w:fldCharType="separate"/>
          </w:r>
          <w:r>
            <w:t>114</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_Toc6409 </w:instrText>
          </w:r>
          <w:r>
            <w:rPr>
              <w:rFonts w:asciiTheme="minorEastAsia" w:hAnsiTheme="minorEastAsia"/>
              <w:szCs w:val="21"/>
            </w:rPr>
            <w:fldChar w:fldCharType="separate"/>
          </w:r>
          <w:r>
            <w:rPr>
              <w:rFonts w:hint="eastAsia"/>
            </w:rPr>
            <w:t>1.1.3密码管理</w:t>
          </w:r>
          <w:r>
            <w:tab/>
          </w:r>
          <w:r>
            <w:fldChar w:fldCharType="begin"/>
          </w:r>
          <w:r>
            <w:instrText xml:space="preserve"> PAGEREF _Toc6409 </w:instrText>
          </w:r>
          <w:r>
            <w:fldChar w:fldCharType="separate"/>
          </w:r>
          <w:r>
            <w:t>114</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_Toc11233 </w:instrText>
          </w:r>
          <w:r>
            <w:rPr>
              <w:rFonts w:asciiTheme="minorEastAsia" w:hAnsiTheme="minorEastAsia"/>
              <w:szCs w:val="21"/>
            </w:rPr>
            <w:fldChar w:fldCharType="separate"/>
          </w:r>
          <w:r>
            <w:rPr>
              <w:rFonts w:hint="eastAsia"/>
            </w:rPr>
            <w:t>1.1.4参数设置</w:t>
          </w:r>
          <w:r>
            <w:tab/>
          </w:r>
          <w:r>
            <w:fldChar w:fldCharType="begin"/>
          </w:r>
          <w:r>
            <w:instrText xml:space="preserve"> PAGEREF _Toc11233 </w:instrText>
          </w:r>
          <w:r>
            <w:fldChar w:fldCharType="separate"/>
          </w:r>
          <w:r>
            <w:t>115</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_Toc11087 </w:instrText>
          </w:r>
          <w:r>
            <w:rPr>
              <w:rFonts w:asciiTheme="minorEastAsia" w:hAnsiTheme="minorEastAsia"/>
              <w:szCs w:val="21"/>
            </w:rPr>
            <w:fldChar w:fldCharType="separate"/>
          </w:r>
          <w:r>
            <w:rPr>
              <w:rFonts w:hint="eastAsia"/>
            </w:rPr>
            <w:t>1.1.5外网管理</w:t>
          </w:r>
          <w:r>
            <w:tab/>
          </w:r>
          <w:r>
            <w:fldChar w:fldCharType="begin"/>
          </w:r>
          <w:r>
            <w:instrText xml:space="preserve"> PAGEREF _Toc11087 </w:instrText>
          </w:r>
          <w:r>
            <w:fldChar w:fldCharType="separate"/>
          </w:r>
          <w:r>
            <w:t>115</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_Toc7122 </w:instrText>
          </w:r>
          <w:r>
            <w:rPr>
              <w:rFonts w:asciiTheme="minorEastAsia" w:hAnsiTheme="minorEastAsia"/>
              <w:szCs w:val="21"/>
            </w:rPr>
            <w:fldChar w:fldCharType="separate"/>
          </w:r>
          <w:r>
            <w:rPr>
              <w:rFonts w:hint="eastAsia"/>
            </w:rPr>
            <w:t>1.1.6销方属性</w:t>
          </w:r>
          <w:r>
            <w:tab/>
          </w:r>
          <w:r>
            <w:fldChar w:fldCharType="begin"/>
          </w:r>
          <w:r>
            <w:instrText xml:space="preserve"> PAGEREF _Toc7122 </w:instrText>
          </w:r>
          <w:r>
            <w:fldChar w:fldCharType="separate"/>
          </w:r>
          <w:r>
            <w:t>115</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_Toc31183 </w:instrText>
          </w:r>
          <w:r>
            <w:rPr>
              <w:rFonts w:asciiTheme="minorEastAsia" w:hAnsiTheme="minorEastAsia"/>
              <w:szCs w:val="21"/>
            </w:rPr>
            <w:fldChar w:fldCharType="separate"/>
          </w:r>
          <w:r>
            <w:rPr>
              <w:rFonts w:hint="eastAsia"/>
            </w:rPr>
            <w:t>1.2 编码管理</w:t>
          </w:r>
          <w:r>
            <w:tab/>
          </w:r>
          <w:r>
            <w:fldChar w:fldCharType="begin"/>
          </w:r>
          <w:r>
            <w:instrText xml:space="preserve"> PAGEREF _Toc31183 </w:instrText>
          </w:r>
          <w:r>
            <w:fldChar w:fldCharType="separate"/>
          </w:r>
          <w:r>
            <w:t>116</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_Toc7544 </w:instrText>
          </w:r>
          <w:r>
            <w:rPr>
              <w:rFonts w:asciiTheme="minorEastAsia" w:hAnsiTheme="minorEastAsia"/>
              <w:szCs w:val="21"/>
            </w:rPr>
            <w:fldChar w:fldCharType="separate"/>
          </w:r>
          <w:r>
            <w:rPr>
              <w:rFonts w:hint="eastAsia"/>
            </w:rPr>
            <w:t>1.2.1机构管理</w:t>
          </w:r>
          <w:r>
            <w:tab/>
          </w:r>
          <w:r>
            <w:fldChar w:fldCharType="begin"/>
          </w:r>
          <w:r>
            <w:instrText xml:space="preserve"> PAGEREF _Toc7544 </w:instrText>
          </w:r>
          <w:r>
            <w:fldChar w:fldCharType="separate"/>
          </w:r>
          <w:r>
            <w:t>116</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_Toc21775 </w:instrText>
          </w:r>
          <w:r>
            <w:rPr>
              <w:rFonts w:asciiTheme="minorEastAsia" w:hAnsiTheme="minorEastAsia"/>
              <w:szCs w:val="21"/>
            </w:rPr>
            <w:fldChar w:fldCharType="separate"/>
          </w:r>
          <w:r>
            <w:rPr>
              <w:rFonts w:hint="eastAsia"/>
            </w:rPr>
            <w:t>1.2.2人员管理</w:t>
          </w:r>
          <w:r>
            <w:tab/>
          </w:r>
          <w:r>
            <w:fldChar w:fldCharType="begin"/>
          </w:r>
          <w:r>
            <w:instrText xml:space="preserve"> PAGEREF _Toc21775 </w:instrText>
          </w:r>
          <w:r>
            <w:fldChar w:fldCharType="separate"/>
          </w:r>
          <w:r>
            <w:t>117</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_Toc29770 </w:instrText>
          </w:r>
          <w:r>
            <w:rPr>
              <w:rFonts w:asciiTheme="minorEastAsia" w:hAnsiTheme="minorEastAsia"/>
              <w:szCs w:val="21"/>
            </w:rPr>
            <w:fldChar w:fldCharType="separate"/>
          </w:r>
          <w:r>
            <w:rPr>
              <w:rFonts w:hint="eastAsia"/>
            </w:rPr>
            <w:t>1.2.3</w:t>
          </w:r>
          <w:r>
            <w:t>商品编码</w:t>
          </w:r>
          <w:r>
            <w:tab/>
          </w:r>
          <w:r>
            <w:fldChar w:fldCharType="begin"/>
          </w:r>
          <w:r>
            <w:instrText xml:space="preserve"> PAGEREF _Toc29770 </w:instrText>
          </w:r>
          <w:r>
            <w:fldChar w:fldCharType="separate"/>
          </w:r>
          <w:r>
            <w:t>118</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_Toc31621 </w:instrText>
          </w:r>
          <w:r>
            <w:rPr>
              <w:rFonts w:asciiTheme="minorEastAsia" w:hAnsiTheme="minorEastAsia"/>
              <w:szCs w:val="21"/>
            </w:rPr>
            <w:fldChar w:fldCharType="separate"/>
          </w:r>
          <w:r>
            <w:rPr>
              <w:rFonts w:hint="eastAsia"/>
            </w:rPr>
            <w:t>1.2.4</w:t>
          </w:r>
          <w:r>
            <w:t>税目编码</w:t>
          </w:r>
          <w:r>
            <w:tab/>
          </w:r>
          <w:r>
            <w:fldChar w:fldCharType="begin"/>
          </w:r>
          <w:r>
            <w:instrText xml:space="preserve"> PAGEREF _Toc31621 </w:instrText>
          </w:r>
          <w:r>
            <w:fldChar w:fldCharType="separate"/>
          </w:r>
          <w:r>
            <w:t>119</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_Toc21053 </w:instrText>
          </w:r>
          <w:r>
            <w:rPr>
              <w:rFonts w:asciiTheme="minorEastAsia" w:hAnsiTheme="minorEastAsia"/>
              <w:szCs w:val="21"/>
            </w:rPr>
            <w:fldChar w:fldCharType="separate"/>
          </w:r>
          <w:r>
            <w:rPr>
              <w:rFonts w:hint="eastAsia"/>
            </w:rPr>
            <w:t>1.2.5</w:t>
          </w:r>
          <w:r>
            <w:t>销方管理</w:t>
          </w:r>
          <w:r>
            <w:tab/>
          </w:r>
          <w:r>
            <w:fldChar w:fldCharType="begin"/>
          </w:r>
          <w:r>
            <w:instrText xml:space="preserve"> PAGEREF _Toc21053 </w:instrText>
          </w:r>
          <w:r>
            <w:fldChar w:fldCharType="separate"/>
          </w:r>
          <w:r>
            <w:t>120</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_Toc30538 </w:instrText>
          </w:r>
          <w:r>
            <w:rPr>
              <w:rFonts w:asciiTheme="minorEastAsia" w:hAnsiTheme="minorEastAsia"/>
              <w:szCs w:val="21"/>
            </w:rPr>
            <w:fldChar w:fldCharType="separate"/>
          </w:r>
          <w:r>
            <w:rPr>
              <w:rFonts w:hint="eastAsia"/>
            </w:rPr>
            <w:t>1.2.6</w:t>
          </w:r>
          <w:r>
            <w:t>购方管理</w:t>
          </w:r>
          <w:r>
            <w:tab/>
          </w:r>
          <w:r>
            <w:fldChar w:fldCharType="begin"/>
          </w:r>
          <w:r>
            <w:instrText xml:space="preserve"> PAGEREF _Toc30538 </w:instrText>
          </w:r>
          <w:r>
            <w:fldChar w:fldCharType="separate"/>
          </w:r>
          <w:r>
            <w:t>121</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_Toc307 </w:instrText>
          </w:r>
          <w:r>
            <w:rPr>
              <w:rFonts w:asciiTheme="minorEastAsia" w:hAnsiTheme="minorEastAsia"/>
              <w:szCs w:val="21"/>
            </w:rPr>
            <w:fldChar w:fldCharType="separate"/>
          </w:r>
          <w:r>
            <w:rPr>
              <w:rFonts w:hint="eastAsia"/>
            </w:rPr>
            <w:t>1.3日志管理</w:t>
          </w:r>
          <w:r>
            <w:tab/>
          </w:r>
          <w:r>
            <w:fldChar w:fldCharType="begin"/>
          </w:r>
          <w:r>
            <w:instrText xml:space="preserve"> PAGEREF _Toc307 </w:instrText>
          </w:r>
          <w:r>
            <w:fldChar w:fldCharType="separate"/>
          </w:r>
          <w:r>
            <w:t>122</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_Toc23099 </w:instrText>
          </w:r>
          <w:r>
            <w:rPr>
              <w:rFonts w:asciiTheme="minorEastAsia" w:hAnsiTheme="minorEastAsia"/>
              <w:szCs w:val="21"/>
            </w:rPr>
            <w:fldChar w:fldCharType="separate"/>
          </w:r>
          <w:r>
            <w:rPr>
              <w:rFonts w:hint="eastAsia"/>
            </w:rPr>
            <w:t>2． 销项管理</w:t>
          </w:r>
          <w:r>
            <w:tab/>
          </w:r>
          <w:r>
            <w:fldChar w:fldCharType="begin"/>
          </w:r>
          <w:r>
            <w:instrText xml:space="preserve"> PAGEREF _Toc23099 </w:instrText>
          </w:r>
          <w:r>
            <w:fldChar w:fldCharType="separate"/>
          </w:r>
          <w:r>
            <w:t>122</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_Toc1296 </w:instrText>
          </w:r>
          <w:r>
            <w:rPr>
              <w:rFonts w:asciiTheme="minorEastAsia" w:hAnsiTheme="minorEastAsia"/>
              <w:szCs w:val="21"/>
            </w:rPr>
            <w:fldChar w:fldCharType="separate"/>
          </w:r>
          <w:r>
            <w:rPr>
              <w:rFonts w:hint="eastAsia"/>
            </w:rPr>
            <w:t>2.1监控管理</w:t>
          </w:r>
          <w:r>
            <w:tab/>
          </w:r>
          <w:r>
            <w:fldChar w:fldCharType="begin"/>
          </w:r>
          <w:r>
            <w:instrText xml:space="preserve"> PAGEREF _Toc1296 </w:instrText>
          </w:r>
          <w:r>
            <w:fldChar w:fldCharType="separate"/>
          </w:r>
          <w:r>
            <w:t>122</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_Toc21559 </w:instrText>
          </w:r>
          <w:r>
            <w:rPr>
              <w:rFonts w:asciiTheme="minorEastAsia" w:hAnsiTheme="minorEastAsia"/>
              <w:szCs w:val="21"/>
            </w:rPr>
            <w:fldChar w:fldCharType="separate"/>
          </w:r>
          <w:r>
            <w:rPr>
              <w:rFonts w:hint="eastAsia"/>
            </w:rPr>
            <w:t>2.2销售单管理</w:t>
          </w:r>
          <w:r>
            <w:tab/>
          </w:r>
          <w:r>
            <w:fldChar w:fldCharType="begin"/>
          </w:r>
          <w:r>
            <w:instrText xml:space="preserve"> PAGEREF _Toc21559 </w:instrText>
          </w:r>
          <w:r>
            <w:fldChar w:fldCharType="separate"/>
          </w:r>
          <w:r>
            <w:t>123</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_Toc25469 </w:instrText>
          </w:r>
          <w:r>
            <w:rPr>
              <w:rFonts w:asciiTheme="minorEastAsia" w:hAnsiTheme="minorEastAsia"/>
              <w:szCs w:val="21"/>
            </w:rPr>
            <w:fldChar w:fldCharType="separate"/>
          </w:r>
          <w:r>
            <w:rPr>
              <w:rFonts w:hint="eastAsia"/>
            </w:rPr>
            <w:t>2.2.1销售数据下传</w:t>
          </w:r>
          <w:r>
            <w:tab/>
          </w:r>
          <w:r>
            <w:fldChar w:fldCharType="begin"/>
          </w:r>
          <w:r>
            <w:instrText xml:space="preserve"> PAGEREF _Toc25469 </w:instrText>
          </w:r>
          <w:r>
            <w:fldChar w:fldCharType="separate"/>
          </w:r>
          <w:r>
            <w:t>123</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_Toc15466 </w:instrText>
          </w:r>
          <w:r>
            <w:rPr>
              <w:rFonts w:asciiTheme="minorEastAsia" w:hAnsiTheme="minorEastAsia"/>
              <w:szCs w:val="21"/>
            </w:rPr>
            <w:fldChar w:fldCharType="separate"/>
          </w:r>
          <w:r>
            <w:rPr>
              <w:rFonts w:hint="eastAsia"/>
            </w:rPr>
            <w:t>2.2.2销售单查询</w:t>
          </w:r>
          <w:r>
            <w:tab/>
          </w:r>
          <w:r>
            <w:fldChar w:fldCharType="begin"/>
          </w:r>
          <w:r>
            <w:instrText xml:space="preserve"> PAGEREF _Toc15466 </w:instrText>
          </w:r>
          <w:r>
            <w:fldChar w:fldCharType="separate"/>
          </w:r>
          <w:r>
            <w:t>123</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_Toc26259 </w:instrText>
          </w:r>
          <w:r>
            <w:rPr>
              <w:rFonts w:asciiTheme="minorEastAsia" w:hAnsiTheme="minorEastAsia"/>
              <w:szCs w:val="21"/>
            </w:rPr>
            <w:fldChar w:fldCharType="separate"/>
          </w:r>
          <w:r>
            <w:rPr>
              <w:rFonts w:hint="eastAsia"/>
            </w:rPr>
            <w:t>2.2.3销售单拆分</w:t>
          </w:r>
          <w:r>
            <w:tab/>
          </w:r>
          <w:r>
            <w:fldChar w:fldCharType="begin"/>
          </w:r>
          <w:r>
            <w:instrText xml:space="preserve"> PAGEREF _Toc26259 </w:instrText>
          </w:r>
          <w:r>
            <w:fldChar w:fldCharType="separate"/>
          </w:r>
          <w:r>
            <w:t>124</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_Toc11708 </w:instrText>
          </w:r>
          <w:r>
            <w:rPr>
              <w:rFonts w:asciiTheme="minorEastAsia" w:hAnsiTheme="minorEastAsia"/>
              <w:szCs w:val="21"/>
            </w:rPr>
            <w:fldChar w:fldCharType="separate"/>
          </w:r>
          <w:r>
            <w:rPr>
              <w:rFonts w:hint="eastAsia"/>
            </w:rPr>
            <w:t>2.2.4销售单合并</w:t>
          </w:r>
          <w:r>
            <w:tab/>
          </w:r>
          <w:r>
            <w:fldChar w:fldCharType="begin"/>
          </w:r>
          <w:r>
            <w:instrText xml:space="preserve"> PAGEREF _Toc11708 </w:instrText>
          </w:r>
          <w:r>
            <w:fldChar w:fldCharType="separate"/>
          </w:r>
          <w:r>
            <w:t>125</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_Toc6659 </w:instrText>
          </w:r>
          <w:r>
            <w:rPr>
              <w:rFonts w:asciiTheme="minorEastAsia" w:hAnsiTheme="minorEastAsia"/>
              <w:szCs w:val="21"/>
            </w:rPr>
            <w:fldChar w:fldCharType="separate"/>
          </w:r>
          <w:r>
            <w:rPr>
              <w:rFonts w:hint="eastAsia"/>
            </w:rPr>
            <w:t>2.2.5销售单还原</w:t>
          </w:r>
          <w:r>
            <w:tab/>
          </w:r>
          <w:r>
            <w:fldChar w:fldCharType="begin"/>
          </w:r>
          <w:r>
            <w:instrText xml:space="preserve"> PAGEREF _Toc6659 </w:instrText>
          </w:r>
          <w:r>
            <w:fldChar w:fldCharType="separate"/>
          </w:r>
          <w:r>
            <w:t>126</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_Toc6106 </w:instrText>
          </w:r>
          <w:r>
            <w:rPr>
              <w:rFonts w:asciiTheme="minorEastAsia" w:hAnsiTheme="minorEastAsia"/>
              <w:szCs w:val="21"/>
            </w:rPr>
            <w:fldChar w:fldCharType="separate"/>
          </w:r>
          <w:r>
            <w:rPr>
              <w:rFonts w:hint="eastAsia"/>
            </w:rPr>
            <w:t>2.2.6销售单作废</w:t>
          </w:r>
          <w:r>
            <w:tab/>
          </w:r>
          <w:r>
            <w:fldChar w:fldCharType="begin"/>
          </w:r>
          <w:r>
            <w:instrText xml:space="preserve"> PAGEREF _Toc6106 </w:instrText>
          </w:r>
          <w:r>
            <w:fldChar w:fldCharType="separate"/>
          </w:r>
          <w:r>
            <w:t>127</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_Toc32385 </w:instrText>
          </w:r>
          <w:r>
            <w:rPr>
              <w:rFonts w:asciiTheme="minorEastAsia" w:hAnsiTheme="minorEastAsia"/>
              <w:szCs w:val="21"/>
            </w:rPr>
            <w:fldChar w:fldCharType="separate"/>
          </w:r>
          <w:r>
            <w:rPr>
              <w:rFonts w:hint="eastAsia"/>
            </w:rPr>
            <w:t>2.2.7异常销售单查询</w:t>
          </w:r>
          <w:r>
            <w:tab/>
          </w:r>
          <w:r>
            <w:fldChar w:fldCharType="begin"/>
          </w:r>
          <w:r>
            <w:instrText xml:space="preserve"> PAGEREF _Toc32385 </w:instrText>
          </w:r>
          <w:r>
            <w:fldChar w:fldCharType="separate"/>
          </w:r>
          <w:r>
            <w:t>128</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_Toc29049 </w:instrText>
          </w:r>
          <w:r>
            <w:rPr>
              <w:rFonts w:asciiTheme="minorEastAsia" w:hAnsiTheme="minorEastAsia"/>
              <w:szCs w:val="21"/>
            </w:rPr>
            <w:fldChar w:fldCharType="separate"/>
          </w:r>
          <w:r>
            <w:rPr>
              <w:rFonts w:hint="eastAsia"/>
            </w:rPr>
            <w:t>2.2.8销售单开票查询</w:t>
          </w:r>
          <w:r>
            <w:tab/>
          </w:r>
          <w:r>
            <w:fldChar w:fldCharType="begin"/>
          </w:r>
          <w:r>
            <w:instrText xml:space="preserve"> PAGEREF _Toc29049 </w:instrText>
          </w:r>
          <w:r>
            <w:fldChar w:fldCharType="separate"/>
          </w:r>
          <w:r>
            <w:t>129</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_Toc3446 </w:instrText>
          </w:r>
          <w:r>
            <w:rPr>
              <w:rFonts w:asciiTheme="minorEastAsia" w:hAnsiTheme="minorEastAsia"/>
              <w:szCs w:val="21"/>
            </w:rPr>
            <w:fldChar w:fldCharType="separate"/>
          </w:r>
          <w:r>
            <w:rPr>
              <w:rFonts w:hint="eastAsia"/>
            </w:rPr>
            <w:t>2.2.9单据交户日志</w:t>
          </w:r>
          <w:r>
            <w:tab/>
          </w:r>
          <w:r>
            <w:fldChar w:fldCharType="begin"/>
          </w:r>
          <w:r>
            <w:instrText xml:space="preserve"> PAGEREF _Toc3446 </w:instrText>
          </w:r>
          <w:r>
            <w:fldChar w:fldCharType="separate"/>
          </w:r>
          <w:r>
            <w:t>129</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_Toc24002 </w:instrText>
          </w:r>
          <w:r>
            <w:rPr>
              <w:rFonts w:asciiTheme="minorEastAsia" w:hAnsiTheme="minorEastAsia"/>
              <w:szCs w:val="21"/>
            </w:rPr>
            <w:fldChar w:fldCharType="separate"/>
          </w:r>
          <w:r>
            <w:rPr>
              <w:rFonts w:hint="eastAsia"/>
            </w:rPr>
            <w:t>2.3 开票管理</w:t>
          </w:r>
          <w:r>
            <w:tab/>
          </w:r>
          <w:r>
            <w:fldChar w:fldCharType="begin"/>
          </w:r>
          <w:r>
            <w:instrText xml:space="preserve"> PAGEREF _Toc24002 </w:instrText>
          </w:r>
          <w:r>
            <w:fldChar w:fldCharType="separate"/>
          </w:r>
          <w:r>
            <w:t>130</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_Toc14146 </w:instrText>
          </w:r>
          <w:r>
            <w:rPr>
              <w:rFonts w:asciiTheme="minorEastAsia" w:hAnsiTheme="minorEastAsia"/>
              <w:szCs w:val="21"/>
            </w:rPr>
            <w:fldChar w:fldCharType="separate"/>
          </w:r>
          <w:r>
            <w:rPr>
              <w:rFonts w:hint="eastAsia"/>
            </w:rPr>
            <w:t>2.3.1开票申请</w:t>
          </w:r>
          <w:r>
            <w:tab/>
          </w:r>
          <w:r>
            <w:fldChar w:fldCharType="begin"/>
          </w:r>
          <w:r>
            <w:instrText xml:space="preserve"> PAGEREF _Toc14146 </w:instrText>
          </w:r>
          <w:r>
            <w:fldChar w:fldCharType="separate"/>
          </w:r>
          <w:r>
            <w:t>130</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_Toc26120 </w:instrText>
          </w:r>
          <w:r>
            <w:rPr>
              <w:rFonts w:asciiTheme="minorEastAsia" w:hAnsiTheme="minorEastAsia"/>
              <w:szCs w:val="21"/>
            </w:rPr>
            <w:fldChar w:fldCharType="separate"/>
          </w:r>
          <w:r>
            <w:rPr>
              <w:rFonts w:hint="eastAsia"/>
            </w:rPr>
            <w:t>2.3.2开票审核</w:t>
          </w:r>
          <w:r>
            <w:tab/>
          </w:r>
          <w:r>
            <w:fldChar w:fldCharType="begin"/>
          </w:r>
          <w:r>
            <w:instrText xml:space="preserve"> PAGEREF _Toc26120 </w:instrText>
          </w:r>
          <w:r>
            <w:fldChar w:fldCharType="separate"/>
          </w:r>
          <w:r>
            <w:t>132</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_Toc6295 </w:instrText>
          </w:r>
          <w:r>
            <w:rPr>
              <w:rFonts w:asciiTheme="minorEastAsia" w:hAnsiTheme="minorEastAsia"/>
              <w:szCs w:val="21"/>
            </w:rPr>
            <w:fldChar w:fldCharType="separate"/>
          </w:r>
          <w:r>
            <w:rPr>
              <w:rFonts w:hint="eastAsia"/>
            </w:rPr>
            <w:t>2.3.3待开票管理</w:t>
          </w:r>
          <w:r>
            <w:tab/>
          </w:r>
          <w:r>
            <w:fldChar w:fldCharType="begin"/>
          </w:r>
          <w:r>
            <w:instrText xml:space="preserve"> PAGEREF _Toc6295 </w:instrText>
          </w:r>
          <w:r>
            <w:fldChar w:fldCharType="separate"/>
          </w:r>
          <w:r>
            <w:t>133</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_Toc12850 </w:instrText>
          </w:r>
          <w:r>
            <w:rPr>
              <w:rFonts w:asciiTheme="minorEastAsia" w:hAnsiTheme="minorEastAsia"/>
              <w:szCs w:val="21"/>
            </w:rPr>
            <w:fldChar w:fldCharType="separate"/>
          </w:r>
          <w:r>
            <w:rPr>
              <w:rFonts w:hint="eastAsia"/>
            </w:rPr>
            <w:t>2.3.4重开票管理</w:t>
          </w:r>
          <w:r>
            <w:tab/>
          </w:r>
          <w:r>
            <w:fldChar w:fldCharType="begin"/>
          </w:r>
          <w:r>
            <w:instrText xml:space="preserve"> PAGEREF _Toc12850 </w:instrText>
          </w:r>
          <w:r>
            <w:fldChar w:fldCharType="separate"/>
          </w:r>
          <w:r>
            <w:t>134</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_Toc18364 </w:instrText>
          </w:r>
          <w:r>
            <w:rPr>
              <w:rFonts w:asciiTheme="minorEastAsia" w:hAnsiTheme="minorEastAsia"/>
              <w:szCs w:val="21"/>
            </w:rPr>
            <w:fldChar w:fldCharType="separate"/>
          </w:r>
          <w:r>
            <w:rPr>
              <w:rFonts w:hint="eastAsia"/>
            </w:rPr>
            <w:t>2.3.5重开票审核</w:t>
          </w:r>
          <w:r>
            <w:tab/>
          </w:r>
          <w:r>
            <w:fldChar w:fldCharType="begin"/>
          </w:r>
          <w:r>
            <w:instrText xml:space="preserve"> PAGEREF _Toc18364 </w:instrText>
          </w:r>
          <w:r>
            <w:fldChar w:fldCharType="separate"/>
          </w:r>
          <w:r>
            <w:t>135</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_Toc15747 </w:instrText>
          </w:r>
          <w:r>
            <w:rPr>
              <w:rFonts w:asciiTheme="minorEastAsia" w:hAnsiTheme="minorEastAsia"/>
              <w:szCs w:val="21"/>
            </w:rPr>
            <w:fldChar w:fldCharType="separate"/>
          </w:r>
          <w:r>
            <w:rPr>
              <w:rFonts w:hint="eastAsia"/>
            </w:rPr>
            <w:t>2.3.6发票批量开具</w:t>
          </w:r>
          <w:r>
            <w:tab/>
          </w:r>
          <w:r>
            <w:fldChar w:fldCharType="begin"/>
          </w:r>
          <w:r>
            <w:instrText xml:space="preserve"> PAGEREF _Toc15747 </w:instrText>
          </w:r>
          <w:r>
            <w:fldChar w:fldCharType="separate"/>
          </w:r>
          <w:r>
            <w:t>135</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_Toc24746 </w:instrText>
          </w:r>
          <w:r>
            <w:rPr>
              <w:rFonts w:asciiTheme="minorEastAsia" w:hAnsiTheme="minorEastAsia"/>
              <w:szCs w:val="21"/>
            </w:rPr>
            <w:fldChar w:fldCharType="separate"/>
          </w:r>
          <w:r>
            <w:rPr>
              <w:rFonts w:hint="eastAsia"/>
            </w:rPr>
            <w:t>2.3.7发票开具管理</w:t>
          </w:r>
          <w:r>
            <w:tab/>
          </w:r>
          <w:r>
            <w:fldChar w:fldCharType="begin"/>
          </w:r>
          <w:r>
            <w:instrText xml:space="preserve"> PAGEREF _Toc24746 </w:instrText>
          </w:r>
          <w:r>
            <w:fldChar w:fldCharType="separate"/>
          </w:r>
          <w:r>
            <w:t>135</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_Toc12974 </w:instrText>
          </w:r>
          <w:r>
            <w:rPr>
              <w:rFonts w:asciiTheme="minorEastAsia" w:hAnsiTheme="minorEastAsia"/>
              <w:szCs w:val="21"/>
            </w:rPr>
            <w:fldChar w:fldCharType="separate"/>
          </w:r>
          <w:r>
            <w:rPr>
              <w:rFonts w:hint="eastAsia"/>
            </w:rPr>
            <w:t>2.3.8发票作废</w:t>
          </w:r>
          <w:r>
            <w:tab/>
          </w:r>
          <w:r>
            <w:fldChar w:fldCharType="begin"/>
          </w:r>
          <w:r>
            <w:instrText xml:space="preserve"> PAGEREF _Toc12974 </w:instrText>
          </w:r>
          <w:r>
            <w:fldChar w:fldCharType="separate"/>
          </w:r>
          <w:r>
            <w:t>136</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_Toc28523 </w:instrText>
          </w:r>
          <w:r>
            <w:rPr>
              <w:rFonts w:asciiTheme="minorEastAsia" w:hAnsiTheme="minorEastAsia"/>
              <w:szCs w:val="21"/>
            </w:rPr>
            <w:fldChar w:fldCharType="separate"/>
          </w:r>
          <w:r>
            <w:rPr>
              <w:rFonts w:hint="eastAsia"/>
            </w:rPr>
            <w:t>2.3.9发票批量打印</w:t>
          </w:r>
          <w:r>
            <w:tab/>
          </w:r>
          <w:r>
            <w:fldChar w:fldCharType="begin"/>
          </w:r>
          <w:r>
            <w:instrText xml:space="preserve"> PAGEREF _Toc28523 </w:instrText>
          </w:r>
          <w:r>
            <w:fldChar w:fldCharType="separate"/>
          </w:r>
          <w:r>
            <w:t>137</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_Toc12615 </w:instrText>
          </w:r>
          <w:r>
            <w:rPr>
              <w:rFonts w:asciiTheme="minorEastAsia" w:hAnsiTheme="minorEastAsia"/>
              <w:szCs w:val="21"/>
            </w:rPr>
            <w:fldChar w:fldCharType="separate"/>
          </w:r>
          <w:r>
            <w:rPr>
              <w:rFonts w:hint="eastAsia"/>
            </w:rPr>
            <w:t>2.3.10抄报管理</w:t>
          </w:r>
          <w:r>
            <w:tab/>
          </w:r>
          <w:r>
            <w:fldChar w:fldCharType="begin"/>
          </w:r>
          <w:r>
            <w:instrText xml:space="preserve"> PAGEREF _Toc12615 </w:instrText>
          </w:r>
          <w:r>
            <w:fldChar w:fldCharType="separate"/>
          </w:r>
          <w:r>
            <w:t>138</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_Toc4647 </w:instrText>
          </w:r>
          <w:r>
            <w:rPr>
              <w:rFonts w:asciiTheme="minorEastAsia" w:hAnsiTheme="minorEastAsia"/>
              <w:szCs w:val="21"/>
            </w:rPr>
            <w:fldChar w:fldCharType="separate"/>
          </w:r>
          <w:r>
            <w:rPr>
              <w:rFonts w:hint="eastAsia"/>
            </w:rPr>
            <w:t>2.4红票管理</w:t>
          </w:r>
          <w:r>
            <w:tab/>
          </w:r>
          <w:r>
            <w:fldChar w:fldCharType="begin"/>
          </w:r>
          <w:r>
            <w:instrText xml:space="preserve"> PAGEREF _Toc4647 </w:instrText>
          </w:r>
          <w:r>
            <w:fldChar w:fldCharType="separate"/>
          </w:r>
          <w:r>
            <w:t>139</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_Toc4123 </w:instrText>
          </w:r>
          <w:r>
            <w:rPr>
              <w:rFonts w:asciiTheme="minorEastAsia" w:hAnsiTheme="minorEastAsia"/>
              <w:szCs w:val="21"/>
            </w:rPr>
            <w:fldChar w:fldCharType="separate"/>
          </w:r>
          <w:r>
            <w:rPr>
              <w:rFonts w:hint="eastAsia"/>
            </w:rPr>
            <w:t>2.4.1申请单填开</w:t>
          </w:r>
          <w:r>
            <w:tab/>
          </w:r>
          <w:r>
            <w:fldChar w:fldCharType="begin"/>
          </w:r>
          <w:r>
            <w:instrText xml:space="preserve"> PAGEREF _Toc4123 </w:instrText>
          </w:r>
          <w:r>
            <w:fldChar w:fldCharType="separate"/>
          </w:r>
          <w:r>
            <w:t>139</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_Toc14516 </w:instrText>
          </w:r>
          <w:r>
            <w:rPr>
              <w:rFonts w:asciiTheme="minorEastAsia" w:hAnsiTheme="minorEastAsia"/>
              <w:szCs w:val="21"/>
            </w:rPr>
            <w:fldChar w:fldCharType="separate"/>
          </w:r>
          <w:r>
            <w:rPr>
              <w:rFonts w:hint="eastAsia"/>
            </w:rPr>
            <w:t>2.4.2逾期申请单</w:t>
          </w:r>
          <w:r>
            <w:tab/>
          </w:r>
          <w:r>
            <w:fldChar w:fldCharType="begin"/>
          </w:r>
          <w:r>
            <w:instrText xml:space="preserve"> PAGEREF _Toc14516 </w:instrText>
          </w:r>
          <w:r>
            <w:fldChar w:fldCharType="separate"/>
          </w:r>
          <w:r>
            <w:t>140</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_Toc2808 </w:instrText>
          </w:r>
          <w:r>
            <w:rPr>
              <w:rFonts w:asciiTheme="minorEastAsia" w:hAnsiTheme="minorEastAsia"/>
              <w:szCs w:val="21"/>
            </w:rPr>
            <w:fldChar w:fldCharType="separate"/>
          </w:r>
          <w:r>
            <w:rPr>
              <w:rFonts w:hint="eastAsia"/>
            </w:rPr>
            <w:t>2.4.3申请单管理</w:t>
          </w:r>
          <w:r>
            <w:tab/>
          </w:r>
          <w:r>
            <w:fldChar w:fldCharType="begin"/>
          </w:r>
          <w:r>
            <w:instrText xml:space="preserve"> PAGEREF _Toc2808 </w:instrText>
          </w:r>
          <w:r>
            <w:fldChar w:fldCharType="separate"/>
          </w:r>
          <w:r>
            <w:t>141</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_Toc21938 </w:instrText>
          </w:r>
          <w:r>
            <w:rPr>
              <w:rFonts w:asciiTheme="minorEastAsia" w:hAnsiTheme="minorEastAsia"/>
              <w:szCs w:val="21"/>
            </w:rPr>
            <w:fldChar w:fldCharType="separate"/>
          </w:r>
          <w:r>
            <w:rPr>
              <w:rFonts w:hint="eastAsia"/>
            </w:rPr>
            <w:t>2.4.4通知单管理</w:t>
          </w:r>
          <w:r>
            <w:tab/>
          </w:r>
          <w:r>
            <w:fldChar w:fldCharType="begin"/>
          </w:r>
          <w:r>
            <w:instrText xml:space="preserve"> PAGEREF _Toc21938 </w:instrText>
          </w:r>
          <w:r>
            <w:fldChar w:fldCharType="separate"/>
          </w:r>
          <w:r>
            <w:t>143</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_Toc32736 </w:instrText>
          </w:r>
          <w:r>
            <w:rPr>
              <w:rFonts w:asciiTheme="minorEastAsia" w:hAnsiTheme="minorEastAsia"/>
              <w:szCs w:val="21"/>
            </w:rPr>
            <w:fldChar w:fldCharType="separate"/>
          </w:r>
          <w:r>
            <w:rPr>
              <w:rFonts w:hint="eastAsia"/>
            </w:rPr>
            <w:t>2.4.5通知单审核</w:t>
          </w:r>
          <w:r>
            <w:tab/>
          </w:r>
          <w:r>
            <w:fldChar w:fldCharType="begin"/>
          </w:r>
          <w:r>
            <w:instrText xml:space="preserve"> PAGEREF _Toc32736 </w:instrText>
          </w:r>
          <w:r>
            <w:fldChar w:fldCharType="separate"/>
          </w:r>
          <w:r>
            <w:t>144</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_Toc13686 </w:instrText>
          </w:r>
          <w:r>
            <w:rPr>
              <w:rFonts w:asciiTheme="minorEastAsia" w:hAnsiTheme="minorEastAsia"/>
              <w:szCs w:val="21"/>
            </w:rPr>
            <w:fldChar w:fldCharType="separate"/>
          </w:r>
          <w:r>
            <w:rPr>
              <w:rFonts w:hint="eastAsia"/>
            </w:rPr>
            <w:t>2.5 查询统计</w:t>
          </w:r>
          <w:r>
            <w:tab/>
          </w:r>
          <w:r>
            <w:fldChar w:fldCharType="begin"/>
          </w:r>
          <w:r>
            <w:instrText xml:space="preserve"> PAGEREF _Toc13686 </w:instrText>
          </w:r>
          <w:r>
            <w:fldChar w:fldCharType="separate"/>
          </w:r>
          <w:r>
            <w:t>144</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_Toc16070 </w:instrText>
          </w:r>
          <w:r>
            <w:rPr>
              <w:rFonts w:asciiTheme="minorEastAsia" w:hAnsiTheme="minorEastAsia"/>
              <w:szCs w:val="21"/>
            </w:rPr>
            <w:fldChar w:fldCharType="separate"/>
          </w:r>
          <w:r>
            <w:rPr>
              <w:rFonts w:hint="eastAsia"/>
            </w:rPr>
            <w:t>2.</w:t>
          </w:r>
          <w:r>
            <w:rPr>
              <w:rFonts w:hint="eastAsia"/>
              <w:lang w:val="en-US" w:eastAsia="zh-CN"/>
            </w:rPr>
            <w:t>5</w:t>
          </w:r>
          <w:r>
            <w:rPr>
              <w:rFonts w:hint="eastAsia"/>
            </w:rPr>
            <w:t>.1发票库存查询</w:t>
          </w:r>
          <w:r>
            <w:tab/>
          </w:r>
          <w:r>
            <w:fldChar w:fldCharType="begin"/>
          </w:r>
          <w:r>
            <w:instrText xml:space="preserve"> PAGEREF _Toc16070 </w:instrText>
          </w:r>
          <w:r>
            <w:fldChar w:fldCharType="separate"/>
          </w:r>
          <w:r>
            <w:t>144</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_Toc4429 </w:instrText>
          </w:r>
          <w:r>
            <w:rPr>
              <w:rFonts w:asciiTheme="minorEastAsia" w:hAnsiTheme="minorEastAsia"/>
              <w:szCs w:val="21"/>
            </w:rPr>
            <w:fldChar w:fldCharType="separate"/>
          </w:r>
          <w:r>
            <w:rPr>
              <w:rFonts w:hint="eastAsia"/>
            </w:rPr>
            <w:t>2.</w:t>
          </w:r>
          <w:r>
            <w:rPr>
              <w:rFonts w:hint="eastAsia"/>
              <w:lang w:val="en-US" w:eastAsia="zh-CN"/>
            </w:rPr>
            <w:t>5</w:t>
          </w:r>
          <w:r>
            <w:rPr>
              <w:rFonts w:hint="eastAsia"/>
            </w:rPr>
            <w:t>.2发票分配查询</w:t>
          </w:r>
          <w:r>
            <w:tab/>
          </w:r>
          <w:r>
            <w:fldChar w:fldCharType="begin"/>
          </w:r>
          <w:r>
            <w:instrText xml:space="preserve"> PAGEREF _Toc4429 </w:instrText>
          </w:r>
          <w:r>
            <w:fldChar w:fldCharType="separate"/>
          </w:r>
          <w:r>
            <w:t>145</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_Toc18501 </w:instrText>
          </w:r>
          <w:r>
            <w:rPr>
              <w:rFonts w:asciiTheme="minorEastAsia" w:hAnsiTheme="minorEastAsia"/>
              <w:szCs w:val="21"/>
            </w:rPr>
            <w:fldChar w:fldCharType="separate"/>
          </w:r>
          <w:r>
            <w:rPr>
              <w:rFonts w:hint="eastAsia"/>
            </w:rPr>
            <w:t>2.</w:t>
          </w:r>
          <w:r>
            <w:rPr>
              <w:rFonts w:hint="eastAsia"/>
              <w:lang w:val="en-US" w:eastAsia="zh-CN"/>
            </w:rPr>
            <w:t>5</w:t>
          </w:r>
          <w:r>
            <w:rPr>
              <w:rFonts w:hint="eastAsia"/>
            </w:rPr>
            <w:t>.3已开发票查询</w:t>
          </w:r>
          <w:r>
            <w:tab/>
          </w:r>
          <w:r>
            <w:fldChar w:fldCharType="begin"/>
          </w:r>
          <w:r>
            <w:instrText xml:space="preserve"> PAGEREF _Toc18501 </w:instrText>
          </w:r>
          <w:r>
            <w:fldChar w:fldCharType="separate"/>
          </w:r>
          <w:r>
            <w:t>145</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_Toc27107 </w:instrText>
          </w:r>
          <w:r>
            <w:rPr>
              <w:rFonts w:asciiTheme="minorEastAsia" w:hAnsiTheme="minorEastAsia"/>
              <w:szCs w:val="21"/>
            </w:rPr>
            <w:fldChar w:fldCharType="separate"/>
          </w:r>
          <w:r>
            <w:rPr>
              <w:rFonts w:hint="eastAsia"/>
            </w:rPr>
            <w:t>2.</w:t>
          </w:r>
          <w:r>
            <w:rPr>
              <w:rFonts w:hint="eastAsia"/>
              <w:lang w:val="en-US" w:eastAsia="zh-CN"/>
            </w:rPr>
            <w:t>5</w:t>
          </w:r>
          <w:r>
            <w:rPr>
              <w:rFonts w:hint="eastAsia"/>
            </w:rPr>
            <w:t>.4发票月度统计</w:t>
          </w:r>
          <w:r>
            <w:tab/>
          </w:r>
          <w:r>
            <w:fldChar w:fldCharType="begin"/>
          </w:r>
          <w:r>
            <w:instrText xml:space="preserve"> PAGEREF _Toc27107 </w:instrText>
          </w:r>
          <w:r>
            <w:fldChar w:fldCharType="separate"/>
          </w:r>
          <w:r>
            <w:t>146</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_Toc31470 </w:instrText>
          </w:r>
          <w:r>
            <w:rPr>
              <w:rFonts w:asciiTheme="minorEastAsia" w:hAnsiTheme="minorEastAsia"/>
              <w:szCs w:val="21"/>
            </w:rPr>
            <w:fldChar w:fldCharType="separate"/>
          </w:r>
          <w:r>
            <w:rPr>
              <w:rFonts w:hint="eastAsia"/>
            </w:rPr>
            <w:t>2.</w:t>
          </w:r>
          <w:r>
            <w:rPr>
              <w:rFonts w:hint="eastAsia"/>
              <w:lang w:val="en-US" w:eastAsia="zh-CN"/>
            </w:rPr>
            <w:t>5</w:t>
          </w:r>
          <w:r>
            <w:rPr>
              <w:rFonts w:hint="eastAsia"/>
            </w:rPr>
            <w:t>.5发票汇总统计</w:t>
          </w:r>
          <w:r>
            <w:tab/>
          </w:r>
          <w:r>
            <w:fldChar w:fldCharType="begin"/>
          </w:r>
          <w:r>
            <w:instrText xml:space="preserve"> PAGEREF _Toc31470 </w:instrText>
          </w:r>
          <w:r>
            <w:fldChar w:fldCharType="separate"/>
          </w:r>
          <w:r>
            <w:t>147</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_Toc18893 </w:instrText>
          </w:r>
          <w:r>
            <w:rPr>
              <w:rFonts w:asciiTheme="minorEastAsia" w:hAnsiTheme="minorEastAsia"/>
              <w:szCs w:val="21"/>
            </w:rPr>
            <w:fldChar w:fldCharType="separate"/>
          </w:r>
          <w:r>
            <w:rPr>
              <w:rFonts w:hint="eastAsia"/>
            </w:rPr>
            <w:t>3． 开票服务</w:t>
          </w:r>
          <w:r>
            <w:tab/>
          </w:r>
          <w:r>
            <w:fldChar w:fldCharType="begin"/>
          </w:r>
          <w:r>
            <w:instrText xml:space="preserve"> PAGEREF _Toc18893 </w:instrText>
          </w:r>
          <w:r>
            <w:fldChar w:fldCharType="separate"/>
          </w:r>
          <w:r>
            <w:t>148</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_Toc27678 </w:instrText>
          </w:r>
          <w:r>
            <w:rPr>
              <w:rFonts w:asciiTheme="minorEastAsia" w:hAnsiTheme="minorEastAsia"/>
              <w:szCs w:val="21"/>
            </w:rPr>
            <w:fldChar w:fldCharType="separate"/>
          </w:r>
          <w:r>
            <w:rPr>
              <w:rFonts w:hint="eastAsia"/>
              <w:szCs w:val="24"/>
            </w:rPr>
            <w:t>3.1版式文件封装</w:t>
          </w:r>
          <w:r>
            <w:tab/>
          </w:r>
          <w:r>
            <w:fldChar w:fldCharType="begin"/>
          </w:r>
          <w:r>
            <w:instrText xml:space="preserve"> PAGEREF _Toc27678 </w:instrText>
          </w:r>
          <w:r>
            <w:fldChar w:fldCharType="separate"/>
          </w:r>
          <w:r>
            <w:t>148</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_Toc22926 </w:instrText>
          </w:r>
          <w:r>
            <w:rPr>
              <w:rFonts w:asciiTheme="minorEastAsia" w:hAnsiTheme="minorEastAsia"/>
              <w:szCs w:val="21"/>
            </w:rPr>
            <w:fldChar w:fldCharType="separate"/>
          </w:r>
          <w:r>
            <w:rPr>
              <w:rFonts w:hint="eastAsia"/>
              <w:szCs w:val="24"/>
            </w:rPr>
            <w:t>3.2版式文件签章</w:t>
          </w:r>
          <w:r>
            <w:tab/>
          </w:r>
          <w:r>
            <w:fldChar w:fldCharType="begin"/>
          </w:r>
          <w:r>
            <w:instrText xml:space="preserve"> PAGEREF _Toc22926 </w:instrText>
          </w:r>
          <w:r>
            <w:fldChar w:fldCharType="separate"/>
          </w:r>
          <w:r>
            <w:t>148</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_Toc20611 </w:instrText>
          </w:r>
          <w:r>
            <w:rPr>
              <w:rFonts w:asciiTheme="minorEastAsia" w:hAnsiTheme="minorEastAsia"/>
              <w:szCs w:val="21"/>
            </w:rPr>
            <w:fldChar w:fldCharType="separate"/>
          </w:r>
          <w:r>
            <w:rPr>
              <w:rFonts w:hint="eastAsia"/>
              <w:szCs w:val="24"/>
            </w:rPr>
            <w:t>3.3版式文件存储</w:t>
          </w:r>
          <w:r>
            <w:tab/>
          </w:r>
          <w:r>
            <w:fldChar w:fldCharType="begin"/>
          </w:r>
          <w:r>
            <w:instrText xml:space="preserve"> PAGEREF _Toc20611 </w:instrText>
          </w:r>
          <w:r>
            <w:fldChar w:fldCharType="separate"/>
          </w:r>
          <w:r>
            <w:t>148</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_Toc14474 </w:instrText>
          </w:r>
          <w:r>
            <w:rPr>
              <w:rFonts w:asciiTheme="minorEastAsia" w:hAnsiTheme="minorEastAsia"/>
              <w:szCs w:val="21"/>
            </w:rPr>
            <w:fldChar w:fldCharType="separate"/>
          </w:r>
          <w:r>
            <w:rPr>
              <w:rFonts w:hint="eastAsia"/>
              <w:szCs w:val="24"/>
            </w:rPr>
            <w:t>3.4签章制作</w:t>
          </w:r>
          <w:r>
            <w:tab/>
          </w:r>
          <w:r>
            <w:fldChar w:fldCharType="begin"/>
          </w:r>
          <w:r>
            <w:instrText xml:space="preserve"> PAGEREF _Toc14474 </w:instrText>
          </w:r>
          <w:r>
            <w:fldChar w:fldCharType="separate"/>
          </w:r>
          <w:r>
            <w:t>148</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_Toc14766 </w:instrText>
          </w:r>
          <w:r>
            <w:rPr>
              <w:rFonts w:asciiTheme="minorEastAsia" w:hAnsiTheme="minorEastAsia"/>
              <w:szCs w:val="21"/>
            </w:rPr>
            <w:fldChar w:fldCharType="separate"/>
          </w:r>
          <w:r>
            <w:rPr>
              <w:rFonts w:hint="eastAsia"/>
              <w:szCs w:val="24"/>
            </w:rPr>
            <w:t>3.5签章管理</w:t>
          </w:r>
          <w:r>
            <w:tab/>
          </w:r>
          <w:r>
            <w:fldChar w:fldCharType="begin"/>
          </w:r>
          <w:r>
            <w:instrText xml:space="preserve"> PAGEREF _Toc14766 </w:instrText>
          </w:r>
          <w:r>
            <w:fldChar w:fldCharType="separate"/>
          </w:r>
          <w:r>
            <w:t>148</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_Toc27332 </w:instrText>
          </w:r>
          <w:r>
            <w:rPr>
              <w:rFonts w:asciiTheme="minorEastAsia" w:hAnsiTheme="minorEastAsia"/>
              <w:szCs w:val="21"/>
            </w:rPr>
            <w:fldChar w:fldCharType="separate"/>
          </w:r>
          <w:r>
            <w:rPr>
              <w:rFonts w:hint="eastAsia"/>
              <w:szCs w:val="24"/>
            </w:rPr>
            <w:t>3.6模板管理</w:t>
          </w:r>
          <w:r>
            <w:tab/>
          </w:r>
          <w:r>
            <w:fldChar w:fldCharType="begin"/>
          </w:r>
          <w:r>
            <w:instrText xml:space="preserve"> PAGEREF _Toc27332 </w:instrText>
          </w:r>
          <w:r>
            <w:fldChar w:fldCharType="separate"/>
          </w:r>
          <w:r>
            <w:t>148</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_Toc22894 </w:instrText>
          </w:r>
          <w:r>
            <w:rPr>
              <w:rFonts w:asciiTheme="minorEastAsia" w:hAnsiTheme="minorEastAsia"/>
              <w:szCs w:val="21"/>
            </w:rPr>
            <w:fldChar w:fldCharType="separate"/>
          </w:r>
          <w:r>
            <w:rPr>
              <w:rFonts w:hint="eastAsia"/>
              <w:szCs w:val="24"/>
            </w:rPr>
            <w:t>3.7发票信息回传</w:t>
          </w:r>
          <w:r>
            <w:tab/>
          </w:r>
          <w:r>
            <w:fldChar w:fldCharType="begin"/>
          </w:r>
          <w:r>
            <w:instrText xml:space="preserve"> PAGEREF _Toc22894 </w:instrText>
          </w:r>
          <w:r>
            <w:fldChar w:fldCharType="separate"/>
          </w:r>
          <w:r>
            <w:t>148</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_Toc26971 </w:instrText>
          </w:r>
          <w:r>
            <w:rPr>
              <w:rFonts w:asciiTheme="minorEastAsia" w:hAnsiTheme="minorEastAsia"/>
              <w:szCs w:val="21"/>
            </w:rPr>
            <w:fldChar w:fldCharType="separate"/>
          </w:r>
          <w:r>
            <w:rPr>
              <w:rFonts w:hint="eastAsia"/>
              <w:szCs w:val="24"/>
            </w:rPr>
            <w:t>3.8电子发票推送</w:t>
          </w:r>
          <w:r>
            <w:tab/>
          </w:r>
          <w:r>
            <w:fldChar w:fldCharType="begin"/>
          </w:r>
          <w:r>
            <w:instrText xml:space="preserve"> PAGEREF _Toc26971 </w:instrText>
          </w:r>
          <w:r>
            <w:fldChar w:fldCharType="separate"/>
          </w:r>
          <w:r>
            <w:t>148</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_Toc16582 </w:instrText>
          </w:r>
          <w:r>
            <w:rPr>
              <w:rFonts w:asciiTheme="minorEastAsia" w:hAnsiTheme="minorEastAsia"/>
              <w:szCs w:val="21"/>
            </w:rPr>
            <w:fldChar w:fldCharType="separate"/>
          </w:r>
          <w:r>
            <w:rPr>
              <w:rFonts w:hint="eastAsia"/>
              <w:szCs w:val="24"/>
            </w:rPr>
            <w:t>3.9电子发票下载</w:t>
          </w:r>
          <w:r>
            <w:tab/>
          </w:r>
          <w:r>
            <w:fldChar w:fldCharType="begin"/>
          </w:r>
          <w:r>
            <w:instrText xml:space="preserve"> PAGEREF _Toc16582 </w:instrText>
          </w:r>
          <w:r>
            <w:fldChar w:fldCharType="separate"/>
          </w:r>
          <w:r>
            <w:t>149</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_Toc5152 </w:instrText>
          </w:r>
          <w:r>
            <w:rPr>
              <w:rFonts w:asciiTheme="minorEastAsia" w:hAnsiTheme="minorEastAsia"/>
              <w:szCs w:val="21"/>
            </w:rPr>
            <w:fldChar w:fldCharType="separate"/>
          </w:r>
          <w:r>
            <w:rPr>
              <w:rFonts w:hint="eastAsia"/>
              <w:szCs w:val="24"/>
            </w:rPr>
            <w:t>3.10发票查验</w:t>
          </w:r>
          <w:r>
            <w:tab/>
          </w:r>
          <w:r>
            <w:fldChar w:fldCharType="begin"/>
          </w:r>
          <w:r>
            <w:instrText xml:space="preserve"> PAGEREF _Toc5152 </w:instrText>
          </w:r>
          <w:r>
            <w:fldChar w:fldCharType="separate"/>
          </w:r>
          <w:r>
            <w:t>149</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_Toc32692 </w:instrText>
          </w:r>
          <w:r>
            <w:rPr>
              <w:rFonts w:asciiTheme="minorEastAsia" w:hAnsiTheme="minorEastAsia"/>
              <w:szCs w:val="21"/>
            </w:rPr>
            <w:fldChar w:fldCharType="separate"/>
          </w:r>
          <w:r>
            <w:rPr>
              <w:rFonts w:hint="eastAsia"/>
            </w:rPr>
            <w:t>4． 发票管理</w:t>
          </w:r>
          <w:r>
            <w:tab/>
          </w:r>
          <w:r>
            <w:fldChar w:fldCharType="begin"/>
          </w:r>
          <w:r>
            <w:instrText xml:space="preserve"> PAGEREF _Toc32692 </w:instrText>
          </w:r>
          <w:r>
            <w:fldChar w:fldCharType="separate"/>
          </w:r>
          <w:r>
            <w:t>150</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_Toc29890 </w:instrText>
          </w:r>
          <w:r>
            <w:rPr>
              <w:rFonts w:asciiTheme="minorEastAsia" w:hAnsiTheme="minorEastAsia"/>
              <w:szCs w:val="21"/>
            </w:rPr>
            <w:fldChar w:fldCharType="separate"/>
          </w:r>
          <w:r>
            <w:rPr>
              <w:rFonts w:hint="eastAsia"/>
              <w:szCs w:val="24"/>
            </w:rPr>
            <w:t>4.1发票入库</w:t>
          </w:r>
          <w:r>
            <w:tab/>
          </w:r>
          <w:r>
            <w:fldChar w:fldCharType="begin"/>
          </w:r>
          <w:r>
            <w:instrText xml:space="preserve"> PAGEREF _Toc29890 </w:instrText>
          </w:r>
          <w:r>
            <w:fldChar w:fldCharType="separate"/>
          </w:r>
          <w:r>
            <w:t>150</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_Toc29741 </w:instrText>
          </w:r>
          <w:r>
            <w:rPr>
              <w:rFonts w:asciiTheme="minorEastAsia" w:hAnsiTheme="minorEastAsia"/>
              <w:szCs w:val="21"/>
            </w:rPr>
            <w:fldChar w:fldCharType="separate"/>
          </w:r>
          <w:r>
            <w:rPr>
              <w:rFonts w:hint="eastAsia"/>
              <w:szCs w:val="24"/>
            </w:rPr>
            <w:t>4.2发票请领</w:t>
          </w:r>
          <w:r>
            <w:tab/>
          </w:r>
          <w:r>
            <w:fldChar w:fldCharType="begin"/>
          </w:r>
          <w:r>
            <w:instrText xml:space="preserve"> PAGEREF _Toc29741 </w:instrText>
          </w:r>
          <w:r>
            <w:fldChar w:fldCharType="separate"/>
          </w:r>
          <w:r>
            <w:t>151</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_Toc2138 </w:instrText>
          </w:r>
          <w:r>
            <w:rPr>
              <w:rFonts w:asciiTheme="minorEastAsia" w:hAnsiTheme="minorEastAsia"/>
              <w:szCs w:val="21"/>
            </w:rPr>
            <w:fldChar w:fldCharType="separate"/>
          </w:r>
          <w:r>
            <w:rPr>
              <w:rFonts w:hint="eastAsia"/>
              <w:szCs w:val="24"/>
            </w:rPr>
            <w:t>4.3请领单审核</w:t>
          </w:r>
          <w:r>
            <w:tab/>
          </w:r>
          <w:r>
            <w:fldChar w:fldCharType="begin"/>
          </w:r>
          <w:r>
            <w:instrText xml:space="preserve"> PAGEREF _Toc2138 </w:instrText>
          </w:r>
          <w:r>
            <w:fldChar w:fldCharType="separate"/>
          </w:r>
          <w:r>
            <w:t>152</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_Toc18935 </w:instrText>
          </w:r>
          <w:r>
            <w:rPr>
              <w:rFonts w:asciiTheme="minorEastAsia" w:hAnsiTheme="minorEastAsia"/>
              <w:szCs w:val="21"/>
            </w:rPr>
            <w:fldChar w:fldCharType="separate"/>
          </w:r>
          <w:r>
            <w:rPr>
              <w:rFonts w:hint="eastAsia"/>
              <w:szCs w:val="24"/>
            </w:rPr>
            <w:t>4.4发票发货</w:t>
          </w:r>
          <w:r>
            <w:tab/>
          </w:r>
          <w:r>
            <w:fldChar w:fldCharType="begin"/>
          </w:r>
          <w:r>
            <w:instrText xml:space="preserve"> PAGEREF _Toc18935 </w:instrText>
          </w:r>
          <w:r>
            <w:fldChar w:fldCharType="separate"/>
          </w:r>
          <w:r>
            <w:t>153</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_Toc10851 </w:instrText>
          </w:r>
          <w:r>
            <w:rPr>
              <w:rFonts w:asciiTheme="minorEastAsia" w:hAnsiTheme="minorEastAsia"/>
              <w:szCs w:val="21"/>
            </w:rPr>
            <w:fldChar w:fldCharType="separate"/>
          </w:r>
          <w:r>
            <w:rPr>
              <w:rFonts w:hint="eastAsia"/>
              <w:szCs w:val="24"/>
            </w:rPr>
            <w:t>4.5发票缴销</w:t>
          </w:r>
          <w:r>
            <w:tab/>
          </w:r>
          <w:r>
            <w:fldChar w:fldCharType="begin"/>
          </w:r>
          <w:r>
            <w:instrText xml:space="preserve"> PAGEREF _Toc10851 </w:instrText>
          </w:r>
          <w:r>
            <w:fldChar w:fldCharType="separate"/>
          </w:r>
          <w:r>
            <w:t>155</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_Toc31300 </w:instrText>
          </w:r>
          <w:r>
            <w:rPr>
              <w:rFonts w:asciiTheme="minorEastAsia" w:hAnsiTheme="minorEastAsia"/>
              <w:szCs w:val="21"/>
            </w:rPr>
            <w:fldChar w:fldCharType="separate"/>
          </w:r>
          <w:r>
            <w:rPr>
              <w:rFonts w:hint="eastAsia"/>
              <w:szCs w:val="24"/>
            </w:rPr>
            <w:t>4.6领用存统计</w:t>
          </w:r>
          <w:r>
            <w:tab/>
          </w:r>
          <w:r>
            <w:fldChar w:fldCharType="begin"/>
          </w:r>
          <w:r>
            <w:instrText xml:space="preserve"> PAGEREF _Toc31300 </w:instrText>
          </w:r>
          <w:r>
            <w:fldChar w:fldCharType="separate"/>
          </w:r>
          <w:r>
            <w:t>156</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_Toc21600 </w:instrText>
          </w:r>
          <w:r>
            <w:rPr>
              <w:rFonts w:asciiTheme="minorEastAsia" w:hAnsiTheme="minorEastAsia"/>
              <w:szCs w:val="21"/>
            </w:rPr>
            <w:fldChar w:fldCharType="separate"/>
          </w:r>
          <w:r>
            <w:rPr>
              <w:rFonts w:hint="eastAsia"/>
              <w:szCs w:val="24"/>
            </w:rPr>
            <w:t>4.7领用存查询</w:t>
          </w:r>
          <w:r>
            <w:tab/>
          </w:r>
          <w:r>
            <w:fldChar w:fldCharType="begin"/>
          </w:r>
          <w:r>
            <w:instrText xml:space="preserve"> PAGEREF _Toc21600 </w:instrText>
          </w:r>
          <w:r>
            <w:fldChar w:fldCharType="separate"/>
          </w:r>
          <w:r>
            <w:t>156</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_Toc20800 </w:instrText>
          </w:r>
          <w:r>
            <w:rPr>
              <w:rFonts w:asciiTheme="minorEastAsia" w:hAnsiTheme="minorEastAsia"/>
              <w:szCs w:val="21"/>
            </w:rPr>
            <w:fldChar w:fldCharType="separate"/>
          </w:r>
          <w:r>
            <w:rPr>
              <w:rFonts w:hint="eastAsia"/>
              <w:szCs w:val="24"/>
            </w:rPr>
            <w:t>4.8库存查询</w:t>
          </w:r>
          <w:r>
            <w:tab/>
          </w:r>
          <w:r>
            <w:fldChar w:fldCharType="begin"/>
          </w:r>
          <w:r>
            <w:instrText xml:space="preserve"> PAGEREF _Toc20800 </w:instrText>
          </w:r>
          <w:r>
            <w:fldChar w:fldCharType="separate"/>
          </w:r>
          <w:r>
            <w:t>157</w:t>
          </w:r>
          <w:r>
            <w:fldChar w:fldCharType="end"/>
          </w:r>
          <w:r>
            <w:rPr>
              <w:rFonts w:asciiTheme="minorEastAsia" w:hAnsiTheme="minorEastAsia"/>
              <w:szCs w:val="21"/>
            </w:rPr>
            <w:fldChar w:fldCharType="end"/>
          </w:r>
        </w:p>
        <w:p>
          <w:pPr>
            <w:pStyle w:val="25"/>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_Toc16315 </w:instrText>
          </w:r>
          <w:r>
            <w:rPr>
              <w:rFonts w:asciiTheme="minorEastAsia" w:hAnsiTheme="minorEastAsia"/>
              <w:szCs w:val="21"/>
            </w:rPr>
            <w:fldChar w:fldCharType="separate"/>
          </w:r>
          <w:r>
            <w:rPr>
              <w:rFonts w:hint="eastAsia"/>
            </w:rPr>
            <w:t>第六章 项目实施管理</w:t>
          </w:r>
          <w:r>
            <w:tab/>
          </w:r>
          <w:r>
            <w:fldChar w:fldCharType="begin"/>
          </w:r>
          <w:r>
            <w:instrText xml:space="preserve"> PAGEREF _Toc16315 </w:instrText>
          </w:r>
          <w:r>
            <w:fldChar w:fldCharType="separate"/>
          </w:r>
          <w:r>
            <w:t>158</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_Toc28906 </w:instrText>
          </w:r>
          <w:r>
            <w:rPr>
              <w:rFonts w:asciiTheme="minorEastAsia" w:hAnsiTheme="minorEastAsia"/>
              <w:szCs w:val="21"/>
            </w:rPr>
            <w:fldChar w:fldCharType="separate"/>
          </w:r>
          <w:r>
            <w:rPr>
              <w:rFonts w:hint="eastAsia"/>
            </w:rPr>
            <w:t>一、 项目进度管理计划</w:t>
          </w:r>
          <w:r>
            <w:tab/>
          </w:r>
          <w:r>
            <w:fldChar w:fldCharType="begin"/>
          </w:r>
          <w:r>
            <w:instrText xml:space="preserve"> PAGEREF _Toc28906 </w:instrText>
          </w:r>
          <w:r>
            <w:fldChar w:fldCharType="separate"/>
          </w:r>
          <w:r>
            <w:t>158</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_Toc9128 </w:instrText>
          </w:r>
          <w:r>
            <w:rPr>
              <w:rFonts w:asciiTheme="minorEastAsia" w:hAnsiTheme="minorEastAsia"/>
              <w:szCs w:val="21"/>
            </w:rPr>
            <w:fldChar w:fldCharType="separate"/>
          </w:r>
          <w:r>
            <w:rPr>
              <w:rFonts w:hint="eastAsia"/>
            </w:rPr>
            <w:t>1． 项目进度控制的步骤</w:t>
          </w:r>
          <w:r>
            <w:tab/>
          </w:r>
          <w:r>
            <w:fldChar w:fldCharType="begin"/>
          </w:r>
          <w:r>
            <w:instrText xml:space="preserve"> PAGEREF _Toc9128 </w:instrText>
          </w:r>
          <w:r>
            <w:fldChar w:fldCharType="separate"/>
          </w:r>
          <w:r>
            <w:t>158</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_Toc17403 </w:instrText>
          </w:r>
          <w:r>
            <w:rPr>
              <w:rFonts w:asciiTheme="minorEastAsia" w:hAnsiTheme="minorEastAsia"/>
              <w:szCs w:val="21"/>
            </w:rPr>
            <w:fldChar w:fldCharType="separate"/>
          </w:r>
          <w:r>
            <w:rPr>
              <w:rFonts w:hint="eastAsia"/>
            </w:rPr>
            <w:t>2． 项目进度安排</w:t>
          </w:r>
          <w:r>
            <w:tab/>
          </w:r>
          <w:r>
            <w:fldChar w:fldCharType="begin"/>
          </w:r>
          <w:r>
            <w:instrText xml:space="preserve"> PAGEREF _Toc17403 </w:instrText>
          </w:r>
          <w:r>
            <w:fldChar w:fldCharType="separate"/>
          </w:r>
          <w:r>
            <w:t>159</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_Toc22286 </w:instrText>
          </w:r>
          <w:r>
            <w:rPr>
              <w:rFonts w:asciiTheme="minorEastAsia" w:hAnsiTheme="minorEastAsia"/>
              <w:szCs w:val="21"/>
            </w:rPr>
            <w:fldChar w:fldCharType="separate"/>
          </w:r>
          <w:r>
            <w:rPr>
              <w:rFonts w:hint="eastAsia"/>
            </w:rPr>
            <w:t>3． 项目进度跟踪</w:t>
          </w:r>
          <w:r>
            <w:tab/>
          </w:r>
          <w:r>
            <w:fldChar w:fldCharType="begin"/>
          </w:r>
          <w:r>
            <w:instrText xml:space="preserve"> PAGEREF _Toc22286 </w:instrText>
          </w:r>
          <w:r>
            <w:fldChar w:fldCharType="separate"/>
          </w:r>
          <w:r>
            <w:t>159</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_Toc10398 </w:instrText>
          </w:r>
          <w:r>
            <w:rPr>
              <w:rFonts w:asciiTheme="minorEastAsia" w:hAnsiTheme="minorEastAsia"/>
              <w:szCs w:val="21"/>
            </w:rPr>
            <w:fldChar w:fldCharType="separate"/>
          </w:r>
          <w:r>
            <w:rPr>
              <w:rFonts w:hint="eastAsia"/>
            </w:rPr>
            <w:t>4． 项目进度分析</w:t>
          </w:r>
          <w:r>
            <w:tab/>
          </w:r>
          <w:r>
            <w:fldChar w:fldCharType="begin"/>
          </w:r>
          <w:r>
            <w:instrText xml:space="preserve"> PAGEREF _Toc10398 </w:instrText>
          </w:r>
          <w:r>
            <w:fldChar w:fldCharType="separate"/>
          </w:r>
          <w:r>
            <w:t>160</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_Toc7876 </w:instrText>
          </w:r>
          <w:r>
            <w:rPr>
              <w:rFonts w:asciiTheme="minorEastAsia" w:hAnsiTheme="minorEastAsia"/>
              <w:szCs w:val="21"/>
            </w:rPr>
            <w:fldChar w:fldCharType="separate"/>
          </w:r>
          <w:r>
            <w:rPr>
              <w:rFonts w:hint="eastAsia"/>
            </w:rPr>
            <w:t>5． 项目进度控制</w:t>
          </w:r>
          <w:r>
            <w:tab/>
          </w:r>
          <w:r>
            <w:fldChar w:fldCharType="begin"/>
          </w:r>
          <w:r>
            <w:instrText xml:space="preserve"> PAGEREF _Toc7876 </w:instrText>
          </w:r>
          <w:r>
            <w:fldChar w:fldCharType="separate"/>
          </w:r>
          <w:r>
            <w:t>161</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_Toc6723 </w:instrText>
          </w:r>
          <w:r>
            <w:rPr>
              <w:rFonts w:asciiTheme="minorEastAsia" w:hAnsiTheme="minorEastAsia"/>
              <w:szCs w:val="21"/>
            </w:rPr>
            <w:fldChar w:fldCharType="separate"/>
          </w:r>
          <w:r>
            <w:rPr>
              <w:rFonts w:hint="eastAsia"/>
            </w:rPr>
            <w:t>6． 使用统计分析方法，发现问题并改进</w:t>
          </w:r>
          <w:r>
            <w:tab/>
          </w:r>
          <w:r>
            <w:fldChar w:fldCharType="begin"/>
          </w:r>
          <w:r>
            <w:instrText xml:space="preserve"> PAGEREF _Toc6723 </w:instrText>
          </w:r>
          <w:r>
            <w:fldChar w:fldCharType="separate"/>
          </w:r>
          <w:r>
            <w:t>162</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_Toc29345 </w:instrText>
          </w:r>
          <w:r>
            <w:rPr>
              <w:rFonts w:asciiTheme="minorEastAsia" w:hAnsiTheme="minorEastAsia"/>
              <w:szCs w:val="21"/>
            </w:rPr>
            <w:fldChar w:fldCharType="separate"/>
          </w:r>
          <w:r>
            <w:rPr>
              <w:rFonts w:hint="eastAsia"/>
            </w:rPr>
            <w:t>7． 监督目标达成状况</w:t>
          </w:r>
          <w:r>
            <w:tab/>
          </w:r>
          <w:r>
            <w:fldChar w:fldCharType="begin"/>
          </w:r>
          <w:r>
            <w:instrText xml:space="preserve"> PAGEREF _Toc29345 </w:instrText>
          </w:r>
          <w:r>
            <w:fldChar w:fldCharType="separate"/>
          </w:r>
          <w:r>
            <w:t>163</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_Toc6883 </w:instrText>
          </w:r>
          <w:r>
            <w:rPr>
              <w:rFonts w:asciiTheme="minorEastAsia" w:hAnsiTheme="minorEastAsia"/>
              <w:szCs w:val="21"/>
            </w:rPr>
            <w:fldChar w:fldCharType="separate"/>
          </w:r>
          <w:r>
            <w:rPr>
              <w:rFonts w:hint="eastAsia"/>
            </w:rPr>
            <w:t>8． 记录统计管理数据</w:t>
          </w:r>
          <w:r>
            <w:tab/>
          </w:r>
          <w:r>
            <w:fldChar w:fldCharType="begin"/>
          </w:r>
          <w:r>
            <w:instrText xml:space="preserve"> PAGEREF _Toc6883 </w:instrText>
          </w:r>
          <w:r>
            <w:fldChar w:fldCharType="separate"/>
          </w:r>
          <w:r>
            <w:t>164</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_Toc6199 </w:instrText>
          </w:r>
          <w:r>
            <w:rPr>
              <w:rFonts w:asciiTheme="minorEastAsia" w:hAnsiTheme="minorEastAsia"/>
              <w:szCs w:val="21"/>
            </w:rPr>
            <w:fldChar w:fldCharType="separate"/>
          </w:r>
          <w:r>
            <w:rPr>
              <w:rFonts w:hint="eastAsia"/>
            </w:rPr>
            <w:t>9． 里程碑控制</w:t>
          </w:r>
          <w:r>
            <w:tab/>
          </w:r>
          <w:r>
            <w:fldChar w:fldCharType="begin"/>
          </w:r>
          <w:r>
            <w:instrText xml:space="preserve"> PAGEREF _Toc6199 </w:instrText>
          </w:r>
          <w:r>
            <w:fldChar w:fldCharType="separate"/>
          </w:r>
          <w:r>
            <w:t>164</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_Toc24416 </w:instrText>
          </w:r>
          <w:r>
            <w:rPr>
              <w:rFonts w:asciiTheme="minorEastAsia" w:hAnsiTheme="minorEastAsia"/>
              <w:szCs w:val="21"/>
            </w:rPr>
            <w:fldChar w:fldCharType="separate"/>
          </w:r>
          <w:r>
            <w:rPr>
              <w:rFonts w:hint="eastAsia"/>
            </w:rPr>
            <w:t>二、 项目风险管理计划</w:t>
          </w:r>
          <w:r>
            <w:tab/>
          </w:r>
          <w:r>
            <w:fldChar w:fldCharType="begin"/>
          </w:r>
          <w:r>
            <w:instrText xml:space="preserve"> PAGEREF _Toc24416 </w:instrText>
          </w:r>
          <w:r>
            <w:fldChar w:fldCharType="separate"/>
          </w:r>
          <w:r>
            <w:t>165</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_Toc10282 </w:instrText>
          </w:r>
          <w:r>
            <w:rPr>
              <w:rFonts w:asciiTheme="minorEastAsia" w:hAnsiTheme="minorEastAsia"/>
              <w:szCs w:val="21"/>
            </w:rPr>
            <w:fldChar w:fldCharType="separate"/>
          </w:r>
          <w:r>
            <w:rPr>
              <w:rFonts w:hint="eastAsia"/>
            </w:rPr>
            <w:t>1． 规划风险管理</w:t>
          </w:r>
          <w:r>
            <w:tab/>
          </w:r>
          <w:r>
            <w:fldChar w:fldCharType="begin"/>
          </w:r>
          <w:r>
            <w:instrText xml:space="preserve"> PAGEREF _Toc10282 </w:instrText>
          </w:r>
          <w:r>
            <w:fldChar w:fldCharType="separate"/>
          </w:r>
          <w:r>
            <w:t>167</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_Toc8169 </w:instrText>
          </w:r>
          <w:r>
            <w:rPr>
              <w:rFonts w:asciiTheme="minorEastAsia" w:hAnsiTheme="minorEastAsia"/>
              <w:szCs w:val="21"/>
            </w:rPr>
            <w:fldChar w:fldCharType="separate"/>
          </w:r>
          <w:r>
            <w:rPr>
              <w:rFonts w:hint="eastAsia"/>
            </w:rPr>
            <w:t>2． 风险识别</w:t>
          </w:r>
          <w:r>
            <w:tab/>
          </w:r>
          <w:r>
            <w:fldChar w:fldCharType="begin"/>
          </w:r>
          <w:r>
            <w:instrText xml:space="preserve"> PAGEREF _Toc8169 </w:instrText>
          </w:r>
          <w:r>
            <w:fldChar w:fldCharType="separate"/>
          </w:r>
          <w:r>
            <w:t>168</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_Toc31623 </w:instrText>
          </w:r>
          <w:r>
            <w:rPr>
              <w:rFonts w:asciiTheme="minorEastAsia" w:hAnsiTheme="minorEastAsia"/>
              <w:szCs w:val="21"/>
            </w:rPr>
            <w:fldChar w:fldCharType="separate"/>
          </w:r>
          <w:r>
            <w:rPr>
              <w:rFonts w:hint="eastAsia"/>
            </w:rPr>
            <w:t>3． 实施定性风险分析</w:t>
          </w:r>
          <w:r>
            <w:tab/>
          </w:r>
          <w:r>
            <w:fldChar w:fldCharType="begin"/>
          </w:r>
          <w:r>
            <w:instrText xml:space="preserve"> PAGEREF _Toc31623 </w:instrText>
          </w:r>
          <w:r>
            <w:fldChar w:fldCharType="separate"/>
          </w:r>
          <w:r>
            <w:t>174</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_Toc13454 </w:instrText>
          </w:r>
          <w:r>
            <w:rPr>
              <w:rFonts w:asciiTheme="minorEastAsia" w:hAnsiTheme="minorEastAsia"/>
              <w:szCs w:val="21"/>
            </w:rPr>
            <w:fldChar w:fldCharType="separate"/>
          </w:r>
          <w:r>
            <w:rPr>
              <w:rFonts w:hint="eastAsia"/>
            </w:rPr>
            <w:t>4． 实施定量风险分析</w:t>
          </w:r>
          <w:r>
            <w:tab/>
          </w:r>
          <w:r>
            <w:fldChar w:fldCharType="begin"/>
          </w:r>
          <w:r>
            <w:instrText xml:space="preserve"> PAGEREF _Toc13454 </w:instrText>
          </w:r>
          <w:r>
            <w:fldChar w:fldCharType="separate"/>
          </w:r>
          <w:r>
            <w:t>175</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_Toc10373 </w:instrText>
          </w:r>
          <w:r>
            <w:rPr>
              <w:rFonts w:asciiTheme="minorEastAsia" w:hAnsiTheme="minorEastAsia"/>
              <w:szCs w:val="21"/>
            </w:rPr>
            <w:fldChar w:fldCharType="separate"/>
          </w:r>
          <w:r>
            <w:rPr>
              <w:rFonts w:hint="eastAsia"/>
            </w:rPr>
            <w:t>5． 规划风险应对</w:t>
          </w:r>
          <w:r>
            <w:tab/>
          </w:r>
          <w:r>
            <w:fldChar w:fldCharType="begin"/>
          </w:r>
          <w:r>
            <w:instrText xml:space="preserve"> PAGEREF _Toc10373 </w:instrText>
          </w:r>
          <w:r>
            <w:fldChar w:fldCharType="separate"/>
          </w:r>
          <w:r>
            <w:t>177</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_Toc10089 </w:instrText>
          </w:r>
          <w:r>
            <w:rPr>
              <w:rFonts w:asciiTheme="minorEastAsia" w:hAnsiTheme="minorEastAsia"/>
              <w:szCs w:val="21"/>
            </w:rPr>
            <w:fldChar w:fldCharType="separate"/>
          </w:r>
          <w:r>
            <w:rPr>
              <w:rFonts w:hint="eastAsia"/>
            </w:rPr>
            <w:t>6． 监控风险</w:t>
          </w:r>
          <w:r>
            <w:tab/>
          </w:r>
          <w:r>
            <w:fldChar w:fldCharType="begin"/>
          </w:r>
          <w:r>
            <w:instrText xml:space="preserve"> PAGEREF _Toc10089 </w:instrText>
          </w:r>
          <w:r>
            <w:fldChar w:fldCharType="separate"/>
          </w:r>
          <w:r>
            <w:t>178</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_Toc12947 </w:instrText>
          </w:r>
          <w:r>
            <w:rPr>
              <w:rFonts w:asciiTheme="minorEastAsia" w:hAnsiTheme="minorEastAsia"/>
              <w:szCs w:val="21"/>
            </w:rPr>
            <w:fldChar w:fldCharType="separate"/>
          </w:r>
          <w:r>
            <w:rPr>
              <w:rFonts w:hint="eastAsia"/>
            </w:rPr>
            <w:t>7． 本项目风险分析及应对措施</w:t>
          </w:r>
          <w:r>
            <w:tab/>
          </w:r>
          <w:r>
            <w:fldChar w:fldCharType="begin"/>
          </w:r>
          <w:r>
            <w:instrText xml:space="preserve"> PAGEREF _Toc12947 </w:instrText>
          </w:r>
          <w:r>
            <w:fldChar w:fldCharType="separate"/>
          </w:r>
          <w:r>
            <w:t>179</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_Toc28928 </w:instrText>
          </w:r>
          <w:r>
            <w:rPr>
              <w:rFonts w:asciiTheme="minorEastAsia" w:hAnsiTheme="minorEastAsia"/>
              <w:szCs w:val="21"/>
            </w:rPr>
            <w:fldChar w:fldCharType="separate"/>
          </w:r>
          <w:r>
            <w:rPr>
              <w:rFonts w:hint="eastAsia"/>
            </w:rPr>
            <w:t>8． 项目风险评估表</w:t>
          </w:r>
          <w:r>
            <w:tab/>
          </w:r>
          <w:r>
            <w:fldChar w:fldCharType="begin"/>
          </w:r>
          <w:r>
            <w:instrText xml:space="preserve"> PAGEREF _Toc28928 </w:instrText>
          </w:r>
          <w:r>
            <w:fldChar w:fldCharType="separate"/>
          </w:r>
          <w:r>
            <w:t>180</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_Toc28584 </w:instrText>
          </w:r>
          <w:r>
            <w:rPr>
              <w:rFonts w:asciiTheme="minorEastAsia" w:hAnsiTheme="minorEastAsia"/>
              <w:szCs w:val="21"/>
            </w:rPr>
            <w:fldChar w:fldCharType="separate"/>
          </w:r>
          <w:r>
            <w:rPr>
              <w:rFonts w:hint="eastAsia"/>
            </w:rPr>
            <w:t>9． 问题管理流程</w:t>
          </w:r>
          <w:r>
            <w:tab/>
          </w:r>
          <w:r>
            <w:fldChar w:fldCharType="begin"/>
          </w:r>
          <w:r>
            <w:instrText xml:space="preserve"> PAGEREF _Toc28584 </w:instrText>
          </w:r>
          <w:r>
            <w:fldChar w:fldCharType="separate"/>
          </w:r>
          <w:r>
            <w:t>181</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_Toc30929 </w:instrText>
          </w:r>
          <w:r>
            <w:rPr>
              <w:rFonts w:asciiTheme="minorEastAsia" w:hAnsiTheme="minorEastAsia"/>
              <w:szCs w:val="21"/>
            </w:rPr>
            <w:fldChar w:fldCharType="separate"/>
          </w:r>
          <w:r>
            <w:rPr>
              <w:rFonts w:hint="eastAsia"/>
            </w:rPr>
            <w:t>三、 项目需求管理</w:t>
          </w:r>
          <w:r>
            <w:tab/>
          </w:r>
          <w:r>
            <w:fldChar w:fldCharType="begin"/>
          </w:r>
          <w:r>
            <w:instrText xml:space="preserve"> PAGEREF _Toc30929 </w:instrText>
          </w:r>
          <w:r>
            <w:fldChar w:fldCharType="separate"/>
          </w:r>
          <w:r>
            <w:t>186</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_Toc29991 </w:instrText>
          </w:r>
          <w:r>
            <w:rPr>
              <w:rFonts w:asciiTheme="minorEastAsia" w:hAnsiTheme="minorEastAsia"/>
              <w:szCs w:val="21"/>
            </w:rPr>
            <w:fldChar w:fldCharType="separate"/>
          </w:r>
          <w:r>
            <w:rPr>
              <w:rFonts w:hint="eastAsia"/>
            </w:rPr>
            <w:t>1． 需求调研</w:t>
          </w:r>
          <w:r>
            <w:tab/>
          </w:r>
          <w:r>
            <w:fldChar w:fldCharType="begin"/>
          </w:r>
          <w:r>
            <w:instrText xml:space="preserve"> PAGEREF _Toc29991 </w:instrText>
          </w:r>
          <w:r>
            <w:fldChar w:fldCharType="separate"/>
          </w:r>
          <w:r>
            <w:t>188</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_Toc805 </w:instrText>
          </w:r>
          <w:r>
            <w:rPr>
              <w:rFonts w:asciiTheme="minorEastAsia" w:hAnsiTheme="minorEastAsia"/>
              <w:szCs w:val="21"/>
            </w:rPr>
            <w:fldChar w:fldCharType="separate"/>
          </w:r>
          <w:r>
            <w:rPr>
              <w:rFonts w:hint="eastAsia"/>
            </w:rPr>
            <w:t>2． 需求分析</w:t>
          </w:r>
          <w:r>
            <w:tab/>
          </w:r>
          <w:r>
            <w:fldChar w:fldCharType="begin"/>
          </w:r>
          <w:r>
            <w:instrText xml:space="preserve"> PAGEREF _Toc805 </w:instrText>
          </w:r>
          <w:r>
            <w:fldChar w:fldCharType="separate"/>
          </w:r>
          <w:r>
            <w:t>191</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_Toc12505 </w:instrText>
          </w:r>
          <w:r>
            <w:rPr>
              <w:rFonts w:asciiTheme="minorEastAsia" w:hAnsiTheme="minorEastAsia"/>
              <w:szCs w:val="21"/>
            </w:rPr>
            <w:fldChar w:fldCharType="separate"/>
          </w:r>
          <w:r>
            <w:rPr>
              <w:rFonts w:hint="eastAsia"/>
            </w:rPr>
            <w:t>3． 需求定义</w:t>
          </w:r>
          <w:r>
            <w:tab/>
          </w:r>
          <w:r>
            <w:fldChar w:fldCharType="begin"/>
          </w:r>
          <w:r>
            <w:instrText xml:space="preserve"> PAGEREF _Toc12505 </w:instrText>
          </w:r>
          <w:r>
            <w:fldChar w:fldCharType="separate"/>
          </w:r>
          <w:r>
            <w:t>193</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_Toc16033 </w:instrText>
          </w:r>
          <w:r>
            <w:rPr>
              <w:rFonts w:asciiTheme="minorEastAsia" w:hAnsiTheme="minorEastAsia"/>
              <w:szCs w:val="21"/>
            </w:rPr>
            <w:fldChar w:fldCharType="separate"/>
          </w:r>
          <w:r>
            <w:rPr>
              <w:rFonts w:hint="eastAsia"/>
            </w:rPr>
            <w:t>4． 需求确认</w:t>
          </w:r>
          <w:r>
            <w:tab/>
          </w:r>
          <w:r>
            <w:fldChar w:fldCharType="begin"/>
          </w:r>
          <w:r>
            <w:instrText xml:space="preserve"> PAGEREF _Toc16033 </w:instrText>
          </w:r>
          <w:r>
            <w:fldChar w:fldCharType="separate"/>
          </w:r>
          <w:r>
            <w:t>194</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_Toc14030 </w:instrText>
          </w:r>
          <w:r>
            <w:rPr>
              <w:rFonts w:asciiTheme="minorEastAsia" w:hAnsiTheme="minorEastAsia"/>
              <w:szCs w:val="21"/>
            </w:rPr>
            <w:fldChar w:fldCharType="separate"/>
          </w:r>
          <w:r>
            <w:rPr>
              <w:rFonts w:hint="eastAsia"/>
            </w:rPr>
            <w:t>5． 需求评审</w:t>
          </w:r>
          <w:r>
            <w:tab/>
          </w:r>
          <w:r>
            <w:fldChar w:fldCharType="begin"/>
          </w:r>
          <w:r>
            <w:instrText xml:space="preserve"> PAGEREF _Toc14030 </w:instrText>
          </w:r>
          <w:r>
            <w:fldChar w:fldCharType="separate"/>
          </w:r>
          <w:r>
            <w:t>195</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_Toc30506 </w:instrText>
          </w:r>
          <w:r>
            <w:rPr>
              <w:rFonts w:asciiTheme="minorEastAsia" w:hAnsiTheme="minorEastAsia"/>
              <w:szCs w:val="21"/>
            </w:rPr>
            <w:fldChar w:fldCharType="separate"/>
          </w:r>
          <w:r>
            <w:rPr>
              <w:rFonts w:hint="eastAsia"/>
            </w:rPr>
            <w:t>6． 需求跟踪</w:t>
          </w:r>
          <w:r>
            <w:tab/>
          </w:r>
          <w:r>
            <w:fldChar w:fldCharType="begin"/>
          </w:r>
          <w:r>
            <w:instrText xml:space="preserve"> PAGEREF _Toc30506 </w:instrText>
          </w:r>
          <w:r>
            <w:fldChar w:fldCharType="separate"/>
          </w:r>
          <w:r>
            <w:t>196</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_Toc21279 </w:instrText>
          </w:r>
          <w:r>
            <w:rPr>
              <w:rFonts w:asciiTheme="minorEastAsia" w:hAnsiTheme="minorEastAsia"/>
              <w:szCs w:val="21"/>
            </w:rPr>
            <w:fldChar w:fldCharType="separate"/>
          </w:r>
          <w:r>
            <w:rPr>
              <w:rFonts w:hint="eastAsia"/>
            </w:rPr>
            <w:t>7． 需求变更控制</w:t>
          </w:r>
          <w:r>
            <w:tab/>
          </w:r>
          <w:r>
            <w:fldChar w:fldCharType="begin"/>
          </w:r>
          <w:r>
            <w:instrText xml:space="preserve"> PAGEREF _Toc21279 </w:instrText>
          </w:r>
          <w:r>
            <w:fldChar w:fldCharType="separate"/>
          </w:r>
          <w:r>
            <w:t>198</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_Toc24853 </w:instrText>
          </w:r>
          <w:r>
            <w:rPr>
              <w:rFonts w:asciiTheme="minorEastAsia" w:hAnsiTheme="minorEastAsia"/>
              <w:szCs w:val="21"/>
            </w:rPr>
            <w:fldChar w:fldCharType="separate"/>
          </w:r>
          <w:r>
            <w:rPr>
              <w:rFonts w:hint="eastAsia"/>
            </w:rPr>
            <w:t>四、 项目变更管理计划</w:t>
          </w:r>
          <w:r>
            <w:tab/>
          </w:r>
          <w:r>
            <w:fldChar w:fldCharType="begin"/>
          </w:r>
          <w:r>
            <w:instrText xml:space="preserve"> PAGEREF _Toc24853 </w:instrText>
          </w:r>
          <w:r>
            <w:fldChar w:fldCharType="separate"/>
          </w:r>
          <w:r>
            <w:t>200</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_Toc9959 </w:instrText>
          </w:r>
          <w:r>
            <w:rPr>
              <w:rFonts w:asciiTheme="minorEastAsia" w:hAnsiTheme="minorEastAsia"/>
              <w:szCs w:val="21"/>
            </w:rPr>
            <w:fldChar w:fldCharType="separate"/>
          </w:r>
          <w:r>
            <w:rPr>
              <w:rFonts w:hint="eastAsia"/>
            </w:rPr>
            <w:t>1． 变更类型</w:t>
          </w:r>
          <w:r>
            <w:tab/>
          </w:r>
          <w:r>
            <w:fldChar w:fldCharType="begin"/>
          </w:r>
          <w:r>
            <w:instrText xml:space="preserve"> PAGEREF _Toc9959 </w:instrText>
          </w:r>
          <w:r>
            <w:fldChar w:fldCharType="separate"/>
          </w:r>
          <w:r>
            <w:t>200</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_Toc18112 </w:instrText>
          </w:r>
          <w:r>
            <w:rPr>
              <w:rFonts w:asciiTheme="minorEastAsia" w:hAnsiTheme="minorEastAsia"/>
              <w:szCs w:val="21"/>
            </w:rPr>
            <w:fldChar w:fldCharType="separate"/>
          </w:r>
          <w:r>
            <w:rPr>
              <w:rFonts w:hint="eastAsia"/>
            </w:rPr>
            <w:t>2． 变更原因</w:t>
          </w:r>
          <w:r>
            <w:tab/>
          </w:r>
          <w:r>
            <w:fldChar w:fldCharType="begin"/>
          </w:r>
          <w:r>
            <w:instrText xml:space="preserve"> PAGEREF _Toc18112 </w:instrText>
          </w:r>
          <w:r>
            <w:fldChar w:fldCharType="separate"/>
          </w:r>
          <w:r>
            <w:t>201</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_Toc4598 </w:instrText>
          </w:r>
          <w:r>
            <w:rPr>
              <w:rFonts w:asciiTheme="minorEastAsia" w:hAnsiTheme="minorEastAsia"/>
              <w:szCs w:val="21"/>
            </w:rPr>
            <w:fldChar w:fldCharType="separate"/>
          </w:r>
          <w:r>
            <w:rPr>
              <w:rFonts w:hint="eastAsia"/>
            </w:rPr>
            <w:t>3． 控制流程</w:t>
          </w:r>
          <w:r>
            <w:tab/>
          </w:r>
          <w:r>
            <w:fldChar w:fldCharType="begin"/>
          </w:r>
          <w:r>
            <w:instrText xml:space="preserve"> PAGEREF _Toc4598 </w:instrText>
          </w:r>
          <w:r>
            <w:fldChar w:fldCharType="separate"/>
          </w:r>
          <w:r>
            <w:t>201</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_Toc29700 </w:instrText>
          </w:r>
          <w:r>
            <w:rPr>
              <w:rFonts w:asciiTheme="minorEastAsia" w:hAnsiTheme="minorEastAsia"/>
              <w:szCs w:val="21"/>
            </w:rPr>
            <w:fldChar w:fldCharType="separate"/>
          </w:r>
          <w:r>
            <w:rPr>
              <w:rFonts w:hint="eastAsia"/>
            </w:rPr>
            <w:t>4． 控制文档</w:t>
          </w:r>
          <w:r>
            <w:tab/>
          </w:r>
          <w:r>
            <w:fldChar w:fldCharType="begin"/>
          </w:r>
          <w:r>
            <w:instrText xml:space="preserve"> PAGEREF _Toc29700 </w:instrText>
          </w:r>
          <w:r>
            <w:fldChar w:fldCharType="separate"/>
          </w:r>
          <w:r>
            <w:t>202</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_Toc30459 </w:instrText>
          </w:r>
          <w:r>
            <w:rPr>
              <w:rFonts w:asciiTheme="minorEastAsia" w:hAnsiTheme="minorEastAsia"/>
              <w:szCs w:val="21"/>
            </w:rPr>
            <w:fldChar w:fldCharType="separate"/>
          </w:r>
          <w:r>
            <w:rPr>
              <w:rFonts w:hint="eastAsia"/>
            </w:rPr>
            <w:t>五、 项目质量管理</w:t>
          </w:r>
          <w:r>
            <w:tab/>
          </w:r>
          <w:r>
            <w:fldChar w:fldCharType="begin"/>
          </w:r>
          <w:r>
            <w:instrText xml:space="preserve"> PAGEREF _Toc30459 </w:instrText>
          </w:r>
          <w:r>
            <w:fldChar w:fldCharType="separate"/>
          </w:r>
          <w:r>
            <w:t>202</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_Toc22047 </w:instrText>
          </w:r>
          <w:r>
            <w:rPr>
              <w:rFonts w:asciiTheme="minorEastAsia" w:hAnsiTheme="minorEastAsia"/>
              <w:szCs w:val="21"/>
            </w:rPr>
            <w:fldChar w:fldCharType="separate"/>
          </w:r>
          <w:r>
            <w:rPr>
              <w:rFonts w:hint="eastAsia"/>
            </w:rPr>
            <w:t>1． 质量保证目标</w:t>
          </w:r>
          <w:r>
            <w:tab/>
          </w:r>
          <w:r>
            <w:fldChar w:fldCharType="begin"/>
          </w:r>
          <w:r>
            <w:instrText xml:space="preserve"> PAGEREF _Toc22047 </w:instrText>
          </w:r>
          <w:r>
            <w:fldChar w:fldCharType="separate"/>
          </w:r>
          <w:r>
            <w:t>204</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_Toc5702 </w:instrText>
          </w:r>
          <w:r>
            <w:rPr>
              <w:rFonts w:asciiTheme="minorEastAsia" w:hAnsiTheme="minorEastAsia"/>
              <w:szCs w:val="21"/>
            </w:rPr>
            <w:fldChar w:fldCharType="separate"/>
          </w:r>
          <w:r>
            <w:rPr>
              <w:rFonts w:hint="eastAsia"/>
            </w:rPr>
            <w:t>2． 质量保证角色与职责</w:t>
          </w:r>
          <w:r>
            <w:tab/>
          </w:r>
          <w:r>
            <w:fldChar w:fldCharType="begin"/>
          </w:r>
          <w:r>
            <w:instrText xml:space="preserve"> PAGEREF _Toc5702 </w:instrText>
          </w:r>
          <w:r>
            <w:fldChar w:fldCharType="separate"/>
          </w:r>
          <w:r>
            <w:t>204</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_Toc15368 </w:instrText>
          </w:r>
          <w:r>
            <w:rPr>
              <w:rFonts w:asciiTheme="minorEastAsia" w:hAnsiTheme="minorEastAsia"/>
              <w:szCs w:val="21"/>
            </w:rPr>
            <w:fldChar w:fldCharType="separate"/>
          </w:r>
          <w:r>
            <w:rPr>
              <w:rFonts w:hint="eastAsia"/>
            </w:rPr>
            <w:t>3． 质量保证措施</w:t>
          </w:r>
          <w:r>
            <w:tab/>
          </w:r>
          <w:r>
            <w:fldChar w:fldCharType="begin"/>
          </w:r>
          <w:r>
            <w:instrText xml:space="preserve"> PAGEREF _Toc15368 </w:instrText>
          </w:r>
          <w:r>
            <w:fldChar w:fldCharType="separate"/>
          </w:r>
          <w:r>
            <w:t>205</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_Toc23374 </w:instrText>
          </w:r>
          <w:r>
            <w:rPr>
              <w:rFonts w:asciiTheme="minorEastAsia" w:hAnsiTheme="minorEastAsia"/>
              <w:szCs w:val="21"/>
            </w:rPr>
            <w:fldChar w:fldCharType="separate"/>
          </w:r>
          <w:r>
            <w:rPr>
              <w:rFonts w:hint="eastAsia"/>
            </w:rPr>
            <w:t>4． 质量保证过程</w:t>
          </w:r>
          <w:r>
            <w:tab/>
          </w:r>
          <w:r>
            <w:fldChar w:fldCharType="begin"/>
          </w:r>
          <w:r>
            <w:instrText xml:space="preserve"> PAGEREF _Toc23374 </w:instrText>
          </w:r>
          <w:r>
            <w:fldChar w:fldCharType="separate"/>
          </w:r>
          <w:r>
            <w:t>210</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_Toc16971 </w:instrText>
          </w:r>
          <w:r>
            <w:rPr>
              <w:rFonts w:asciiTheme="minorEastAsia" w:hAnsiTheme="minorEastAsia"/>
              <w:szCs w:val="21"/>
            </w:rPr>
            <w:fldChar w:fldCharType="separate"/>
          </w:r>
          <w:r>
            <w:rPr>
              <w:rFonts w:hint="eastAsia"/>
            </w:rPr>
            <w:t>5． 软件质量管理</w:t>
          </w:r>
          <w:r>
            <w:tab/>
          </w:r>
          <w:r>
            <w:fldChar w:fldCharType="begin"/>
          </w:r>
          <w:r>
            <w:instrText xml:space="preserve"> PAGEREF _Toc16971 </w:instrText>
          </w:r>
          <w:r>
            <w:fldChar w:fldCharType="separate"/>
          </w:r>
          <w:r>
            <w:t>214</w:t>
          </w:r>
          <w:r>
            <w:fldChar w:fldCharType="end"/>
          </w:r>
          <w:r>
            <w:rPr>
              <w:rFonts w:asciiTheme="minorEastAsia" w:hAnsiTheme="minorEastAsia"/>
              <w:szCs w:val="21"/>
            </w:rPr>
            <w:fldChar w:fldCharType="end"/>
          </w:r>
        </w:p>
        <w:p>
          <w:pPr>
            <w:pStyle w:val="25"/>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_Toc7062 </w:instrText>
          </w:r>
          <w:r>
            <w:rPr>
              <w:rFonts w:asciiTheme="minorEastAsia" w:hAnsiTheme="minorEastAsia"/>
              <w:szCs w:val="21"/>
            </w:rPr>
            <w:fldChar w:fldCharType="separate"/>
          </w:r>
          <w:r>
            <w:rPr>
              <w:rFonts w:hint="eastAsia"/>
            </w:rPr>
            <w:t>第七章 项目实施人员安排</w:t>
          </w:r>
          <w:r>
            <w:tab/>
          </w:r>
          <w:r>
            <w:fldChar w:fldCharType="begin"/>
          </w:r>
          <w:r>
            <w:instrText xml:space="preserve"> PAGEREF _Toc7062 </w:instrText>
          </w:r>
          <w:r>
            <w:fldChar w:fldCharType="separate"/>
          </w:r>
          <w:r>
            <w:t>222</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_Toc3807 </w:instrText>
          </w:r>
          <w:r>
            <w:rPr>
              <w:rFonts w:asciiTheme="minorEastAsia" w:hAnsiTheme="minorEastAsia"/>
              <w:szCs w:val="21"/>
            </w:rPr>
            <w:fldChar w:fldCharType="separate"/>
          </w:r>
          <w:r>
            <w:rPr>
              <w:rFonts w:hint="eastAsia"/>
            </w:rPr>
            <w:t>一、 项目团队组织架构</w:t>
          </w:r>
          <w:r>
            <w:tab/>
          </w:r>
          <w:r>
            <w:fldChar w:fldCharType="begin"/>
          </w:r>
          <w:r>
            <w:instrText xml:space="preserve"> PAGEREF _Toc3807 </w:instrText>
          </w:r>
          <w:r>
            <w:fldChar w:fldCharType="separate"/>
          </w:r>
          <w:r>
            <w:t>222</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_Toc31156 </w:instrText>
          </w:r>
          <w:r>
            <w:rPr>
              <w:rFonts w:asciiTheme="minorEastAsia" w:hAnsiTheme="minorEastAsia"/>
              <w:szCs w:val="21"/>
            </w:rPr>
            <w:fldChar w:fldCharType="separate"/>
          </w:r>
          <w:r>
            <w:rPr>
              <w:rFonts w:hint="eastAsia"/>
            </w:rPr>
            <w:t>二、 本项目人员构成</w:t>
          </w:r>
          <w:r>
            <w:tab/>
          </w:r>
          <w:r>
            <w:fldChar w:fldCharType="begin"/>
          </w:r>
          <w:r>
            <w:instrText xml:space="preserve"> PAGEREF _Toc31156 </w:instrText>
          </w:r>
          <w:r>
            <w:fldChar w:fldCharType="separate"/>
          </w:r>
          <w:r>
            <w:t>224</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_Toc25750 </w:instrText>
          </w:r>
          <w:r>
            <w:rPr>
              <w:rFonts w:asciiTheme="minorEastAsia" w:hAnsiTheme="minorEastAsia"/>
              <w:szCs w:val="21"/>
            </w:rPr>
            <w:fldChar w:fldCharType="separate"/>
          </w:r>
          <w:r>
            <w:rPr>
              <w:rFonts w:hint="eastAsia"/>
            </w:rPr>
            <w:t>三、 主要人员保障承诺</w:t>
          </w:r>
          <w:r>
            <w:tab/>
          </w:r>
          <w:r>
            <w:fldChar w:fldCharType="begin"/>
          </w:r>
          <w:r>
            <w:instrText xml:space="preserve"> PAGEREF _Toc25750 </w:instrText>
          </w:r>
          <w:r>
            <w:fldChar w:fldCharType="separate"/>
          </w:r>
          <w:r>
            <w:t>226</w:t>
          </w:r>
          <w:r>
            <w:fldChar w:fldCharType="end"/>
          </w:r>
          <w:r>
            <w:rPr>
              <w:rFonts w:asciiTheme="minorEastAsia" w:hAnsiTheme="minorEastAsia"/>
              <w:szCs w:val="21"/>
            </w:rPr>
            <w:fldChar w:fldCharType="end"/>
          </w:r>
        </w:p>
        <w:p>
          <w:pPr>
            <w:pStyle w:val="25"/>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_Toc30077 </w:instrText>
          </w:r>
          <w:r>
            <w:rPr>
              <w:rFonts w:asciiTheme="minorEastAsia" w:hAnsiTheme="minorEastAsia"/>
              <w:szCs w:val="21"/>
            </w:rPr>
            <w:fldChar w:fldCharType="separate"/>
          </w:r>
          <w:r>
            <w:rPr>
              <w:rFonts w:hint="eastAsia"/>
            </w:rPr>
            <w:t>第八章 系统安装调试及部署方案</w:t>
          </w:r>
          <w:r>
            <w:tab/>
          </w:r>
          <w:r>
            <w:fldChar w:fldCharType="begin"/>
          </w:r>
          <w:r>
            <w:instrText xml:space="preserve"> PAGEREF _Toc30077 </w:instrText>
          </w:r>
          <w:r>
            <w:fldChar w:fldCharType="separate"/>
          </w:r>
          <w:r>
            <w:t>227</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_Toc4881 </w:instrText>
          </w:r>
          <w:r>
            <w:rPr>
              <w:rFonts w:asciiTheme="minorEastAsia" w:hAnsiTheme="minorEastAsia"/>
              <w:szCs w:val="21"/>
            </w:rPr>
            <w:fldChar w:fldCharType="separate"/>
          </w:r>
          <w:r>
            <w:rPr>
              <w:rFonts w:hint="eastAsia"/>
            </w:rPr>
            <w:t>一、 系统安装部署要求</w:t>
          </w:r>
          <w:r>
            <w:tab/>
          </w:r>
          <w:r>
            <w:fldChar w:fldCharType="begin"/>
          </w:r>
          <w:r>
            <w:instrText xml:space="preserve"> PAGEREF _Toc4881 </w:instrText>
          </w:r>
          <w:r>
            <w:fldChar w:fldCharType="separate"/>
          </w:r>
          <w:r>
            <w:t>227</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_Toc15014 </w:instrText>
          </w:r>
          <w:r>
            <w:rPr>
              <w:rFonts w:asciiTheme="minorEastAsia" w:hAnsiTheme="minorEastAsia"/>
              <w:szCs w:val="21"/>
            </w:rPr>
            <w:fldChar w:fldCharType="separate"/>
          </w:r>
          <w:r>
            <w:rPr>
              <w:rFonts w:hint="eastAsia"/>
            </w:rPr>
            <w:t>1． 环境准备</w:t>
          </w:r>
          <w:r>
            <w:tab/>
          </w:r>
          <w:r>
            <w:fldChar w:fldCharType="begin"/>
          </w:r>
          <w:r>
            <w:instrText xml:space="preserve"> PAGEREF _Toc15014 </w:instrText>
          </w:r>
          <w:r>
            <w:fldChar w:fldCharType="separate"/>
          </w:r>
          <w:r>
            <w:t>227</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_Toc12134 </w:instrText>
          </w:r>
          <w:r>
            <w:rPr>
              <w:rFonts w:asciiTheme="minorEastAsia" w:hAnsiTheme="minorEastAsia"/>
              <w:szCs w:val="21"/>
            </w:rPr>
            <w:fldChar w:fldCharType="separate"/>
          </w:r>
          <w:r>
            <w:rPr>
              <w:rFonts w:hint="eastAsia"/>
            </w:rPr>
            <w:t>2． 应用部署准备</w:t>
          </w:r>
          <w:r>
            <w:tab/>
          </w:r>
          <w:r>
            <w:fldChar w:fldCharType="begin"/>
          </w:r>
          <w:r>
            <w:instrText xml:space="preserve"> PAGEREF _Toc12134 </w:instrText>
          </w:r>
          <w:r>
            <w:fldChar w:fldCharType="separate"/>
          </w:r>
          <w:r>
            <w:t>228</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_Toc2394 </w:instrText>
          </w:r>
          <w:r>
            <w:rPr>
              <w:rFonts w:asciiTheme="minorEastAsia" w:hAnsiTheme="minorEastAsia"/>
              <w:szCs w:val="21"/>
            </w:rPr>
            <w:fldChar w:fldCharType="separate"/>
          </w:r>
          <w:r>
            <w:rPr>
              <w:rFonts w:hint="eastAsia"/>
            </w:rPr>
            <w:t>3． 系统兼容性</w:t>
          </w:r>
          <w:r>
            <w:tab/>
          </w:r>
          <w:r>
            <w:fldChar w:fldCharType="begin"/>
          </w:r>
          <w:r>
            <w:instrText xml:space="preserve"> PAGEREF _Toc2394 </w:instrText>
          </w:r>
          <w:r>
            <w:fldChar w:fldCharType="separate"/>
          </w:r>
          <w:r>
            <w:t>228</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_Toc8915 </w:instrText>
          </w:r>
          <w:r>
            <w:rPr>
              <w:rFonts w:asciiTheme="minorEastAsia" w:hAnsiTheme="minorEastAsia"/>
              <w:szCs w:val="21"/>
            </w:rPr>
            <w:fldChar w:fldCharType="separate"/>
          </w:r>
          <w:r>
            <w:rPr>
              <w:rFonts w:hint="eastAsia"/>
            </w:rPr>
            <w:t>4． 系统管理</w:t>
          </w:r>
          <w:r>
            <w:tab/>
          </w:r>
          <w:r>
            <w:fldChar w:fldCharType="begin"/>
          </w:r>
          <w:r>
            <w:instrText xml:space="preserve"> PAGEREF _Toc8915 </w:instrText>
          </w:r>
          <w:r>
            <w:fldChar w:fldCharType="separate"/>
          </w:r>
          <w:r>
            <w:t>230</w:t>
          </w:r>
          <w:r>
            <w:fldChar w:fldCharType="end"/>
          </w:r>
          <w:r>
            <w:rPr>
              <w:rFonts w:asciiTheme="minorEastAsia" w:hAnsiTheme="minorEastAsia"/>
              <w:szCs w:val="21"/>
            </w:rPr>
            <w:fldChar w:fldCharType="end"/>
          </w:r>
        </w:p>
        <w:p>
          <w:pPr>
            <w:pStyle w:val="25"/>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_Toc12437 </w:instrText>
          </w:r>
          <w:r>
            <w:rPr>
              <w:rFonts w:asciiTheme="minorEastAsia" w:hAnsiTheme="minorEastAsia"/>
              <w:szCs w:val="21"/>
            </w:rPr>
            <w:fldChar w:fldCharType="separate"/>
          </w:r>
          <w:r>
            <w:rPr>
              <w:rFonts w:hint="eastAsia"/>
            </w:rPr>
            <w:t>第九章 项目培训方案</w:t>
          </w:r>
          <w:r>
            <w:tab/>
          </w:r>
          <w:r>
            <w:fldChar w:fldCharType="begin"/>
          </w:r>
          <w:r>
            <w:instrText xml:space="preserve"> PAGEREF _Toc12437 </w:instrText>
          </w:r>
          <w:r>
            <w:fldChar w:fldCharType="separate"/>
          </w:r>
          <w:r>
            <w:t>233</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_Toc18488 </w:instrText>
          </w:r>
          <w:r>
            <w:rPr>
              <w:rFonts w:asciiTheme="minorEastAsia" w:hAnsiTheme="minorEastAsia"/>
              <w:szCs w:val="21"/>
            </w:rPr>
            <w:fldChar w:fldCharType="separate"/>
          </w:r>
          <w:r>
            <w:rPr>
              <w:rFonts w:hint="eastAsia"/>
            </w:rPr>
            <w:t>一、 培训概述</w:t>
          </w:r>
          <w:r>
            <w:tab/>
          </w:r>
          <w:r>
            <w:fldChar w:fldCharType="begin"/>
          </w:r>
          <w:r>
            <w:instrText xml:space="preserve"> PAGEREF _Toc18488 </w:instrText>
          </w:r>
          <w:r>
            <w:fldChar w:fldCharType="separate"/>
          </w:r>
          <w:r>
            <w:t>233</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_Toc4165 </w:instrText>
          </w:r>
          <w:r>
            <w:rPr>
              <w:rFonts w:asciiTheme="minorEastAsia" w:hAnsiTheme="minorEastAsia"/>
              <w:szCs w:val="21"/>
            </w:rPr>
            <w:fldChar w:fldCharType="separate"/>
          </w:r>
          <w:r>
            <w:rPr>
              <w:rFonts w:hint="eastAsia"/>
            </w:rPr>
            <w:t>二、 培训形式</w:t>
          </w:r>
          <w:r>
            <w:tab/>
          </w:r>
          <w:r>
            <w:fldChar w:fldCharType="begin"/>
          </w:r>
          <w:r>
            <w:instrText xml:space="preserve"> PAGEREF _Toc4165 </w:instrText>
          </w:r>
          <w:r>
            <w:fldChar w:fldCharType="separate"/>
          </w:r>
          <w:r>
            <w:t>233</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_Toc22060 </w:instrText>
          </w:r>
          <w:r>
            <w:rPr>
              <w:rFonts w:asciiTheme="minorEastAsia" w:hAnsiTheme="minorEastAsia"/>
              <w:szCs w:val="21"/>
            </w:rPr>
            <w:fldChar w:fldCharType="separate"/>
          </w:r>
          <w:r>
            <w:rPr>
              <w:rFonts w:hint="eastAsia"/>
            </w:rPr>
            <w:t>三、 培训名称和等级</w:t>
          </w:r>
          <w:r>
            <w:tab/>
          </w:r>
          <w:r>
            <w:fldChar w:fldCharType="begin"/>
          </w:r>
          <w:r>
            <w:instrText xml:space="preserve"> PAGEREF _Toc22060 </w:instrText>
          </w:r>
          <w:r>
            <w:fldChar w:fldCharType="separate"/>
          </w:r>
          <w:r>
            <w:t>233</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_Toc2430 </w:instrText>
          </w:r>
          <w:r>
            <w:rPr>
              <w:rFonts w:asciiTheme="minorEastAsia" w:hAnsiTheme="minorEastAsia"/>
              <w:szCs w:val="21"/>
            </w:rPr>
            <w:fldChar w:fldCharType="separate"/>
          </w:r>
          <w:r>
            <w:rPr>
              <w:rFonts w:hint="eastAsia"/>
            </w:rPr>
            <w:t>1． 技术培训</w:t>
          </w:r>
          <w:r>
            <w:tab/>
          </w:r>
          <w:r>
            <w:fldChar w:fldCharType="begin"/>
          </w:r>
          <w:r>
            <w:instrText xml:space="preserve"> PAGEREF _Toc2430 </w:instrText>
          </w:r>
          <w:r>
            <w:fldChar w:fldCharType="separate"/>
          </w:r>
          <w:r>
            <w:t>233</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_Toc741 </w:instrText>
          </w:r>
          <w:r>
            <w:rPr>
              <w:rFonts w:asciiTheme="minorEastAsia" w:hAnsiTheme="minorEastAsia"/>
              <w:szCs w:val="21"/>
            </w:rPr>
            <w:fldChar w:fldCharType="separate"/>
          </w:r>
          <w:r>
            <w:rPr>
              <w:rFonts w:hint="eastAsia"/>
            </w:rPr>
            <w:t>1.1培训目标</w:t>
          </w:r>
          <w:r>
            <w:tab/>
          </w:r>
          <w:r>
            <w:fldChar w:fldCharType="begin"/>
          </w:r>
          <w:r>
            <w:instrText xml:space="preserve"> PAGEREF _Toc741 </w:instrText>
          </w:r>
          <w:r>
            <w:fldChar w:fldCharType="separate"/>
          </w:r>
          <w:r>
            <w:t>234</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_Toc13638 </w:instrText>
          </w:r>
          <w:r>
            <w:rPr>
              <w:rFonts w:asciiTheme="minorEastAsia" w:hAnsiTheme="minorEastAsia"/>
              <w:szCs w:val="21"/>
            </w:rPr>
            <w:fldChar w:fldCharType="separate"/>
          </w:r>
          <w:r>
            <w:rPr>
              <w:rFonts w:hint="eastAsia"/>
            </w:rPr>
            <w:t>1.2培训对象及时间要求</w:t>
          </w:r>
          <w:r>
            <w:tab/>
          </w:r>
          <w:r>
            <w:fldChar w:fldCharType="begin"/>
          </w:r>
          <w:r>
            <w:instrText xml:space="preserve"> PAGEREF _Toc13638 </w:instrText>
          </w:r>
          <w:r>
            <w:fldChar w:fldCharType="separate"/>
          </w:r>
          <w:r>
            <w:t>234</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_Toc30806 </w:instrText>
          </w:r>
          <w:r>
            <w:rPr>
              <w:rFonts w:asciiTheme="minorEastAsia" w:hAnsiTheme="minorEastAsia"/>
              <w:szCs w:val="21"/>
            </w:rPr>
            <w:fldChar w:fldCharType="separate"/>
          </w:r>
          <w:r>
            <w:rPr>
              <w:rFonts w:hint="eastAsia"/>
            </w:rPr>
            <w:t>1.3课程安排</w:t>
          </w:r>
          <w:r>
            <w:tab/>
          </w:r>
          <w:r>
            <w:fldChar w:fldCharType="begin"/>
          </w:r>
          <w:r>
            <w:instrText xml:space="preserve"> PAGEREF _Toc30806 </w:instrText>
          </w:r>
          <w:r>
            <w:fldChar w:fldCharType="separate"/>
          </w:r>
          <w:r>
            <w:t>234</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_Toc16063 </w:instrText>
          </w:r>
          <w:r>
            <w:rPr>
              <w:rFonts w:asciiTheme="minorEastAsia" w:hAnsiTheme="minorEastAsia"/>
              <w:szCs w:val="21"/>
            </w:rPr>
            <w:fldChar w:fldCharType="separate"/>
          </w:r>
          <w:r>
            <w:rPr>
              <w:rFonts w:hint="eastAsia"/>
            </w:rPr>
            <w:t>2． 业务培训</w:t>
          </w:r>
          <w:r>
            <w:tab/>
          </w:r>
          <w:r>
            <w:fldChar w:fldCharType="begin"/>
          </w:r>
          <w:r>
            <w:instrText xml:space="preserve"> PAGEREF _Toc16063 </w:instrText>
          </w:r>
          <w:r>
            <w:fldChar w:fldCharType="separate"/>
          </w:r>
          <w:r>
            <w:t>235</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_Toc8740 </w:instrText>
          </w:r>
          <w:r>
            <w:rPr>
              <w:rFonts w:asciiTheme="minorEastAsia" w:hAnsiTheme="minorEastAsia"/>
              <w:szCs w:val="21"/>
            </w:rPr>
            <w:fldChar w:fldCharType="separate"/>
          </w:r>
          <w:r>
            <w:rPr>
              <w:rFonts w:hint="eastAsia"/>
            </w:rPr>
            <w:t>2.1培训目标</w:t>
          </w:r>
          <w:r>
            <w:tab/>
          </w:r>
          <w:r>
            <w:fldChar w:fldCharType="begin"/>
          </w:r>
          <w:r>
            <w:instrText xml:space="preserve"> PAGEREF _Toc8740 </w:instrText>
          </w:r>
          <w:r>
            <w:fldChar w:fldCharType="separate"/>
          </w:r>
          <w:r>
            <w:t>235</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_Toc25540 </w:instrText>
          </w:r>
          <w:r>
            <w:rPr>
              <w:rFonts w:asciiTheme="minorEastAsia" w:hAnsiTheme="minorEastAsia"/>
              <w:szCs w:val="21"/>
            </w:rPr>
            <w:fldChar w:fldCharType="separate"/>
          </w:r>
          <w:r>
            <w:rPr>
              <w:rFonts w:hint="eastAsia"/>
            </w:rPr>
            <w:t>2.2培训对象及时间要求</w:t>
          </w:r>
          <w:r>
            <w:tab/>
          </w:r>
          <w:r>
            <w:fldChar w:fldCharType="begin"/>
          </w:r>
          <w:r>
            <w:instrText xml:space="preserve"> PAGEREF _Toc25540 </w:instrText>
          </w:r>
          <w:r>
            <w:fldChar w:fldCharType="separate"/>
          </w:r>
          <w:r>
            <w:t>235</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_Toc27751 </w:instrText>
          </w:r>
          <w:r>
            <w:rPr>
              <w:rFonts w:asciiTheme="minorEastAsia" w:hAnsiTheme="minorEastAsia"/>
              <w:szCs w:val="21"/>
            </w:rPr>
            <w:fldChar w:fldCharType="separate"/>
          </w:r>
          <w:r>
            <w:rPr>
              <w:rFonts w:hint="eastAsia"/>
            </w:rPr>
            <w:t>2.3课程安排</w:t>
          </w:r>
          <w:r>
            <w:tab/>
          </w:r>
          <w:r>
            <w:fldChar w:fldCharType="begin"/>
          </w:r>
          <w:r>
            <w:instrText xml:space="preserve"> PAGEREF _Toc27751 </w:instrText>
          </w:r>
          <w:r>
            <w:fldChar w:fldCharType="separate"/>
          </w:r>
          <w:r>
            <w:t>235</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_Toc30505 </w:instrText>
          </w:r>
          <w:r>
            <w:rPr>
              <w:rFonts w:asciiTheme="minorEastAsia" w:hAnsiTheme="minorEastAsia"/>
              <w:szCs w:val="21"/>
            </w:rPr>
            <w:fldChar w:fldCharType="separate"/>
          </w:r>
          <w:r>
            <w:rPr>
              <w:rFonts w:hint="eastAsia"/>
            </w:rPr>
            <w:t>四、 培训进度安排</w:t>
          </w:r>
          <w:r>
            <w:tab/>
          </w:r>
          <w:r>
            <w:fldChar w:fldCharType="begin"/>
          </w:r>
          <w:r>
            <w:instrText xml:space="preserve"> PAGEREF _Toc30505 </w:instrText>
          </w:r>
          <w:r>
            <w:fldChar w:fldCharType="separate"/>
          </w:r>
          <w:r>
            <w:t>236</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_Toc337 </w:instrText>
          </w:r>
          <w:r>
            <w:rPr>
              <w:rFonts w:asciiTheme="minorEastAsia" w:hAnsiTheme="minorEastAsia"/>
              <w:szCs w:val="21"/>
            </w:rPr>
            <w:fldChar w:fldCharType="separate"/>
          </w:r>
          <w:r>
            <w:rPr>
              <w:rFonts w:hint="eastAsia"/>
            </w:rPr>
            <w:t>五、 培训师资</w:t>
          </w:r>
          <w:r>
            <w:tab/>
          </w:r>
          <w:r>
            <w:fldChar w:fldCharType="begin"/>
          </w:r>
          <w:r>
            <w:instrText xml:space="preserve"> PAGEREF _Toc337 </w:instrText>
          </w:r>
          <w:r>
            <w:fldChar w:fldCharType="separate"/>
          </w:r>
          <w:r>
            <w:t>238</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_Toc23104 </w:instrText>
          </w:r>
          <w:r>
            <w:rPr>
              <w:rFonts w:asciiTheme="minorEastAsia" w:hAnsiTheme="minorEastAsia"/>
              <w:szCs w:val="21"/>
            </w:rPr>
            <w:fldChar w:fldCharType="separate"/>
          </w:r>
          <w:r>
            <w:rPr>
              <w:rFonts w:hint="eastAsia"/>
            </w:rPr>
            <w:t>1． 总体要求</w:t>
          </w:r>
          <w:r>
            <w:tab/>
          </w:r>
          <w:r>
            <w:fldChar w:fldCharType="begin"/>
          </w:r>
          <w:r>
            <w:instrText xml:space="preserve"> PAGEREF _Toc23104 </w:instrText>
          </w:r>
          <w:r>
            <w:fldChar w:fldCharType="separate"/>
          </w:r>
          <w:r>
            <w:t>239</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_Toc17713 </w:instrText>
          </w:r>
          <w:r>
            <w:rPr>
              <w:rFonts w:asciiTheme="minorEastAsia" w:hAnsiTheme="minorEastAsia"/>
              <w:szCs w:val="21"/>
            </w:rPr>
            <w:fldChar w:fldCharType="separate"/>
          </w:r>
          <w:r>
            <w:rPr>
              <w:rFonts w:hint="eastAsia"/>
            </w:rPr>
            <w:t>2． 教师名单</w:t>
          </w:r>
          <w:r>
            <w:tab/>
          </w:r>
          <w:r>
            <w:fldChar w:fldCharType="begin"/>
          </w:r>
          <w:r>
            <w:instrText xml:space="preserve"> PAGEREF _Toc17713 </w:instrText>
          </w:r>
          <w:r>
            <w:fldChar w:fldCharType="separate"/>
          </w:r>
          <w:r>
            <w:t>239</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_Toc20310 </w:instrText>
          </w:r>
          <w:r>
            <w:rPr>
              <w:rFonts w:asciiTheme="minorEastAsia" w:hAnsiTheme="minorEastAsia"/>
              <w:szCs w:val="21"/>
            </w:rPr>
            <w:fldChar w:fldCharType="separate"/>
          </w:r>
          <w:r>
            <w:rPr>
              <w:rFonts w:hint="eastAsia"/>
            </w:rPr>
            <w:t>六、 培训教材</w:t>
          </w:r>
          <w:r>
            <w:tab/>
          </w:r>
          <w:r>
            <w:fldChar w:fldCharType="begin"/>
          </w:r>
          <w:r>
            <w:instrText xml:space="preserve"> PAGEREF _Toc20310 </w:instrText>
          </w:r>
          <w:r>
            <w:fldChar w:fldCharType="separate"/>
          </w:r>
          <w:r>
            <w:t>239</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_Toc2925 </w:instrText>
          </w:r>
          <w:r>
            <w:rPr>
              <w:rFonts w:asciiTheme="minorEastAsia" w:hAnsiTheme="minorEastAsia"/>
              <w:szCs w:val="21"/>
            </w:rPr>
            <w:fldChar w:fldCharType="separate"/>
          </w:r>
          <w:r>
            <w:rPr>
              <w:rFonts w:hint="eastAsia"/>
            </w:rPr>
            <w:t>1． 总体要求</w:t>
          </w:r>
          <w:r>
            <w:tab/>
          </w:r>
          <w:r>
            <w:fldChar w:fldCharType="begin"/>
          </w:r>
          <w:r>
            <w:instrText xml:space="preserve"> PAGEREF _Toc2925 </w:instrText>
          </w:r>
          <w:r>
            <w:fldChar w:fldCharType="separate"/>
          </w:r>
          <w:r>
            <w:t>239</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_Toc21827 </w:instrText>
          </w:r>
          <w:r>
            <w:rPr>
              <w:rFonts w:asciiTheme="minorEastAsia" w:hAnsiTheme="minorEastAsia"/>
              <w:szCs w:val="21"/>
            </w:rPr>
            <w:fldChar w:fldCharType="separate"/>
          </w:r>
          <w:r>
            <w:rPr>
              <w:rFonts w:hint="eastAsia"/>
            </w:rPr>
            <w:t>2． 教材名称</w:t>
          </w:r>
          <w:r>
            <w:tab/>
          </w:r>
          <w:r>
            <w:fldChar w:fldCharType="begin"/>
          </w:r>
          <w:r>
            <w:instrText xml:space="preserve"> PAGEREF _Toc21827 </w:instrText>
          </w:r>
          <w:r>
            <w:fldChar w:fldCharType="separate"/>
          </w:r>
          <w:r>
            <w:t>239</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_Toc5222 </w:instrText>
          </w:r>
          <w:r>
            <w:rPr>
              <w:rFonts w:asciiTheme="minorEastAsia" w:hAnsiTheme="minorEastAsia"/>
              <w:szCs w:val="21"/>
            </w:rPr>
            <w:fldChar w:fldCharType="separate"/>
          </w:r>
          <w:r>
            <w:rPr>
              <w:rFonts w:hint="eastAsia"/>
            </w:rPr>
            <w:t>2.1培训资料清单</w:t>
          </w:r>
          <w:r>
            <w:tab/>
          </w:r>
          <w:r>
            <w:fldChar w:fldCharType="begin"/>
          </w:r>
          <w:r>
            <w:instrText xml:space="preserve"> PAGEREF _Toc5222 </w:instrText>
          </w:r>
          <w:r>
            <w:fldChar w:fldCharType="separate"/>
          </w:r>
          <w:r>
            <w:t>240</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_Toc31805 </w:instrText>
          </w:r>
          <w:r>
            <w:rPr>
              <w:rFonts w:asciiTheme="minorEastAsia" w:hAnsiTheme="minorEastAsia"/>
              <w:szCs w:val="21"/>
            </w:rPr>
            <w:fldChar w:fldCharType="separate"/>
          </w:r>
          <w:r>
            <w:rPr>
              <w:rFonts w:hint="eastAsia"/>
            </w:rPr>
            <w:t>2.2业务培训资料清单</w:t>
          </w:r>
          <w:r>
            <w:tab/>
          </w:r>
          <w:r>
            <w:fldChar w:fldCharType="begin"/>
          </w:r>
          <w:r>
            <w:instrText xml:space="preserve"> PAGEREF _Toc31805 </w:instrText>
          </w:r>
          <w:r>
            <w:fldChar w:fldCharType="separate"/>
          </w:r>
          <w:r>
            <w:t>240</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_Toc9061 </w:instrText>
          </w:r>
          <w:r>
            <w:rPr>
              <w:rFonts w:asciiTheme="minorEastAsia" w:hAnsiTheme="minorEastAsia"/>
              <w:szCs w:val="21"/>
            </w:rPr>
            <w:fldChar w:fldCharType="separate"/>
          </w:r>
          <w:r>
            <w:rPr>
              <w:rFonts w:hint="eastAsia"/>
            </w:rPr>
            <w:t>2.3技术培训资料清单</w:t>
          </w:r>
          <w:r>
            <w:tab/>
          </w:r>
          <w:r>
            <w:fldChar w:fldCharType="begin"/>
          </w:r>
          <w:r>
            <w:instrText xml:space="preserve"> PAGEREF _Toc9061 </w:instrText>
          </w:r>
          <w:r>
            <w:fldChar w:fldCharType="separate"/>
          </w:r>
          <w:r>
            <w:t>241</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_Toc26260 </w:instrText>
          </w:r>
          <w:r>
            <w:rPr>
              <w:rFonts w:asciiTheme="minorEastAsia" w:hAnsiTheme="minorEastAsia"/>
              <w:szCs w:val="21"/>
            </w:rPr>
            <w:fldChar w:fldCharType="separate"/>
          </w:r>
          <w:r>
            <w:rPr>
              <w:rFonts w:hint="eastAsia"/>
            </w:rPr>
            <w:t>七、 培训考试</w:t>
          </w:r>
          <w:r>
            <w:tab/>
          </w:r>
          <w:r>
            <w:fldChar w:fldCharType="begin"/>
          </w:r>
          <w:r>
            <w:instrText xml:space="preserve"> PAGEREF _Toc26260 </w:instrText>
          </w:r>
          <w:r>
            <w:fldChar w:fldCharType="separate"/>
          </w:r>
          <w:r>
            <w:t>241</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_Toc13568 </w:instrText>
          </w:r>
          <w:r>
            <w:rPr>
              <w:rFonts w:asciiTheme="minorEastAsia" w:hAnsiTheme="minorEastAsia"/>
              <w:szCs w:val="21"/>
            </w:rPr>
            <w:fldChar w:fldCharType="separate"/>
          </w:r>
          <w:r>
            <w:rPr>
              <w:rFonts w:hint="eastAsia"/>
            </w:rPr>
            <w:t>八、 培训服务流程和规范</w:t>
          </w:r>
          <w:r>
            <w:tab/>
          </w:r>
          <w:r>
            <w:fldChar w:fldCharType="begin"/>
          </w:r>
          <w:r>
            <w:instrText xml:space="preserve"> PAGEREF _Toc13568 </w:instrText>
          </w:r>
          <w:r>
            <w:fldChar w:fldCharType="separate"/>
          </w:r>
          <w:r>
            <w:t>241</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_Toc31747 </w:instrText>
          </w:r>
          <w:r>
            <w:rPr>
              <w:rFonts w:asciiTheme="minorEastAsia" w:hAnsiTheme="minorEastAsia"/>
              <w:szCs w:val="21"/>
            </w:rPr>
            <w:fldChar w:fldCharType="separate"/>
          </w:r>
          <w:r>
            <w:rPr>
              <w:rFonts w:hint="eastAsia"/>
            </w:rPr>
            <w:t>1． 培训服务流程</w:t>
          </w:r>
          <w:r>
            <w:tab/>
          </w:r>
          <w:r>
            <w:fldChar w:fldCharType="begin"/>
          </w:r>
          <w:r>
            <w:instrText xml:space="preserve"> PAGEREF _Toc31747 </w:instrText>
          </w:r>
          <w:r>
            <w:fldChar w:fldCharType="separate"/>
          </w:r>
          <w:r>
            <w:t>242</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_Toc24983 </w:instrText>
          </w:r>
          <w:r>
            <w:rPr>
              <w:rFonts w:asciiTheme="minorEastAsia" w:hAnsiTheme="minorEastAsia"/>
              <w:szCs w:val="21"/>
            </w:rPr>
            <w:fldChar w:fldCharType="separate"/>
          </w:r>
          <w:r>
            <w:rPr>
              <w:rFonts w:hint="eastAsia"/>
            </w:rPr>
            <w:t>2． 培训总体流程说明</w:t>
          </w:r>
          <w:r>
            <w:tab/>
          </w:r>
          <w:r>
            <w:fldChar w:fldCharType="begin"/>
          </w:r>
          <w:r>
            <w:instrText xml:space="preserve"> PAGEREF _Toc24983 </w:instrText>
          </w:r>
          <w:r>
            <w:fldChar w:fldCharType="separate"/>
          </w:r>
          <w:r>
            <w:t>242</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_Toc19631 </w:instrText>
          </w:r>
          <w:r>
            <w:rPr>
              <w:rFonts w:asciiTheme="minorEastAsia" w:hAnsiTheme="minorEastAsia"/>
              <w:szCs w:val="21"/>
            </w:rPr>
            <w:fldChar w:fldCharType="separate"/>
          </w:r>
          <w:r>
            <w:rPr>
              <w:rFonts w:hint="eastAsia"/>
            </w:rPr>
            <w:t>3． 培训规范</w:t>
          </w:r>
          <w:r>
            <w:tab/>
          </w:r>
          <w:r>
            <w:fldChar w:fldCharType="begin"/>
          </w:r>
          <w:r>
            <w:instrText xml:space="preserve"> PAGEREF _Toc19631 </w:instrText>
          </w:r>
          <w:r>
            <w:fldChar w:fldCharType="separate"/>
          </w:r>
          <w:r>
            <w:t>253</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_Toc5343 </w:instrText>
          </w:r>
          <w:r>
            <w:rPr>
              <w:rFonts w:asciiTheme="minorEastAsia" w:hAnsiTheme="minorEastAsia"/>
              <w:szCs w:val="21"/>
            </w:rPr>
            <w:fldChar w:fldCharType="separate"/>
          </w:r>
          <w:r>
            <w:rPr>
              <w:rFonts w:hint="eastAsia"/>
            </w:rPr>
            <w:t>九、 培训策略</w:t>
          </w:r>
          <w:r>
            <w:tab/>
          </w:r>
          <w:r>
            <w:fldChar w:fldCharType="begin"/>
          </w:r>
          <w:r>
            <w:instrText xml:space="preserve"> PAGEREF _Toc5343 </w:instrText>
          </w:r>
          <w:r>
            <w:fldChar w:fldCharType="separate"/>
          </w:r>
          <w:r>
            <w:t>253</w:t>
          </w:r>
          <w:r>
            <w:fldChar w:fldCharType="end"/>
          </w:r>
          <w:r>
            <w:rPr>
              <w:rFonts w:asciiTheme="minorEastAsia" w:hAnsiTheme="minorEastAsia"/>
              <w:szCs w:val="21"/>
            </w:rPr>
            <w:fldChar w:fldCharType="end"/>
          </w:r>
        </w:p>
        <w:p>
          <w:pPr>
            <w:pStyle w:val="25"/>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_Toc18709 </w:instrText>
          </w:r>
          <w:r>
            <w:rPr>
              <w:rFonts w:asciiTheme="minorEastAsia" w:hAnsiTheme="minorEastAsia"/>
              <w:szCs w:val="21"/>
            </w:rPr>
            <w:fldChar w:fldCharType="separate"/>
          </w:r>
          <w:r>
            <w:rPr>
              <w:rFonts w:hint="eastAsia"/>
            </w:rPr>
            <w:t>第十章 项目测试与验收方案</w:t>
          </w:r>
          <w:r>
            <w:tab/>
          </w:r>
          <w:r>
            <w:fldChar w:fldCharType="begin"/>
          </w:r>
          <w:r>
            <w:instrText xml:space="preserve"> PAGEREF _Toc18709 </w:instrText>
          </w:r>
          <w:r>
            <w:fldChar w:fldCharType="separate"/>
          </w:r>
          <w:r>
            <w:t>257</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_Toc19090 </w:instrText>
          </w:r>
          <w:r>
            <w:rPr>
              <w:rFonts w:asciiTheme="minorEastAsia" w:hAnsiTheme="minorEastAsia"/>
              <w:szCs w:val="21"/>
            </w:rPr>
            <w:fldChar w:fldCharType="separate"/>
          </w:r>
          <w:r>
            <w:rPr>
              <w:rFonts w:hint="eastAsia"/>
            </w:rPr>
            <w:t>一、 系统测试</w:t>
          </w:r>
          <w:r>
            <w:tab/>
          </w:r>
          <w:r>
            <w:fldChar w:fldCharType="begin"/>
          </w:r>
          <w:r>
            <w:instrText xml:space="preserve"> PAGEREF _Toc19090 </w:instrText>
          </w:r>
          <w:r>
            <w:fldChar w:fldCharType="separate"/>
          </w:r>
          <w:r>
            <w:t>257</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_Toc24179 </w:instrText>
          </w:r>
          <w:r>
            <w:rPr>
              <w:rFonts w:asciiTheme="minorEastAsia" w:hAnsiTheme="minorEastAsia"/>
              <w:szCs w:val="21"/>
            </w:rPr>
            <w:fldChar w:fldCharType="separate"/>
          </w:r>
          <w:r>
            <w:rPr>
              <w:rFonts w:hint="eastAsia"/>
            </w:rPr>
            <w:t>1． 整体要求</w:t>
          </w:r>
          <w:r>
            <w:tab/>
          </w:r>
          <w:r>
            <w:fldChar w:fldCharType="begin"/>
          </w:r>
          <w:r>
            <w:instrText xml:space="preserve"> PAGEREF _Toc24179 </w:instrText>
          </w:r>
          <w:r>
            <w:fldChar w:fldCharType="separate"/>
          </w:r>
          <w:r>
            <w:t>257</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_Toc16820 </w:instrText>
          </w:r>
          <w:r>
            <w:rPr>
              <w:rFonts w:asciiTheme="minorEastAsia" w:hAnsiTheme="minorEastAsia"/>
              <w:szCs w:val="21"/>
            </w:rPr>
            <w:fldChar w:fldCharType="separate"/>
          </w:r>
          <w:r>
            <w:rPr>
              <w:rFonts w:hint="eastAsia"/>
            </w:rPr>
            <w:t>2． 测试过程要求响应</w:t>
          </w:r>
          <w:r>
            <w:tab/>
          </w:r>
          <w:r>
            <w:fldChar w:fldCharType="begin"/>
          </w:r>
          <w:r>
            <w:instrText xml:space="preserve"> PAGEREF _Toc16820 </w:instrText>
          </w:r>
          <w:r>
            <w:fldChar w:fldCharType="separate"/>
          </w:r>
          <w:r>
            <w:t>257</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_Toc17267 </w:instrText>
          </w:r>
          <w:r>
            <w:rPr>
              <w:rFonts w:asciiTheme="minorEastAsia" w:hAnsiTheme="minorEastAsia"/>
              <w:szCs w:val="21"/>
            </w:rPr>
            <w:fldChar w:fldCharType="separate"/>
          </w:r>
          <w:r>
            <w:rPr>
              <w:rFonts w:hint="eastAsia"/>
            </w:rPr>
            <w:t>（1） 需求分析阶段</w:t>
          </w:r>
          <w:r>
            <w:tab/>
          </w:r>
          <w:r>
            <w:fldChar w:fldCharType="begin"/>
          </w:r>
          <w:r>
            <w:instrText xml:space="preserve"> PAGEREF _Toc17267 </w:instrText>
          </w:r>
          <w:r>
            <w:fldChar w:fldCharType="separate"/>
          </w:r>
          <w:r>
            <w:t>258</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_Toc25373 </w:instrText>
          </w:r>
          <w:r>
            <w:rPr>
              <w:rFonts w:asciiTheme="minorEastAsia" w:hAnsiTheme="minorEastAsia"/>
              <w:szCs w:val="21"/>
            </w:rPr>
            <w:fldChar w:fldCharType="separate"/>
          </w:r>
          <w:r>
            <w:rPr>
              <w:rFonts w:hint="eastAsia"/>
            </w:rPr>
            <w:t>（2） 概要设计阶段</w:t>
          </w:r>
          <w:r>
            <w:tab/>
          </w:r>
          <w:r>
            <w:fldChar w:fldCharType="begin"/>
          </w:r>
          <w:r>
            <w:instrText xml:space="preserve"> PAGEREF _Toc25373 </w:instrText>
          </w:r>
          <w:r>
            <w:fldChar w:fldCharType="separate"/>
          </w:r>
          <w:r>
            <w:t>258</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_Toc24347 </w:instrText>
          </w:r>
          <w:r>
            <w:rPr>
              <w:rFonts w:asciiTheme="minorEastAsia" w:hAnsiTheme="minorEastAsia"/>
              <w:szCs w:val="21"/>
            </w:rPr>
            <w:fldChar w:fldCharType="separate"/>
          </w:r>
          <w:r>
            <w:rPr>
              <w:rFonts w:hint="eastAsia"/>
            </w:rPr>
            <w:t>（3） 详细设计阶段</w:t>
          </w:r>
          <w:r>
            <w:tab/>
          </w:r>
          <w:r>
            <w:fldChar w:fldCharType="begin"/>
          </w:r>
          <w:r>
            <w:instrText xml:space="preserve"> PAGEREF _Toc24347 </w:instrText>
          </w:r>
          <w:r>
            <w:fldChar w:fldCharType="separate"/>
          </w:r>
          <w:r>
            <w:t>258</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_Toc15647 </w:instrText>
          </w:r>
          <w:r>
            <w:rPr>
              <w:rFonts w:asciiTheme="minorEastAsia" w:hAnsiTheme="minorEastAsia"/>
              <w:szCs w:val="21"/>
            </w:rPr>
            <w:fldChar w:fldCharType="separate"/>
          </w:r>
          <w:r>
            <w:rPr>
              <w:rFonts w:hint="eastAsia"/>
            </w:rPr>
            <w:t>（4） 源代码审查阶段</w:t>
          </w:r>
          <w:r>
            <w:tab/>
          </w:r>
          <w:r>
            <w:fldChar w:fldCharType="begin"/>
          </w:r>
          <w:r>
            <w:instrText xml:space="preserve"> PAGEREF _Toc15647 </w:instrText>
          </w:r>
          <w:r>
            <w:fldChar w:fldCharType="separate"/>
          </w:r>
          <w:r>
            <w:t>259</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_Toc17487 </w:instrText>
          </w:r>
          <w:r>
            <w:rPr>
              <w:rFonts w:asciiTheme="minorEastAsia" w:hAnsiTheme="minorEastAsia"/>
              <w:szCs w:val="21"/>
            </w:rPr>
            <w:fldChar w:fldCharType="separate"/>
          </w:r>
          <w:r>
            <w:rPr>
              <w:rFonts w:hint="eastAsia"/>
            </w:rPr>
            <w:t>（5） 系统测试阶段</w:t>
          </w:r>
          <w:r>
            <w:tab/>
          </w:r>
          <w:r>
            <w:fldChar w:fldCharType="begin"/>
          </w:r>
          <w:r>
            <w:instrText xml:space="preserve"> PAGEREF _Toc17487 </w:instrText>
          </w:r>
          <w:r>
            <w:fldChar w:fldCharType="separate"/>
          </w:r>
          <w:r>
            <w:t>259</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_Toc17788 </w:instrText>
          </w:r>
          <w:r>
            <w:rPr>
              <w:rFonts w:asciiTheme="minorEastAsia" w:hAnsiTheme="minorEastAsia"/>
              <w:szCs w:val="21"/>
            </w:rPr>
            <w:fldChar w:fldCharType="separate"/>
          </w:r>
          <w:r>
            <w:rPr>
              <w:rFonts w:hint="eastAsia"/>
            </w:rPr>
            <w:t>3． 测试质量保证要求响应</w:t>
          </w:r>
          <w:r>
            <w:tab/>
          </w:r>
          <w:r>
            <w:fldChar w:fldCharType="begin"/>
          </w:r>
          <w:r>
            <w:instrText xml:space="preserve"> PAGEREF _Toc17788 </w:instrText>
          </w:r>
          <w:r>
            <w:fldChar w:fldCharType="separate"/>
          </w:r>
          <w:r>
            <w:t>259</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_Toc20079 </w:instrText>
          </w:r>
          <w:r>
            <w:rPr>
              <w:rFonts w:asciiTheme="minorEastAsia" w:hAnsiTheme="minorEastAsia"/>
              <w:szCs w:val="21"/>
            </w:rPr>
            <w:fldChar w:fldCharType="separate"/>
          </w:r>
          <w:r>
            <w:rPr>
              <w:rFonts w:hint="eastAsia"/>
            </w:rPr>
            <w:t>（1） 白盒测试</w:t>
          </w:r>
          <w:r>
            <w:tab/>
          </w:r>
          <w:r>
            <w:fldChar w:fldCharType="begin"/>
          </w:r>
          <w:r>
            <w:instrText xml:space="preserve"> PAGEREF _Toc20079 </w:instrText>
          </w:r>
          <w:r>
            <w:fldChar w:fldCharType="separate"/>
          </w:r>
          <w:r>
            <w:t>260</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_Toc23572 </w:instrText>
          </w:r>
          <w:r>
            <w:rPr>
              <w:rFonts w:asciiTheme="minorEastAsia" w:hAnsiTheme="minorEastAsia"/>
              <w:szCs w:val="21"/>
            </w:rPr>
            <w:fldChar w:fldCharType="separate"/>
          </w:r>
          <w:r>
            <w:rPr>
              <w:rFonts w:hint="eastAsia"/>
            </w:rPr>
            <w:t>（2） 黑盒测试</w:t>
          </w:r>
          <w:r>
            <w:tab/>
          </w:r>
          <w:r>
            <w:fldChar w:fldCharType="begin"/>
          </w:r>
          <w:r>
            <w:instrText xml:space="preserve"> PAGEREF _Toc23572 </w:instrText>
          </w:r>
          <w:r>
            <w:fldChar w:fldCharType="separate"/>
          </w:r>
          <w:r>
            <w:t>260</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_Toc4054 </w:instrText>
          </w:r>
          <w:r>
            <w:rPr>
              <w:rFonts w:asciiTheme="minorEastAsia" w:hAnsiTheme="minorEastAsia"/>
              <w:szCs w:val="21"/>
            </w:rPr>
            <w:fldChar w:fldCharType="separate"/>
          </w:r>
          <w:r>
            <w:rPr>
              <w:rFonts w:hint="eastAsia"/>
            </w:rPr>
            <w:t>4． 测试类型要求响应</w:t>
          </w:r>
          <w:r>
            <w:tab/>
          </w:r>
          <w:r>
            <w:fldChar w:fldCharType="begin"/>
          </w:r>
          <w:r>
            <w:instrText xml:space="preserve"> PAGEREF _Toc4054 </w:instrText>
          </w:r>
          <w:r>
            <w:fldChar w:fldCharType="separate"/>
          </w:r>
          <w:r>
            <w:t>261</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_Toc7150 </w:instrText>
          </w:r>
          <w:r>
            <w:rPr>
              <w:rFonts w:asciiTheme="minorEastAsia" w:hAnsiTheme="minorEastAsia"/>
              <w:szCs w:val="21"/>
            </w:rPr>
            <w:fldChar w:fldCharType="separate"/>
          </w:r>
          <w:r>
            <w:rPr>
              <w:rFonts w:hint="eastAsia"/>
            </w:rPr>
            <w:t>（1） 功能测试要求</w:t>
          </w:r>
          <w:r>
            <w:tab/>
          </w:r>
          <w:r>
            <w:fldChar w:fldCharType="begin"/>
          </w:r>
          <w:r>
            <w:instrText xml:space="preserve"> PAGEREF _Toc7150 </w:instrText>
          </w:r>
          <w:r>
            <w:fldChar w:fldCharType="separate"/>
          </w:r>
          <w:r>
            <w:t>261</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_Toc2363 </w:instrText>
          </w:r>
          <w:r>
            <w:rPr>
              <w:rFonts w:asciiTheme="minorEastAsia" w:hAnsiTheme="minorEastAsia"/>
              <w:szCs w:val="21"/>
            </w:rPr>
            <w:fldChar w:fldCharType="separate"/>
          </w:r>
          <w:r>
            <w:rPr>
              <w:rFonts w:hint="eastAsia"/>
            </w:rPr>
            <w:t>（2） 性能测试要求</w:t>
          </w:r>
          <w:r>
            <w:tab/>
          </w:r>
          <w:r>
            <w:fldChar w:fldCharType="begin"/>
          </w:r>
          <w:r>
            <w:instrText xml:space="preserve"> PAGEREF _Toc2363 </w:instrText>
          </w:r>
          <w:r>
            <w:fldChar w:fldCharType="separate"/>
          </w:r>
          <w:r>
            <w:t>261</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_Toc13699 </w:instrText>
          </w:r>
          <w:r>
            <w:rPr>
              <w:rFonts w:asciiTheme="minorEastAsia" w:hAnsiTheme="minorEastAsia"/>
              <w:szCs w:val="21"/>
            </w:rPr>
            <w:fldChar w:fldCharType="separate"/>
          </w:r>
          <w:r>
            <w:rPr>
              <w:rFonts w:hint="eastAsia"/>
            </w:rPr>
            <w:t>5． 测试质量保证要求响应</w:t>
          </w:r>
          <w:r>
            <w:tab/>
          </w:r>
          <w:r>
            <w:fldChar w:fldCharType="begin"/>
          </w:r>
          <w:r>
            <w:instrText xml:space="preserve"> PAGEREF _Toc13699 </w:instrText>
          </w:r>
          <w:r>
            <w:fldChar w:fldCharType="separate"/>
          </w:r>
          <w:r>
            <w:t>261</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_Toc6478 </w:instrText>
          </w:r>
          <w:r>
            <w:rPr>
              <w:rFonts w:asciiTheme="minorEastAsia" w:hAnsiTheme="minorEastAsia"/>
              <w:szCs w:val="21"/>
            </w:rPr>
            <w:fldChar w:fldCharType="separate"/>
          </w:r>
          <w:r>
            <w:rPr>
              <w:rFonts w:hint="eastAsia"/>
            </w:rPr>
            <w:t>6． 测试准备</w:t>
          </w:r>
          <w:r>
            <w:tab/>
          </w:r>
          <w:r>
            <w:fldChar w:fldCharType="begin"/>
          </w:r>
          <w:r>
            <w:instrText xml:space="preserve"> PAGEREF _Toc6478 </w:instrText>
          </w:r>
          <w:r>
            <w:fldChar w:fldCharType="separate"/>
          </w:r>
          <w:r>
            <w:t>261</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_Toc9338 </w:instrText>
          </w:r>
          <w:r>
            <w:rPr>
              <w:rFonts w:asciiTheme="minorEastAsia" w:hAnsiTheme="minorEastAsia"/>
              <w:szCs w:val="21"/>
            </w:rPr>
            <w:fldChar w:fldCharType="separate"/>
          </w:r>
          <w:r>
            <w:rPr>
              <w:rFonts w:hint="eastAsia"/>
            </w:rPr>
            <w:t>（1） 测试需求分析</w:t>
          </w:r>
          <w:r>
            <w:tab/>
          </w:r>
          <w:r>
            <w:fldChar w:fldCharType="begin"/>
          </w:r>
          <w:r>
            <w:instrText xml:space="preserve"> PAGEREF _Toc9338 </w:instrText>
          </w:r>
          <w:r>
            <w:fldChar w:fldCharType="separate"/>
          </w:r>
          <w:r>
            <w:t>261</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_Toc19969 </w:instrText>
          </w:r>
          <w:r>
            <w:rPr>
              <w:rFonts w:asciiTheme="minorEastAsia" w:hAnsiTheme="minorEastAsia"/>
              <w:szCs w:val="21"/>
            </w:rPr>
            <w:fldChar w:fldCharType="separate"/>
          </w:r>
          <w:r>
            <w:rPr>
              <w:rFonts w:hint="eastAsia"/>
            </w:rPr>
            <w:t>（2） 系统管理维护需求分析</w:t>
          </w:r>
          <w:r>
            <w:tab/>
          </w:r>
          <w:r>
            <w:fldChar w:fldCharType="begin"/>
          </w:r>
          <w:r>
            <w:instrText xml:space="preserve"> PAGEREF _Toc19969 </w:instrText>
          </w:r>
          <w:r>
            <w:fldChar w:fldCharType="separate"/>
          </w:r>
          <w:r>
            <w:t>262</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_Toc25656 </w:instrText>
          </w:r>
          <w:r>
            <w:rPr>
              <w:rFonts w:asciiTheme="minorEastAsia" w:hAnsiTheme="minorEastAsia"/>
              <w:szCs w:val="21"/>
            </w:rPr>
            <w:fldChar w:fldCharType="separate"/>
          </w:r>
          <w:r>
            <w:rPr>
              <w:rFonts w:hint="eastAsia"/>
            </w:rPr>
            <w:t>（3） 系统日志管理需求分析</w:t>
          </w:r>
          <w:r>
            <w:tab/>
          </w:r>
          <w:r>
            <w:fldChar w:fldCharType="begin"/>
          </w:r>
          <w:r>
            <w:instrText xml:space="preserve"> PAGEREF _Toc25656 </w:instrText>
          </w:r>
          <w:r>
            <w:fldChar w:fldCharType="separate"/>
          </w:r>
          <w:r>
            <w:t>262</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_Toc19809 </w:instrText>
          </w:r>
          <w:r>
            <w:rPr>
              <w:rFonts w:asciiTheme="minorEastAsia" w:hAnsiTheme="minorEastAsia"/>
              <w:szCs w:val="21"/>
            </w:rPr>
            <w:fldChar w:fldCharType="separate"/>
          </w:r>
          <w:r>
            <w:rPr>
              <w:rFonts w:hint="eastAsia"/>
            </w:rPr>
            <w:t>（4） 系统扩展性需求分析</w:t>
          </w:r>
          <w:r>
            <w:tab/>
          </w:r>
          <w:r>
            <w:fldChar w:fldCharType="begin"/>
          </w:r>
          <w:r>
            <w:instrText xml:space="preserve"> PAGEREF _Toc19809 </w:instrText>
          </w:r>
          <w:r>
            <w:fldChar w:fldCharType="separate"/>
          </w:r>
          <w:r>
            <w:t>262</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_Toc8683 </w:instrText>
          </w:r>
          <w:r>
            <w:rPr>
              <w:rFonts w:asciiTheme="minorEastAsia" w:hAnsiTheme="minorEastAsia"/>
              <w:szCs w:val="21"/>
            </w:rPr>
            <w:fldChar w:fldCharType="separate"/>
          </w:r>
          <w:r>
            <w:rPr>
              <w:rFonts w:hint="eastAsia"/>
            </w:rPr>
            <w:t>（5） 系统界面需求分析</w:t>
          </w:r>
          <w:r>
            <w:tab/>
          </w:r>
          <w:r>
            <w:fldChar w:fldCharType="begin"/>
          </w:r>
          <w:r>
            <w:instrText xml:space="preserve"> PAGEREF _Toc8683 </w:instrText>
          </w:r>
          <w:r>
            <w:fldChar w:fldCharType="separate"/>
          </w:r>
          <w:r>
            <w:t>262</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_Toc31211 </w:instrText>
          </w:r>
          <w:r>
            <w:rPr>
              <w:rFonts w:asciiTheme="minorEastAsia" w:hAnsiTheme="minorEastAsia"/>
              <w:szCs w:val="21"/>
            </w:rPr>
            <w:fldChar w:fldCharType="separate"/>
          </w:r>
          <w:r>
            <w:rPr>
              <w:rFonts w:hint="eastAsia"/>
            </w:rPr>
            <w:t>（6） 测试计划</w:t>
          </w:r>
          <w:r>
            <w:tab/>
          </w:r>
          <w:r>
            <w:fldChar w:fldCharType="begin"/>
          </w:r>
          <w:r>
            <w:instrText xml:space="preserve"> PAGEREF _Toc31211 </w:instrText>
          </w:r>
          <w:r>
            <w:fldChar w:fldCharType="separate"/>
          </w:r>
          <w:r>
            <w:t>263</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_Toc8192 </w:instrText>
          </w:r>
          <w:r>
            <w:rPr>
              <w:rFonts w:asciiTheme="minorEastAsia" w:hAnsiTheme="minorEastAsia"/>
              <w:szCs w:val="21"/>
            </w:rPr>
            <w:fldChar w:fldCharType="separate"/>
          </w:r>
          <w:r>
            <w:rPr>
              <w:rFonts w:hint="eastAsia"/>
            </w:rPr>
            <w:t>（7） 测试组织</w:t>
          </w:r>
          <w:r>
            <w:tab/>
          </w:r>
          <w:r>
            <w:fldChar w:fldCharType="begin"/>
          </w:r>
          <w:r>
            <w:instrText xml:space="preserve"> PAGEREF _Toc8192 </w:instrText>
          </w:r>
          <w:r>
            <w:fldChar w:fldCharType="separate"/>
          </w:r>
          <w:r>
            <w:t>265</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_Toc22200 </w:instrText>
          </w:r>
          <w:r>
            <w:rPr>
              <w:rFonts w:asciiTheme="minorEastAsia" w:hAnsiTheme="minorEastAsia"/>
              <w:szCs w:val="21"/>
            </w:rPr>
            <w:fldChar w:fldCharType="separate"/>
          </w:r>
          <w:r>
            <w:rPr>
              <w:rFonts w:hint="eastAsia"/>
            </w:rPr>
            <w:t>（8） 测试环境</w:t>
          </w:r>
          <w:r>
            <w:tab/>
          </w:r>
          <w:r>
            <w:fldChar w:fldCharType="begin"/>
          </w:r>
          <w:r>
            <w:instrText xml:space="preserve"> PAGEREF _Toc22200 </w:instrText>
          </w:r>
          <w:r>
            <w:fldChar w:fldCharType="separate"/>
          </w:r>
          <w:r>
            <w:t>268</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_Toc24090 </w:instrText>
          </w:r>
          <w:r>
            <w:rPr>
              <w:rFonts w:asciiTheme="minorEastAsia" w:hAnsiTheme="minorEastAsia"/>
              <w:szCs w:val="21"/>
            </w:rPr>
            <w:fldChar w:fldCharType="separate"/>
          </w:r>
          <w:r>
            <w:rPr>
              <w:rFonts w:hint="eastAsia"/>
            </w:rPr>
            <w:t>（9） 测试工具</w:t>
          </w:r>
          <w:r>
            <w:tab/>
          </w:r>
          <w:r>
            <w:fldChar w:fldCharType="begin"/>
          </w:r>
          <w:r>
            <w:instrText xml:space="preserve"> PAGEREF _Toc24090 </w:instrText>
          </w:r>
          <w:r>
            <w:fldChar w:fldCharType="separate"/>
          </w:r>
          <w:r>
            <w:t>268</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_Toc4611 </w:instrText>
          </w:r>
          <w:r>
            <w:rPr>
              <w:rFonts w:asciiTheme="minorEastAsia" w:hAnsiTheme="minorEastAsia"/>
              <w:szCs w:val="21"/>
            </w:rPr>
            <w:fldChar w:fldCharType="separate"/>
          </w:r>
          <w:r>
            <w:rPr>
              <w:rFonts w:hint="eastAsia"/>
            </w:rPr>
            <w:t>（10） 性能测试</w:t>
          </w:r>
          <w:r>
            <w:tab/>
          </w:r>
          <w:r>
            <w:fldChar w:fldCharType="begin"/>
          </w:r>
          <w:r>
            <w:instrText xml:space="preserve"> PAGEREF _Toc4611 </w:instrText>
          </w:r>
          <w:r>
            <w:fldChar w:fldCharType="separate"/>
          </w:r>
          <w:r>
            <w:t>272</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_Toc29197 </w:instrText>
          </w:r>
          <w:r>
            <w:rPr>
              <w:rFonts w:asciiTheme="minorEastAsia" w:hAnsiTheme="minorEastAsia"/>
              <w:szCs w:val="21"/>
            </w:rPr>
            <w:fldChar w:fldCharType="separate"/>
          </w:r>
          <w:r>
            <w:rPr>
              <w:rFonts w:hint="eastAsia"/>
            </w:rPr>
            <w:t>（11） 基本</w:t>
          </w:r>
          <w:r>
            <w:t>要求</w:t>
          </w:r>
          <w:r>
            <w:tab/>
          </w:r>
          <w:r>
            <w:fldChar w:fldCharType="begin"/>
          </w:r>
          <w:r>
            <w:instrText xml:space="preserve"> PAGEREF _Toc29197 </w:instrText>
          </w:r>
          <w:r>
            <w:fldChar w:fldCharType="separate"/>
          </w:r>
          <w:r>
            <w:t>272</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_Toc4300 </w:instrText>
          </w:r>
          <w:r>
            <w:rPr>
              <w:rFonts w:asciiTheme="minorEastAsia" w:hAnsiTheme="minorEastAsia"/>
              <w:szCs w:val="21"/>
            </w:rPr>
            <w:fldChar w:fldCharType="separate"/>
          </w:r>
          <w:r>
            <w:rPr>
              <w:rFonts w:hint="eastAsia"/>
            </w:rPr>
            <w:t>① 测试工具及测试方法</w:t>
          </w:r>
          <w:r>
            <w:tab/>
          </w:r>
          <w:r>
            <w:fldChar w:fldCharType="begin"/>
          </w:r>
          <w:r>
            <w:instrText xml:space="preserve"> PAGEREF _Toc4300 </w:instrText>
          </w:r>
          <w:r>
            <w:fldChar w:fldCharType="separate"/>
          </w:r>
          <w:r>
            <w:t>272</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_Toc8555 </w:instrText>
          </w:r>
          <w:r>
            <w:rPr>
              <w:rFonts w:asciiTheme="minorEastAsia" w:hAnsiTheme="minorEastAsia"/>
              <w:szCs w:val="21"/>
            </w:rPr>
            <w:fldChar w:fldCharType="separate"/>
          </w:r>
          <w:r>
            <w:rPr>
              <w:rFonts w:hint="eastAsia"/>
            </w:rPr>
            <w:t>② 测试数据要求</w:t>
          </w:r>
          <w:r>
            <w:tab/>
          </w:r>
          <w:r>
            <w:fldChar w:fldCharType="begin"/>
          </w:r>
          <w:r>
            <w:instrText xml:space="preserve"> PAGEREF _Toc8555 </w:instrText>
          </w:r>
          <w:r>
            <w:fldChar w:fldCharType="separate"/>
          </w:r>
          <w:r>
            <w:t>273</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_Toc27814 </w:instrText>
          </w:r>
          <w:r>
            <w:rPr>
              <w:rFonts w:asciiTheme="minorEastAsia" w:hAnsiTheme="minorEastAsia"/>
              <w:szCs w:val="21"/>
            </w:rPr>
            <w:fldChar w:fldCharType="separate"/>
          </w:r>
          <w:r>
            <w:rPr>
              <w:rFonts w:hint="eastAsia"/>
            </w:rPr>
            <w:t>③ 完成准则</w:t>
          </w:r>
          <w:r>
            <w:tab/>
          </w:r>
          <w:r>
            <w:fldChar w:fldCharType="begin"/>
          </w:r>
          <w:r>
            <w:instrText xml:space="preserve"> PAGEREF _Toc27814 </w:instrText>
          </w:r>
          <w:r>
            <w:fldChar w:fldCharType="separate"/>
          </w:r>
          <w:r>
            <w:t>274</w:t>
          </w:r>
          <w:r>
            <w:fldChar w:fldCharType="end"/>
          </w:r>
          <w:r>
            <w:rPr>
              <w:rFonts w:asciiTheme="minorEastAsia" w:hAnsiTheme="minorEastAsia"/>
              <w:szCs w:val="21"/>
            </w:rPr>
            <w:fldChar w:fldCharType="end"/>
          </w:r>
        </w:p>
        <w:p>
          <w:pPr>
            <w:pStyle w:val="17"/>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_Toc2203 </w:instrText>
          </w:r>
          <w:r>
            <w:rPr>
              <w:rFonts w:asciiTheme="minorEastAsia" w:hAnsiTheme="minorEastAsia"/>
              <w:szCs w:val="21"/>
            </w:rPr>
            <w:fldChar w:fldCharType="separate"/>
          </w:r>
          <w:r>
            <w:rPr>
              <w:rFonts w:hint="eastAsia"/>
            </w:rPr>
            <w:t>④ 测试提交物</w:t>
          </w:r>
          <w:r>
            <w:tab/>
          </w:r>
          <w:r>
            <w:fldChar w:fldCharType="begin"/>
          </w:r>
          <w:r>
            <w:instrText xml:space="preserve"> PAGEREF _Toc2203 </w:instrText>
          </w:r>
          <w:r>
            <w:fldChar w:fldCharType="separate"/>
          </w:r>
          <w:r>
            <w:t>274</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_Toc7417 </w:instrText>
          </w:r>
          <w:r>
            <w:rPr>
              <w:rFonts w:asciiTheme="minorEastAsia" w:hAnsiTheme="minorEastAsia"/>
              <w:szCs w:val="21"/>
            </w:rPr>
            <w:fldChar w:fldCharType="separate"/>
          </w:r>
          <w:r>
            <w:rPr>
              <w:rFonts w:hint="eastAsia"/>
            </w:rPr>
            <w:t>二、 系统验收</w:t>
          </w:r>
          <w:r>
            <w:tab/>
          </w:r>
          <w:r>
            <w:fldChar w:fldCharType="begin"/>
          </w:r>
          <w:r>
            <w:instrText xml:space="preserve"> PAGEREF _Toc7417 </w:instrText>
          </w:r>
          <w:r>
            <w:fldChar w:fldCharType="separate"/>
          </w:r>
          <w:r>
            <w:t>274</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_Toc17306 </w:instrText>
          </w:r>
          <w:r>
            <w:rPr>
              <w:rFonts w:asciiTheme="minorEastAsia" w:hAnsiTheme="minorEastAsia"/>
              <w:szCs w:val="21"/>
            </w:rPr>
            <w:fldChar w:fldCharType="separate"/>
          </w:r>
          <w:r>
            <w:rPr>
              <w:rFonts w:hint="eastAsia"/>
            </w:rPr>
            <w:t>1． 验收目的</w:t>
          </w:r>
          <w:r>
            <w:tab/>
          </w:r>
          <w:r>
            <w:fldChar w:fldCharType="begin"/>
          </w:r>
          <w:r>
            <w:instrText xml:space="preserve"> PAGEREF _Toc17306 </w:instrText>
          </w:r>
          <w:r>
            <w:fldChar w:fldCharType="separate"/>
          </w:r>
          <w:r>
            <w:t>274</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_Toc3894 </w:instrText>
          </w:r>
          <w:r>
            <w:rPr>
              <w:rFonts w:asciiTheme="minorEastAsia" w:hAnsiTheme="minorEastAsia"/>
              <w:szCs w:val="21"/>
            </w:rPr>
            <w:fldChar w:fldCharType="separate"/>
          </w:r>
          <w:r>
            <w:rPr>
              <w:rFonts w:hint="eastAsia"/>
            </w:rPr>
            <w:t>2． 验收原则</w:t>
          </w:r>
          <w:r>
            <w:tab/>
          </w:r>
          <w:r>
            <w:fldChar w:fldCharType="begin"/>
          </w:r>
          <w:r>
            <w:instrText xml:space="preserve"> PAGEREF _Toc3894 </w:instrText>
          </w:r>
          <w:r>
            <w:fldChar w:fldCharType="separate"/>
          </w:r>
          <w:r>
            <w:t>275</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_Toc28116 </w:instrText>
          </w:r>
          <w:r>
            <w:rPr>
              <w:rFonts w:asciiTheme="minorEastAsia" w:hAnsiTheme="minorEastAsia"/>
              <w:szCs w:val="21"/>
            </w:rPr>
            <w:fldChar w:fldCharType="separate"/>
          </w:r>
          <w:r>
            <w:rPr>
              <w:rFonts w:hint="eastAsia"/>
            </w:rPr>
            <w:t>3． 验收组织</w:t>
          </w:r>
          <w:r>
            <w:tab/>
          </w:r>
          <w:r>
            <w:fldChar w:fldCharType="begin"/>
          </w:r>
          <w:r>
            <w:instrText xml:space="preserve"> PAGEREF _Toc28116 </w:instrText>
          </w:r>
          <w:r>
            <w:fldChar w:fldCharType="separate"/>
          </w:r>
          <w:r>
            <w:t>275</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_Toc19925 </w:instrText>
          </w:r>
          <w:r>
            <w:rPr>
              <w:rFonts w:asciiTheme="minorEastAsia" w:hAnsiTheme="minorEastAsia"/>
              <w:szCs w:val="21"/>
            </w:rPr>
            <w:fldChar w:fldCharType="separate"/>
          </w:r>
          <w:r>
            <w:rPr>
              <w:rFonts w:hint="eastAsia"/>
            </w:rPr>
            <w:t>4． 验收方式</w:t>
          </w:r>
          <w:r>
            <w:tab/>
          </w:r>
          <w:r>
            <w:fldChar w:fldCharType="begin"/>
          </w:r>
          <w:r>
            <w:instrText xml:space="preserve"> PAGEREF _Toc19925 </w:instrText>
          </w:r>
          <w:r>
            <w:fldChar w:fldCharType="separate"/>
          </w:r>
          <w:r>
            <w:t>275</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_Toc14776 </w:instrText>
          </w:r>
          <w:r>
            <w:rPr>
              <w:rFonts w:asciiTheme="minorEastAsia" w:hAnsiTheme="minorEastAsia"/>
              <w:szCs w:val="21"/>
            </w:rPr>
            <w:fldChar w:fldCharType="separate"/>
          </w:r>
          <w:r>
            <w:rPr>
              <w:rFonts w:hint="eastAsia"/>
            </w:rPr>
            <w:t>（1） 分阶段开展验收</w:t>
          </w:r>
          <w:r>
            <w:tab/>
          </w:r>
          <w:r>
            <w:fldChar w:fldCharType="begin"/>
          </w:r>
          <w:r>
            <w:instrText xml:space="preserve"> PAGEREF _Toc14776 </w:instrText>
          </w:r>
          <w:r>
            <w:fldChar w:fldCharType="separate"/>
          </w:r>
          <w:r>
            <w:t>275</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_Toc5136 </w:instrText>
          </w:r>
          <w:r>
            <w:rPr>
              <w:rFonts w:asciiTheme="minorEastAsia" w:hAnsiTheme="minorEastAsia"/>
              <w:szCs w:val="21"/>
            </w:rPr>
            <w:fldChar w:fldCharType="separate"/>
          </w:r>
          <w:r>
            <w:rPr>
              <w:rFonts w:hint="eastAsia"/>
            </w:rPr>
            <w:t>（2） 软件系统验收</w:t>
          </w:r>
          <w:r>
            <w:tab/>
          </w:r>
          <w:r>
            <w:fldChar w:fldCharType="begin"/>
          </w:r>
          <w:r>
            <w:instrText xml:space="preserve"> PAGEREF _Toc5136 </w:instrText>
          </w:r>
          <w:r>
            <w:fldChar w:fldCharType="separate"/>
          </w:r>
          <w:r>
            <w:t>276</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_Toc9713 </w:instrText>
          </w:r>
          <w:r>
            <w:rPr>
              <w:rFonts w:asciiTheme="minorEastAsia" w:hAnsiTheme="minorEastAsia"/>
              <w:szCs w:val="21"/>
            </w:rPr>
            <w:fldChar w:fldCharType="separate"/>
          </w:r>
          <w:r>
            <w:rPr>
              <w:rFonts w:hint="eastAsia"/>
            </w:rPr>
            <w:t>（3） 文档验收</w:t>
          </w:r>
          <w:r>
            <w:tab/>
          </w:r>
          <w:r>
            <w:fldChar w:fldCharType="begin"/>
          </w:r>
          <w:r>
            <w:instrText xml:space="preserve"> PAGEREF _Toc9713 </w:instrText>
          </w:r>
          <w:r>
            <w:fldChar w:fldCharType="separate"/>
          </w:r>
          <w:r>
            <w:t>276</w:t>
          </w:r>
          <w:r>
            <w:fldChar w:fldCharType="end"/>
          </w:r>
          <w:r>
            <w:rPr>
              <w:rFonts w:asciiTheme="minorEastAsia" w:hAnsiTheme="minorEastAsia"/>
              <w:szCs w:val="21"/>
            </w:rPr>
            <w:fldChar w:fldCharType="end"/>
          </w:r>
        </w:p>
        <w:p>
          <w:pPr>
            <w:pStyle w:val="26"/>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_Toc23743 </w:instrText>
          </w:r>
          <w:r>
            <w:rPr>
              <w:rFonts w:asciiTheme="minorEastAsia" w:hAnsiTheme="minorEastAsia"/>
              <w:szCs w:val="21"/>
            </w:rPr>
            <w:fldChar w:fldCharType="separate"/>
          </w:r>
          <w:r>
            <w:rPr>
              <w:rFonts w:hint="eastAsia"/>
            </w:rPr>
            <w:t>（4） 其他实施情况验收</w:t>
          </w:r>
          <w:r>
            <w:tab/>
          </w:r>
          <w:r>
            <w:fldChar w:fldCharType="begin"/>
          </w:r>
          <w:r>
            <w:instrText xml:space="preserve"> PAGEREF _Toc23743 </w:instrText>
          </w:r>
          <w:r>
            <w:fldChar w:fldCharType="separate"/>
          </w:r>
          <w:r>
            <w:t>276</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_Toc17776 </w:instrText>
          </w:r>
          <w:r>
            <w:rPr>
              <w:rFonts w:asciiTheme="minorEastAsia" w:hAnsiTheme="minorEastAsia"/>
              <w:szCs w:val="21"/>
            </w:rPr>
            <w:fldChar w:fldCharType="separate"/>
          </w:r>
          <w:r>
            <w:rPr>
              <w:rFonts w:hint="eastAsia"/>
            </w:rPr>
            <w:t>5． 问题级别定义</w:t>
          </w:r>
          <w:r>
            <w:tab/>
          </w:r>
          <w:r>
            <w:fldChar w:fldCharType="begin"/>
          </w:r>
          <w:r>
            <w:instrText xml:space="preserve"> PAGEREF _Toc17776 </w:instrText>
          </w:r>
          <w:r>
            <w:fldChar w:fldCharType="separate"/>
          </w:r>
          <w:r>
            <w:t>277</w:t>
          </w:r>
          <w:r>
            <w:fldChar w:fldCharType="end"/>
          </w:r>
          <w:r>
            <w:rPr>
              <w:rFonts w:asciiTheme="minorEastAsia" w:hAnsiTheme="minorEastAsia"/>
              <w:szCs w:val="21"/>
            </w:rPr>
            <w:fldChar w:fldCharType="end"/>
          </w:r>
        </w:p>
        <w:p>
          <w:pPr>
            <w:pStyle w:val="25"/>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_Toc11454 </w:instrText>
          </w:r>
          <w:r>
            <w:rPr>
              <w:rFonts w:asciiTheme="minorEastAsia" w:hAnsiTheme="minorEastAsia"/>
              <w:szCs w:val="21"/>
            </w:rPr>
            <w:fldChar w:fldCharType="separate"/>
          </w:r>
          <w:r>
            <w:rPr>
              <w:rFonts w:hint="eastAsia"/>
            </w:rPr>
            <w:t>第十一章 售后服务体系介绍及保障方案</w:t>
          </w:r>
          <w:r>
            <w:tab/>
          </w:r>
          <w:r>
            <w:fldChar w:fldCharType="begin"/>
          </w:r>
          <w:r>
            <w:instrText xml:space="preserve"> PAGEREF _Toc11454 </w:instrText>
          </w:r>
          <w:r>
            <w:fldChar w:fldCharType="separate"/>
          </w:r>
          <w:r>
            <w:t>278</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_Toc30883 </w:instrText>
          </w:r>
          <w:r>
            <w:rPr>
              <w:rFonts w:asciiTheme="minorEastAsia" w:hAnsiTheme="minorEastAsia"/>
              <w:szCs w:val="21"/>
            </w:rPr>
            <w:fldChar w:fldCharType="separate"/>
          </w:r>
          <w:r>
            <w:rPr>
              <w:rFonts w:hint="eastAsia"/>
            </w:rPr>
            <w:t>一、 服务体系简介</w:t>
          </w:r>
          <w:r>
            <w:tab/>
          </w:r>
          <w:r>
            <w:fldChar w:fldCharType="begin"/>
          </w:r>
          <w:r>
            <w:instrText xml:space="preserve"> PAGEREF _Toc30883 </w:instrText>
          </w:r>
          <w:r>
            <w:fldChar w:fldCharType="separate"/>
          </w:r>
          <w:r>
            <w:t>278</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_Toc7611 </w:instrText>
          </w:r>
          <w:r>
            <w:rPr>
              <w:rFonts w:asciiTheme="minorEastAsia" w:hAnsiTheme="minorEastAsia"/>
              <w:szCs w:val="21"/>
            </w:rPr>
            <w:fldChar w:fldCharType="separate"/>
          </w:r>
          <w:r>
            <w:rPr>
              <w:rFonts w:hint="eastAsia"/>
            </w:rPr>
            <w:t>1． 人员分工</w:t>
          </w:r>
          <w:r>
            <w:tab/>
          </w:r>
          <w:r>
            <w:fldChar w:fldCharType="begin"/>
          </w:r>
          <w:r>
            <w:instrText xml:space="preserve"> PAGEREF _Toc7611 </w:instrText>
          </w:r>
          <w:r>
            <w:fldChar w:fldCharType="separate"/>
          </w:r>
          <w:r>
            <w:t>278</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_Toc10639 </w:instrText>
          </w:r>
          <w:r>
            <w:rPr>
              <w:rFonts w:asciiTheme="minorEastAsia" w:hAnsiTheme="minorEastAsia"/>
              <w:szCs w:val="21"/>
            </w:rPr>
            <w:fldChar w:fldCharType="separate"/>
          </w:r>
          <w:r>
            <w:rPr>
              <w:rFonts w:hint="eastAsia"/>
            </w:rPr>
            <w:t>2． 售后服务人员管理</w:t>
          </w:r>
          <w:r>
            <w:tab/>
          </w:r>
          <w:r>
            <w:fldChar w:fldCharType="begin"/>
          </w:r>
          <w:r>
            <w:instrText xml:space="preserve"> PAGEREF _Toc10639 </w:instrText>
          </w:r>
          <w:r>
            <w:fldChar w:fldCharType="separate"/>
          </w:r>
          <w:r>
            <w:t>278</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_Toc5229 </w:instrText>
          </w:r>
          <w:r>
            <w:rPr>
              <w:rFonts w:asciiTheme="minorEastAsia" w:hAnsiTheme="minorEastAsia"/>
              <w:szCs w:val="21"/>
            </w:rPr>
            <w:fldChar w:fldCharType="separate"/>
          </w:r>
          <w:r>
            <w:rPr>
              <w:rFonts w:hint="eastAsia"/>
            </w:rPr>
            <w:t>3． 项目开发团队管理</w:t>
          </w:r>
          <w:r>
            <w:tab/>
          </w:r>
          <w:r>
            <w:fldChar w:fldCharType="begin"/>
          </w:r>
          <w:r>
            <w:instrText xml:space="preserve"> PAGEREF _Toc5229 </w:instrText>
          </w:r>
          <w:r>
            <w:fldChar w:fldCharType="separate"/>
          </w:r>
          <w:r>
            <w:t>279</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_Toc27057 </w:instrText>
          </w:r>
          <w:r>
            <w:rPr>
              <w:rFonts w:asciiTheme="minorEastAsia" w:hAnsiTheme="minorEastAsia"/>
              <w:szCs w:val="21"/>
            </w:rPr>
            <w:fldChar w:fldCharType="separate"/>
          </w:r>
          <w:r>
            <w:rPr>
              <w:rFonts w:hint="eastAsia"/>
            </w:rPr>
            <w:t>二、 服务时间</w:t>
          </w:r>
          <w:r>
            <w:tab/>
          </w:r>
          <w:r>
            <w:fldChar w:fldCharType="begin"/>
          </w:r>
          <w:r>
            <w:instrText xml:space="preserve"> PAGEREF _Toc27057 </w:instrText>
          </w:r>
          <w:r>
            <w:fldChar w:fldCharType="separate"/>
          </w:r>
          <w:r>
            <w:t>279</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_Toc9597 </w:instrText>
          </w:r>
          <w:r>
            <w:rPr>
              <w:rFonts w:asciiTheme="minorEastAsia" w:hAnsiTheme="minorEastAsia"/>
              <w:szCs w:val="21"/>
            </w:rPr>
            <w:fldChar w:fldCharType="separate"/>
          </w:r>
          <w:r>
            <w:rPr>
              <w:rFonts w:hint="eastAsia"/>
            </w:rPr>
            <w:t>三、 服务方式</w:t>
          </w:r>
          <w:r>
            <w:tab/>
          </w:r>
          <w:r>
            <w:fldChar w:fldCharType="begin"/>
          </w:r>
          <w:r>
            <w:instrText xml:space="preserve"> PAGEREF _Toc9597 </w:instrText>
          </w:r>
          <w:r>
            <w:fldChar w:fldCharType="separate"/>
          </w:r>
          <w:r>
            <w:t>279</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_Toc1988 </w:instrText>
          </w:r>
          <w:r>
            <w:rPr>
              <w:rFonts w:asciiTheme="minorEastAsia" w:hAnsiTheme="minorEastAsia"/>
              <w:szCs w:val="21"/>
            </w:rPr>
            <w:fldChar w:fldCharType="separate"/>
          </w:r>
          <w:r>
            <w:rPr>
              <w:rFonts w:hint="eastAsia"/>
            </w:rPr>
            <w:t>1． 热线服务</w:t>
          </w:r>
          <w:r>
            <w:tab/>
          </w:r>
          <w:r>
            <w:fldChar w:fldCharType="begin"/>
          </w:r>
          <w:r>
            <w:instrText xml:space="preserve"> PAGEREF _Toc1988 </w:instrText>
          </w:r>
          <w:r>
            <w:fldChar w:fldCharType="separate"/>
          </w:r>
          <w:r>
            <w:t>279</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_Toc1697 </w:instrText>
          </w:r>
          <w:r>
            <w:rPr>
              <w:rFonts w:asciiTheme="minorEastAsia" w:hAnsiTheme="minorEastAsia"/>
              <w:szCs w:val="21"/>
            </w:rPr>
            <w:fldChar w:fldCharType="separate"/>
          </w:r>
          <w:r>
            <w:rPr>
              <w:rFonts w:hint="eastAsia"/>
            </w:rPr>
            <w:t>2． 上门维护</w:t>
          </w:r>
          <w:r>
            <w:tab/>
          </w:r>
          <w:r>
            <w:fldChar w:fldCharType="begin"/>
          </w:r>
          <w:r>
            <w:instrText xml:space="preserve"> PAGEREF _Toc1697 </w:instrText>
          </w:r>
          <w:r>
            <w:fldChar w:fldCharType="separate"/>
          </w:r>
          <w:r>
            <w:t>280</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_Toc9442 </w:instrText>
          </w:r>
          <w:r>
            <w:rPr>
              <w:rFonts w:asciiTheme="minorEastAsia" w:hAnsiTheme="minorEastAsia"/>
              <w:szCs w:val="21"/>
            </w:rPr>
            <w:fldChar w:fldCharType="separate"/>
          </w:r>
          <w:r>
            <w:rPr>
              <w:rFonts w:hint="eastAsia"/>
            </w:rPr>
            <w:t>3． 巡检服务</w:t>
          </w:r>
          <w:r>
            <w:tab/>
          </w:r>
          <w:r>
            <w:fldChar w:fldCharType="begin"/>
          </w:r>
          <w:r>
            <w:instrText xml:space="preserve"> PAGEREF _Toc9442 </w:instrText>
          </w:r>
          <w:r>
            <w:fldChar w:fldCharType="separate"/>
          </w:r>
          <w:r>
            <w:t>280</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_Toc5571 </w:instrText>
          </w:r>
          <w:r>
            <w:rPr>
              <w:rFonts w:asciiTheme="minorEastAsia" w:hAnsiTheme="minorEastAsia"/>
              <w:szCs w:val="21"/>
            </w:rPr>
            <w:fldChar w:fldCharType="separate"/>
          </w:r>
          <w:r>
            <w:rPr>
              <w:rFonts w:hint="eastAsia"/>
            </w:rPr>
            <w:t>4． 网络服务</w:t>
          </w:r>
          <w:r>
            <w:tab/>
          </w:r>
          <w:r>
            <w:fldChar w:fldCharType="begin"/>
          </w:r>
          <w:r>
            <w:instrText xml:space="preserve"> PAGEREF _Toc5571 </w:instrText>
          </w:r>
          <w:r>
            <w:fldChar w:fldCharType="separate"/>
          </w:r>
          <w:r>
            <w:t>280</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_Toc19363 </w:instrText>
          </w:r>
          <w:r>
            <w:rPr>
              <w:rFonts w:asciiTheme="minorEastAsia" w:hAnsiTheme="minorEastAsia"/>
              <w:szCs w:val="21"/>
            </w:rPr>
            <w:fldChar w:fldCharType="separate"/>
          </w:r>
          <w:r>
            <w:rPr>
              <w:rFonts w:hint="eastAsia"/>
            </w:rPr>
            <w:t>四、 服务等级和服务指标</w:t>
          </w:r>
          <w:r>
            <w:tab/>
          </w:r>
          <w:r>
            <w:fldChar w:fldCharType="begin"/>
          </w:r>
          <w:r>
            <w:instrText xml:space="preserve"> PAGEREF _Toc19363 </w:instrText>
          </w:r>
          <w:r>
            <w:fldChar w:fldCharType="separate"/>
          </w:r>
          <w:r>
            <w:t>280</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_Toc3623 </w:instrText>
          </w:r>
          <w:r>
            <w:rPr>
              <w:rFonts w:asciiTheme="minorEastAsia" w:hAnsiTheme="minorEastAsia"/>
              <w:szCs w:val="21"/>
            </w:rPr>
            <w:fldChar w:fldCharType="separate"/>
          </w:r>
          <w:r>
            <w:rPr>
              <w:rFonts w:hint="eastAsia"/>
            </w:rPr>
            <w:t>五、 服务监督方案</w:t>
          </w:r>
          <w:r>
            <w:tab/>
          </w:r>
          <w:r>
            <w:fldChar w:fldCharType="begin"/>
          </w:r>
          <w:r>
            <w:instrText xml:space="preserve"> PAGEREF _Toc3623 </w:instrText>
          </w:r>
          <w:r>
            <w:fldChar w:fldCharType="separate"/>
          </w:r>
          <w:r>
            <w:t>282</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_Toc24861 </w:instrText>
          </w:r>
          <w:r>
            <w:rPr>
              <w:rFonts w:asciiTheme="minorEastAsia" w:hAnsiTheme="minorEastAsia"/>
              <w:szCs w:val="21"/>
            </w:rPr>
            <w:fldChar w:fldCharType="separate"/>
          </w:r>
          <w:r>
            <w:rPr>
              <w:rFonts w:hint="eastAsia"/>
            </w:rPr>
            <w:t xml:space="preserve">1． </w:t>
          </w:r>
          <w:r>
            <w:t>投诉处理</w:t>
          </w:r>
          <w:r>
            <w:tab/>
          </w:r>
          <w:r>
            <w:fldChar w:fldCharType="begin"/>
          </w:r>
          <w:r>
            <w:instrText xml:space="preserve"> PAGEREF _Toc24861 </w:instrText>
          </w:r>
          <w:r>
            <w:fldChar w:fldCharType="separate"/>
          </w:r>
          <w:r>
            <w:t>282</w:t>
          </w:r>
          <w:r>
            <w:fldChar w:fldCharType="end"/>
          </w:r>
          <w:r>
            <w:rPr>
              <w:rFonts w:asciiTheme="minorEastAsia" w:hAnsiTheme="minorEastAsia"/>
              <w:szCs w:val="21"/>
            </w:rPr>
            <w:fldChar w:fldCharType="end"/>
          </w:r>
        </w:p>
        <w:p>
          <w:pPr>
            <w:pStyle w:val="18"/>
            <w:tabs>
              <w:tab w:val="right" w:leader="dot" w:pos="8312"/>
            </w:tabs>
          </w:pPr>
          <w:r>
            <w:rPr>
              <w:rFonts w:asciiTheme="minorEastAsia" w:hAnsiTheme="minorEastAsia"/>
              <w:szCs w:val="21"/>
            </w:rPr>
            <w:fldChar w:fldCharType="begin"/>
          </w:r>
          <w:r>
            <w:rPr>
              <w:rFonts w:asciiTheme="minorEastAsia" w:hAnsiTheme="minorEastAsia"/>
              <w:szCs w:val="21"/>
            </w:rPr>
            <w:instrText xml:space="preserve"> HYPERLINK \l _Toc1000 </w:instrText>
          </w:r>
          <w:r>
            <w:rPr>
              <w:rFonts w:asciiTheme="minorEastAsia" w:hAnsiTheme="minorEastAsia"/>
              <w:szCs w:val="21"/>
            </w:rPr>
            <w:fldChar w:fldCharType="separate"/>
          </w:r>
          <w:r>
            <w:rPr>
              <w:rFonts w:hint="eastAsia"/>
            </w:rPr>
            <w:t xml:space="preserve">2． </w:t>
          </w:r>
          <w:r>
            <w:t>服务监督</w:t>
          </w:r>
          <w:r>
            <w:tab/>
          </w:r>
          <w:r>
            <w:fldChar w:fldCharType="begin"/>
          </w:r>
          <w:r>
            <w:instrText xml:space="preserve"> PAGEREF _Toc1000 </w:instrText>
          </w:r>
          <w:r>
            <w:fldChar w:fldCharType="separate"/>
          </w:r>
          <w:r>
            <w:t>283</w:t>
          </w:r>
          <w:r>
            <w:fldChar w:fldCharType="end"/>
          </w:r>
          <w:r>
            <w:rPr>
              <w:rFonts w:asciiTheme="minorEastAsia" w:hAnsiTheme="minorEastAsia"/>
              <w:szCs w:val="21"/>
            </w:rPr>
            <w:fldChar w:fldCharType="end"/>
          </w:r>
        </w:p>
        <w:p>
          <w:pPr>
            <w:pStyle w:val="25"/>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_Toc18160 </w:instrText>
          </w:r>
          <w:r>
            <w:rPr>
              <w:rFonts w:asciiTheme="minorEastAsia" w:hAnsiTheme="minorEastAsia"/>
              <w:szCs w:val="21"/>
            </w:rPr>
            <w:fldChar w:fldCharType="separate"/>
          </w:r>
          <w:r>
            <w:rPr>
              <w:rFonts w:hint="eastAsia"/>
            </w:rPr>
            <w:t>第十二章 项目承诺</w:t>
          </w:r>
          <w:r>
            <w:tab/>
          </w:r>
          <w:r>
            <w:fldChar w:fldCharType="begin"/>
          </w:r>
          <w:r>
            <w:instrText xml:space="preserve"> PAGEREF _Toc18160 </w:instrText>
          </w:r>
          <w:r>
            <w:fldChar w:fldCharType="separate"/>
          </w:r>
          <w:r>
            <w:t>285</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_Toc16460 </w:instrText>
          </w:r>
          <w:r>
            <w:rPr>
              <w:rFonts w:asciiTheme="minorEastAsia" w:hAnsiTheme="minorEastAsia"/>
              <w:szCs w:val="21"/>
            </w:rPr>
            <w:fldChar w:fldCharType="separate"/>
          </w:r>
          <w:r>
            <w:rPr>
              <w:rFonts w:hint="eastAsia"/>
            </w:rPr>
            <w:t>一、 合同双方责任</w:t>
          </w:r>
          <w:r>
            <w:tab/>
          </w:r>
          <w:r>
            <w:fldChar w:fldCharType="begin"/>
          </w:r>
          <w:r>
            <w:instrText xml:space="preserve"> PAGEREF _Toc16460 </w:instrText>
          </w:r>
          <w:r>
            <w:fldChar w:fldCharType="separate"/>
          </w:r>
          <w:r>
            <w:t>285</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_Toc32463 </w:instrText>
          </w:r>
          <w:r>
            <w:rPr>
              <w:rFonts w:asciiTheme="minorEastAsia" w:hAnsiTheme="minorEastAsia"/>
              <w:szCs w:val="21"/>
            </w:rPr>
            <w:fldChar w:fldCharType="separate"/>
          </w:r>
          <w:r>
            <w:rPr>
              <w:rFonts w:hint="eastAsia"/>
            </w:rPr>
            <w:t>二、 项目承诺</w:t>
          </w:r>
          <w:r>
            <w:tab/>
          </w:r>
          <w:r>
            <w:fldChar w:fldCharType="begin"/>
          </w:r>
          <w:r>
            <w:instrText xml:space="preserve"> PAGEREF _Toc32463 </w:instrText>
          </w:r>
          <w:r>
            <w:fldChar w:fldCharType="separate"/>
          </w:r>
          <w:r>
            <w:t>285</w:t>
          </w:r>
          <w:r>
            <w:fldChar w:fldCharType="end"/>
          </w:r>
          <w:r>
            <w:rPr>
              <w:rFonts w:asciiTheme="minorEastAsia" w:hAnsiTheme="minorEastAsia"/>
              <w:szCs w:val="21"/>
            </w:rPr>
            <w:fldChar w:fldCharType="end"/>
          </w:r>
        </w:p>
        <w:p>
          <w:pPr>
            <w:pStyle w:val="25"/>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_Toc11702 </w:instrText>
          </w:r>
          <w:r>
            <w:rPr>
              <w:rFonts w:asciiTheme="minorEastAsia" w:hAnsiTheme="minorEastAsia"/>
              <w:szCs w:val="21"/>
            </w:rPr>
            <w:fldChar w:fldCharType="separate"/>
          </w:r>
          <w:r>
            <w:rPr>
              <w:rFonts w:hint="eastAsia"/>
            </w:rPr>
            <w:t xml:space="preserve">第十三章 </w:t>
          </w:r>
          <w:r>
            <w:rPr>
              <w:rFonts w:hint="eastAsia"/>
              <w:lang w:val="en-US" w:eastAsia="zh-CN"/>
            </w:rPr>
            <w:t>其他商务文件</w:t>
          </w:r>
          <w:r>
            <w:tab/>
          </w:r>
          <w:r>
            <w:fldChar w:fldCharType="begin"/>
          </w:r>
          <w:r>
            <w:instrText xml:space="preserve"> PAGEREF _Toc11702 </w:instrText>
          </w:r>
          <w:r>
            <w:fldChar w:fldCharType="separate"/>
          </w:r>
          <w:r>
            <w:t>288</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_Toc25371 </w:instrText>
          </w:r>
          <w:r>
            <w:rPr>
              <w:rFonts w:asciiTheme="minorEastAsia" w:hAnsiTheme="minorEastAsia"/>
              <w:szCs w:val="21"/>
            </w:rPr>
            <w:fldChar w:fldCharType="separate"/>
          </w:r>
          <w:r>
            <w:rPr>
              <w:rFonts w:hint="eastAsia"/>
            </w:rPr>
            <w:t>一、 供应商联系人信息</w:t>
          </w:r>
          <w:r>
            <w:tab/>
          </w:r>
          <w:r>
            <w:fldChar w:fldCharType="begin"/>
          </w:r>
          <w:r>
            <w:instrText xml:space="preserve"> PAGEREF _Toc25371 </w:instrText>
          </w:r>
          <w:r>
            <w:fldChar w:fldCharType="separate"/>
          </w:r>
          <w:r>
            <w:t>288</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_Toc14412 </w:instrText>
          </w:r>
          <w:r>
            <w:rPr>
              <w:rFonts w:asciiTheme="minorEastAsia" w:hAnsiTheme="minorEastAsia"/>
              <w:szCs w:val="21"/>
            </w:rPr>
            <w:fldChar w:fldCharType="separate"/>
          </w:r>
          <w:r>
            <w:rPr>
              <w:rFonts w:hint="eastAsia"/>
            </w:rPr>
            <w:t xml:space="preserve">二、 </w:t>
          </w:r>
          <w:r>
            <w:rPr>
              <w:rFonts w:hint="eastAsia" w:ascii="宋体" w:hAnsi="宋体" w:eastAsia="宋体"/>
              <w:b/>
            </w:rPr>
            <w:t>法定代表人授权委托书</w:t>
          </w:r>
          <w:r>
            <w:tab/>
          </w:r>
          <w:r>
            <w:fldChar w:fldCharType="begin"/>
          </w:r>
          <w:r>
            <w:instrText xml:space="preserve"> PAGEREF _Toc14412 </w:instrText>
          </w:r>
          <w:r>
            <w:fldChar w:fldCharType="separate"/>
          </w:r>
          <w:r>
            <w:t>289</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_Toc25997 </w:instrText>
          </w:r>
          <w:r>
            <w:rPr>
              <w:rFonts w:asciiTheme="minorEastAsia" w:hAnsiTheme="minorEastAsia"/>
              <w:szCs w:val="21"/>
            </w:rPr>
            <w:fldChar w:fldCharType="separate"/>
          </w:r>
          <w:r>
            <w:rPr>
              <w:rFonts w:hint="eastAsia"/>
            </w:rPr>
            <w:t xml:space="preserve">三、 </w:t>
          </w:r>
          <w:r>
            <w:rPr>
              <w:rFonts w:hint="eastAsia"/>
              <w:lang w:val="en-US" w:eastAsia="zh-CN"/>
            </w:rPr>
            <w:t>经营业绩一览表</w:t>
          </w:r>
          <w:r>
            <w:tab/>
          </w:r>
          <w:r>
            <w:fldChar w:fldCharType="begin"/>
          </w:r>
          <w:r>
            <w:instrText xml:space="preserve"> PAGEREF _Toc25997 </w:instrText>
          </w:r>
          <w:r>
            <w:fldChar w:fldCharType="separate"/>
          </w:r>
          <w:r>
            <w:t>289</w:t>
          </w:r>
          <w:r>
            <w:fldChar w:fldCharType="end"/>
          </w:r>
          <w:r>
            <w:rPr>
              <w:rFonts w:asciiTheme="minorEastAsia" w:hAnsiTheme="minorEastAsia"/>
              <w:szCs w:val="21"/>
            </w:rPr>
            <w:fldChar w:fldCharType="end"/>
          </w:r>
        </w:p>
        <w:p>
          <w:pPr>
            <w:pStyle w:val="28"/>
            <w:tabs>
              <w:tab w:val="right" w:leader="dot" w:pos="8312"/>
              <w:tab w:val="clear" w:pos="8302"/>
            </w:tabs>
          </w:pPr>
          <w:r>
            <w:rPr>
              <w:rFonts w:asciiTheme="minorEastAsia" w:hAnsiTheme="minorEastAsia"/>
              <w:szCs w:val="21"/>
            </w:rPr>
            <w:fldChar w:fldCharType="begin"/>
          </w:r>
          <w:r>
            <w:rPr>
              <w:rFonts w:asciiTheme="minorEastAsia" w:hAnsiTheme="minorEastAsia"/>
              <w:szCs w:val="21"/>
            </w:rPr>
            <w:instrText xml:space="preserve"> HYPERLINK \l _Toc28797 </w:instrText>
          </w:r>
          <w:r>
            <w:rPr>
              <w:rFonts w:asciiTheme="minorEastAsia" w:hAnsiTheme="minorEastAsia"/>
              <w:szCs w:val="21"/>
            </w:rPr>
            <w:fldChar w:fldCharType="separate"/>
          </w:r>
          <w:r>
            <w:rPr>
              <w:rFonts w:hint="eastAsia"/>
            </w:rPr>
            <w:t>四、 资产负债表、损益表、现金流量表</w:t>
          </w:r>
          <w:r>
            <w:tab/>
          </w:r>
          <w:r>
            <w:fldChar w:fldCharType="begin"/>
          </w:r>
          <w:r>
            <w:instrText xml:space="preserve"> PAGEREF _Toc28797 </w:instrText>
          </w:r>
          <w:r>
            <w:fldChar w:fldCharType="separate"/>
          </w:r>
          <w:r>
            <w:t>302</w:t>
          </w:r>
          <w:r>
            <w:fldChar w:fldCharType="end"/>
          </w:r>
          <w:r>
            <w:rPr>
              <w:rFonts w:asciiTheme="minorEastAsia" w:hAnsiTheme="minorEastAsia"/>
              <w:szCs w:val="21"/>
            </w:rPr>
            <w:fldChar w:fldCharType="end"/>
          </w:r>
        </w:p>
        <w:p>
          <w:pPr>
            <w:spacing w:line="360" w:lineRule="auto"/>
            <w:rPr>
              <w:rFonts w:ascii="仿宋" w:hAnsi="仿宋" w:eastAsia="仿宋"/>
              <w:sz w:val="24"/>
              <w:szCs w:val="24"/>
            </w:rPr>
          </w:pPr>
          <w:r>
            <w:rPr>
              <w:rFonts w:asciiTheme="minorEastAsia" w:hAnsiTheme="minorEastAsia"/>
              <w:szCs w:val="21"/>
            </w:rPr>
            <w:fldChar w:fldCharType="end"/>
          </w:r>
        </w:p>
      </w:sdtContent>
    </w:sdt>
    <w:p>
      <w:pPr>
        <w:pStyle w:val="2"/>
        <w:pageBreakBefore/>
        <w:numPr>
          <w:ilvl w:val="0"/>
          <w:numId w:val="3"/>
        </w:numPr>
        <w:spacing w:before="0" w:after="0" w:line="360" w:lineRule="auto"/>
        <w:ind w:left="0" w:leftChars="0" w:firstLine="402" w:firstLineChars="0"/>
      </w:pPr>
      <w:r>
        <w:rPr>
          <w:rFonts w:hint="eastAsia"/>
        </w:rPr>
        <w:t xml:space="preserve"> </w:t>
      </w:r>
      <w:bookmarkStart w:id="0" w:name="_Toc19523"/>
      <w:r>
        <w:rPr>
          <w:rFonts w:hint="eastAsia"/>
        </w:rPr>
        <w:t>公司简介及综合实力介绍</w:t>
      </w:r>
      <w:bookmarkEnd w:id="0"/>
    </w:p>
    <w:p>
      <w:pPr>
        <w:pStyle w:val="3"/>
        <w:numPr>
          <w:ilvl w:val="1"/>
          <w:numId w:val="3"/>
        </w:numPr>
        <w:spacing w:before="0" w:after="0" w:line="360" w:lineRule="auto"/>
        <w:ind w:left="0" w:leftChars="0" w:firstLine="402" w:firstLineChars="0"/>
        <w:rPr>
          <w:rFonts w:hint="eastAsia"/>
        </w:rPr>
      </w:pPr>
      <w:bookmarkStart w:id="1" w:name="_Toc444185709"/>
      <w:bookmarkStart w:id="2" w:name="_Toc7094"/>
      <w:r>
        <w:rPr>
          <w:rFonts w:hint="eastAsia"/>
        </w:rPr>
        <w:t>公司简介</w:t>
      </w:r>
      <w:bookmarkEnd w:id="1"/>
      <w:bookmarkEnd w:id="2"/>
    </w:p>
    <w:p>
      <w:pPr>
        <w:pStyle w:val="3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000000" w:themeColor="text1"/>
          <w:sz w:val="24"/>
          <w:szCs w:val="24"/>
          <w:shd w:val="clear" w:color="auto" w:fill="auto"/>
          <w14:textFill>
            <w14:solidFill>
              <w14:schemeClr w14:val="tx1"/>
            </w14:solidFill>
          </w14:textFill>
        </w:rPr>
      </w:pPr>
      <w:r>
        <w:rPr>
          <w:rFonts w:hint="eastAsia" w:asciiTheme="minorEastAsia" w:hAnsiTheme="minorEastAsia" w:cstheme="minorEastAsia"/>
          <w:sz w:val="24"/>
          <w:szCs w:val="24"/>
          <w:lang w:val="en-US" w:eastAsia="zh-CN"/>
        </w:rPr>
        <w:t xml:space="preserve"> </w:t>
      </w:r>
    </w:p>
    <w:p>
      <w:pPr>
        <w:pStyle w:val="3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cstheme="minorEastAsia"/>
          <w:color w:val="000000" w:themeColor="text1"/>
          <w:sz w:val="24"/>
          <w:szCs w:val="24"/>
          <w:shd w:val="clear" w:color="auto" w:fill="auto"/>
          <w:lang w:eastAsia="zh-CN"/>
          <w14:textFill>
            <w14:solidFill>
              <w14:schemeClr w14:val="tx1"/>
            </w14:solidFill>
          </w14:textFill>
        </w:rPr>
      </w:pPr>
      <w:r>
        <w:rPr>
          <w:rFonts w:hint="eastAsia" w:asciiTheme="minorEastAsia" w:hAnsiTheme="minorEastAsia" w:cstheme="minorEastAsia"/>
          <w:color w:val="000000" w:themeColor="text1"/>
          <w:sz w:val="24"/>
          <w:szCs w:val="24"/>
          <w:shd w:val="clear" w:color="auto" w:fill="auto"/>
          <w:lang w:val="en-US" w:eastAsia="zh-CN"/>
          <w14:textFill>
            <w14:solidFill>
              <w14:schemeClr w14:val="tx1"/>
            </w14:solidFill>
          </w14:textFill>
        </w:rPr>
        <w:t xml:space="preserve">   北京</w:t>
      </w:r>
      <w:r>
        <w:rPr>
          <w:rFonts w:hint="eastAsia" w:asciiTheme="minorEastAsia" w:hAnsiTheme="minorEastAsia" w:cstheme="minorEastAsia"/>
          <w:color w:val="000000" w:themeColor="text1"/>
          <w:sz w:val="24"/>
          <w:szCs w:val="24"/>
          <w:shd w:val="clear" w:color="auto" w:fill="auto"/>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shd w:val="clear" w:color="auto" w:fill="auto"/>
          <w14:textFill>
            <w14:solidFill>
              <w14:schemeClr w14:val="tx1"/>
            </w14:solidFill>
          </w14:textFill>
        </w:rPr>
        <w:t>信息</w:t>
      </w:r>
      <w:r>
        <w:rPr>
          <w:rFonts w:hint="eastAsia" w:asciiTheme="minorEastAsia" w:hAnsiTheme="minorEastAsia" w:cstheme="minorEastAsia"/>
          <w:color w:val="000000" w:themeColor="text1"/>
          <w:sz w:val="24"/>
          <w:szCs w:val="24"/>
          <w:shd w:val="clear" w:color="auto" w:fill="auto"/>
          <w:lang w:val="en-US" w:eastAsia="zh-CN"/>
          <w14:textFill>
            <w14:solidFill>
              <w14:schemeClr w14:val="tx1"/>
            </w14:solidFill>
          </w14:textFill>
        </w:rPr>
        <w:t>技术有限公司是</w:t>
      </w:r>
      <w:r>
        <w:rPr>
          <w:rFonts w:hint="eastAsia" w:asciiTheme="minorEastAsia" w:hAnsiTheme="minorEastAsia" w:eastAsiaTheme="minorEastAsia" w:cstheme="minorEastAsia"/>
          <w:color w:val="000000" w:themeColor="text1"/>
          <w:sz w:val="24"/>
          <w:szCs w:val="24"/>
          <w:shd w:val="clear" w:color="auto" w:fill="auto"/>
          <w14:textFill>
            <w14:solidFill>
              <w14:schemeClr w14:val="tx1"/>
            </w14:solidFill>
          </w14:textFill>
        </w:rPr>
        <w:t>由</w:t>
      </w:r>
      <w:r>
        <w:rPr>
          <w:rFonts w:hint="eastAsia" w:asciiTheme="minorEastAsia" w:hAnsiTheme="minorEastAsia" w:eastAsiaTheme="minorEastAsia" w:cstheme="minorEastAsia"/>
          <w:b w:val="0"/>
          <w:bCs w:val="0"/>
          <w:color w:val="auto"/>
          <w:sz w:val="24"/>
          <w:szCs w:val="24"/>
          <w:shd w:val="clear" w:color="auto" w:fill="auto"/>
        </w:rPr>
        <w:t>北京</w:t>
      </w:r>
      <w:r>
        <w:rPr>
          <w:rFonts w:hint="eastAsia" w:asciiTheme="minorEastAsia" w:hAnsiTheme="minorEastAsia" w:cstheme="minorEastAsia"/>
          <w:b w:val="0"/>
          <w:bCs w:val="0"/>
          <w:color w:val="auto"/>
          <w:sz w:val="24"/>
          <w:szCs w:val="24"/>
          <w:shd w:val="clear" w:color="auto" w:fill="auto"/>
          <w:lang w:eastAsia="zh-CN"/>
        </w:rPr>
        <w:t>***</w:t>
      </w:r>
      <w:r>
        <w:rPr>
          <w:rFonts w:hint="eastAsia" w:asciiTheme="minorEastAsia" w:hAnsiTheme="minorEastAsia" w:eastAsiaTheme="minorEastAsia" w:cstheme="minorEastAsia"/>
          <w:b w:val="0"/>
          <w:bCs w:val="0"/>
          <w:color w:val="auto"/>
          <w:sz w:val="24"/>
          <w:szCs w:val="24"/>
          <w:shd w:val="clear" w:color="auto" w:fill="auto"/>
        </w:rPr>
        <w:t>网络科技股份有限公司</w:t>
      </w:r>
      <w:r>
        <w:rPr>
          <w:rFonts w:hint="eastAsia" w:asciiTheme="minorEastAsia" w:hAnsiTheme="minorEastAsia" w:eastAsiaTheme="minorEastAsia" w:cstheme="minorEastAsia"/>
          <w:color w:val="000000" w:themeColor="text1"/>
          <w:sz w:val="24"/>
          <w:szCs w:val="24"/>
          <w:shd w:val="clear" w:color="auto" w:fill="auto"/>
          <w14:textFill>
            <w14:solidFill>
              <w14:schemeClr w14:val="tx1"/>
            </w14:solidFill>
          </w14:textFill>
        </w:rPr>
        <w:t>控股的互联网公司。公司在财税领域积极拓展“互联网+财税”应用，围绕电子发票相关应用，已建立了电子发票开具服务平台，为中小微企业提供便捷的开票服务。同时建立了电子发票报销服务平台，为中小微企业提供报销服务及财税综合解决方案。面对未来，公司将继续积极投身互联网财税产业，加大新技术和新市场的开拓力度，积极开拓公司服务网络，促进互联网财税产业的繁荣和发展</w:t>
      </w:r>
      <w:r>
        <w:rPr>
          <w:rFonts w:hint="eastAsia" w:asciiTheme="minorEastAsia" w:hAnsiTheme="minorEastAsia" w:cstheme="minorEastAsia"/>
          <w:color w:val="000000" w:themeColor="text1"/>
          <w:sz w:val="24"/>
          <w:szCs w:val="24"/>
          <w:shd w:val="clear" w:color="auto" w:fill="auto"/>
          <w:lang w:eastAsia="zh-CN"/>
          <w14:textFill>
            <w14:solidFill>
              <w14:schemeClr w14:val="tx1"/>
            </w14:solidFill>
          </w14:textFill>
        </w:rPr>
        <w:t>。</w:t>
      </w:r>
    </w:p>
    <w:p>
      <w:pPr>
        <w:pStyle w:val="3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cstheme="minorEastAsia"/>
          <w:color w:val="000000" w:themeColor="text1"/>
          <w:sz w:val="24"/>
          <w:szCs w:val="24"/>
          <w:shd w:val="clear" w:color="auto" w:fill="auto"/>
          <w:lang w:val="en-US" w:eastAsia="zh-CN"/>
          <w14:textFill>
            <w14:solidFill>
              <w14:schemeClr w14:val="tx1"/>
            </w14:solidFill>
          </w14:textFill>
        </w:rPr>
      </w:pPr>
      <w:r>
        <w:rPr>
          <w:rFonts w:hint="eastAsia" w:asciiTheme="minorEastAsia" w:hAnsiTheme="minorEastAsia" w:cstheme="minorEastAsia"/>
          <w:color w:val="000000" w:themeColor="text1"/>
          <w:sz w:val="24"/>
          <w:szCs w:val="24"/>
          <w:shd w:val="clear" w:color="auto" w:fill="auto"/>
          <w:lang w:val="en-US" w:eastAsia="zh-CN"/>
          <w14:textFill>
            <w14:solidFill>
              <w14:schemeClr w14:val="tx1"/>
            </w14:solidFill>
          </w14:textFill>
        </w:rPr>
        <w:t xml:space="preserve">   公司是由互联网、软件技术大牛、财税专家发起的互联网财税平台公司，致力于打造中国第一流互联网+记账平台。公司的拳头产品为小微企业粮食定制，实现多种终端、多区域、随时随地开票，提升企业效率，节约成本，为企业提供电子发票开具、报销、入账全流程一站式服务。</w:t>
      </w:r>
    </w:p>
    <w:p>
      <w:pPr>
        <w:pStyle w:val="3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val="en-US" w:eastAsia="zh-CN"/>
        </w:rPr>
        <w:tab/>
      </w:r>
      <w:r>
        <w:rPr>
          <w:rFonts w:hint="eastAsia" w:asciiTheme="minorEastAsia" w:hAnsiTheme="minorEastAsia" w:eastAsiaTheme="minorEastAsia" w:cstheme="minorEastAsia"/>
          <w:b w:val="0"/>
          <w:bCs w:val="0"/>
          <w:color w:val="auto"/>
          <w:sz w:val="24"/>
          <w:szCs w:val="24"/>
          <w:shd w:val="clear" w:color="auto" w:fill="auto"/>
        </w:rPr>
        <w:t>北京</w:t>
      </w:r>
      <w:r>
        <w:rPr>
          <w:rFonts w:hint="eastAsia" w:asciiTheme="minorEastAsia" w:hAnsiTheme="minorEastAsia" w:cstheme="minorEastAsia"/>
          <w:b w:val="0"/>
          <w:bCs w:val="0"/>
          <w:color w:val="auto"/>
          <w:sz w:val="24"/>
          <w:szCs w:val="24"/>
          <w:shd w:val="clear" w:color="auto" w:fill="auto"/>
          <w:lang w:eastAsia="zh-CN"/>
        </w:rPr>
        <w:t>***</w:t>
      </w:r>
      <w:r>
        <w:rPr>
          <w:rFonts w:hint="eastAsia" w:asciiTheme="minorEastAsia" w:hAnsiTheme="minorEastAsia" w:eastAsiaTheme="minorEastAsia" w:cstheme="minorEastAsia"/>
          <w:b w:val="0"/>
          <w:bCs w:val="0"/>
          <w:color w:val="auto"/>
          <w:sz w:val="24"/>
          <w:szCs w:val="24"/>
          <w:shd w:val="clear" w:color="auto" w:fill="auto"/>
        </w:rPr>
        <w:t>网络科技股份有限公司</w:t>
      </w:r>
      <w:r>
        <w:rPr>
          <w:rFonts w:hint="eastAsia" w:asciiTheme="minorEastAsia" w:hAnsiTheme="minorEastAsia" w:eastAsiaTheme="minorEastAsia" w:cstheme="minorEastAsia"/>
          <w:sz w:val="24"/>
          <w:szCs w:val="24"/>
        </w:rPr>
        <w:t>（新三板838237）是由互联网、软件技术大牛、财税专家发起的互联网财税平台公司，致力于打造中国第一流互联网+记账平台，为“大众创业、万众创新”打造服务支持系统，成为财税SAAS细分服务领军企业。</w:t>
      </w:r>
      <w:r>
        <w:rPr>
          <w:rFonts w:hint="eastAsia" w:asciiTheme="minorEastAsia" w:hAnsiTheme="minorEastAsia" w:eastAsiaTheme="minorEastAsia" w:cstheme="minorEastAsia"/>
          <w:sz w:val="24"/>
          <w:szCs w:val="24"/>
        </w:rPr>
        <w:br w:type="textWrapping"/>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公司管理技术团队由原京东副总裁、百度研发总监、用友技术总监、知名财税专家等组成，产品已早于2015年1月上线，并于5月完成A轮融资，集团在北京、上海、深圳、广州、重庆、沈阳等城市有控股公司10多家，员工600多人，互联网记账企业级用户数量位居国内前列</w:t>
      </w:r>
      <w:r>
        <w:rPr>
          <w:rFonts w:hint="eastAsia" w:asciiTheme="minorEastAsia" w:hAnsiTheme="minorEastAsia" w:cstheme="minorEastAsia"/>
          <w:sz w:val="24"/>
          <w:szCs w:val="24"/>
          <w:lang w:eastAsia="zh-CN"/>
        </w:rPr>
        <w:t>。</w:t>
      </w:r>
    </w:p>
    <w:p>
      <w:pPr>
        <w:pStyle w:val="3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公司历程：</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2014年 12月</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系统财务上线测试</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2015年</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 xml:space="preserve">7月份上海、深圳多家地区子公司设立 </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2016年</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9月新三板挂牌 838237</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产品简介：</w:t>
      </w:r>
      <w:r>
        <w:rPr>
          <w:rFonts w:hint="eastAsia" w:asciiTheme="minorEastAsia" w:hAnsiTheme="minorEastAsia" w:eastAsiaTheme="minorEastAsia" w:cstheme="minorEastAsia"/>
          <w:sz w:val="24"/>
          <w:szCs w:val="24"/>
        </w:rPr>
        <w:br w:type="textWrapping"/>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是基于移动互联网模式下的代理记账专业平台</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专为代记账公司打造的财务软件</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可随时查看财务信息、互动的手机APP</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为记账公司拓展工商、记账客户移动工具</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实现代理记账公司会计标准化服务财务系统</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降低代理记账人工费、提高工作效率管理平台</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最终实现智能凭证、自动纳税申报的高效系统</w:t>
      </w:r>
      <w:r>
        <w:rPr>
          <w:rFonts w:hint="eastAsia" w:asciiTheme="minorEastAsia" w:hAnsiTheme="minorEastAsia" w:cstheme="minorEastAsia"/>
          <w:sz w:val="24"/>
          <w:szCs w:val="24"/>
          <w:lang w:eastAsia="zh-CN"/>
        </w:rPr>
        <w:t>。</w:t>
      </w:r>
    </w:p>
    <w:p>
      <w:pPr>
        <w:pStyle w:val="3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cstheme="minorEastAsia"/>
          <w:color w:val="000000" w:themeColor="text1"/>
          <w:sz w:val="24"/>
          <w:szCs w:val="24"/>
          <w:shd w:val="clear" w:color="auto" w:fill="auto"/>
          <w:lang w:val="en-US" w:eastAsia="zh-CN"/>
          <w14:textFill>
            <w14:solidFill>
              <w14:schemeClr w14:val="tx1"/>
            </w14:solidFill>
          </w14:textFill>
        </w:rPr>
      </w:pPr>
      <w:r>
        <w:rPr>
          <w:rFonts w:hint="eastAsia"/>
          <w:sz w:val="24"/>
          <w:szCs w:val="24"/>
          <w:lang w:val="en-US" w:eastAsia="zh-CN"/>
        </w:rPr>
        <w:t xml:space="preserve">   </w:t>
      </w:r>
      <w:r>
        <w:rPr>
          <w:rFonts w:hint="eastAsia" w:asciiTheme="minorEastAsia" w:hAnsiTheme="minorEastAsia" w:eastAsiaTheme="minorEastAsia" w:cstheme="minorEastAsia"/>
          <w:color w:val="000000" w:themeColor="text1"/>
          <w:sz w:val="24"/>
          <w:szCs w:val="24"/>
          <w:shd w:val="clear" w:color="auto" w:fill="auto"/>
          <w14:textFill>
            <w14:solidFill>
              <w14:schemeClr w14:val="tx1"/>
            </w14:solidFill>
          </w14:textFill>
        </w:rPr>
        <w:t>北京</w:t>
      </w:r>
      <w:r>
        <w:rPr>
          <w:rFonts w:hint="eastAsia" w:asciiTheme="minorEastAsia" w:hAnsiTheme="minorEastAsia" w:cstheme="minorEastAsia"/>
          <w:color w:val="000000" w:themeColor="text1"/>
          <w:sz w:val="24"/>
          <w:szCs w:val="24"/>
          <w:shd w:val="clear" w:color="auto" w:fill="auto"/>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shd w:val="clear" w:color="auto" w:fill="auto"/>
          <w14:textFill>
            <w14:solidFill>
              <w14:schemeClr w14:val="tx1"/>
            </w14:solidFill>
          </w14:textFill>
        </w:rPr>
        <w:t>信息技术有限公司是航天信息、大象云天战略合作伙伴，是微信电子发票报销合作商。已建立电子发票开具平台、电子发票报销平台及报销应用，为企业电子发票开具、报销、入账提供全流程一站式服务。</w:t>
      </w:r>
    </w:p>
    <w:p>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100" w:afterAutospacing="1" w:line="375" w:lineRule="atLeast"/>
        <w:ind w:right="0" w:rightChars="0"/>
        <w:jc w:val="left"/>
        <w:textAlignment w:val="auto"/>
        <w:outlineLvl w:val="9"/>
        <w:rPr>
          <w:rFonts w:hint="eastAsia" w:asciiTheme="minorEastAsia" w:hAnsiTheme="minorEastAsia" w:eastAsiaTheme="minorEastAsia" w:cstheme="minorEastAsia"/>
          <w:color w:val="000000" w:themeColor="text1"/>
          <w:sz w:val="21"/>
          <w:szCs w:val="21"/>
          <w:shd w:val="clear" w:color="auto" w:fill="auto"/>
          <w14:textFill>
            <w14:solidFill>
              <w14:schemeClr w14:val="tx1"/>
            </w14:solidFill>
          </w14:textFill>
        </w:rPr>
      </w:pPr>
      <w:r>
        <w:rPr>
          <w:rFonts w:hint="eastAsia" w:asciiTheme="minorEastAsia" w:hAnsiTheme="minorEastAsia" w:cstheme="minorEastAsia"/>
          <w:color w:val="000000" w:themeColor="text1"/>
          <w:sz w:val="21"/>
          <w:szCs w:val="21"/>
          <w:shd w:val="clear" w:color="auto" w:fill="auto"/>
          <w:lang w:val="en-US" w:eastAsia="zh-CN"/>
          <w14:textFill>
            <w14:solidFill>
              <w14:schemeClr w14:val="tx1"/>
            </w14:solidFill>
          </w14:textFill>
        </w:rPr>
        <w:t xml:space="preserve">   </w:t>
      </w:r>
    </w:p>
    <w:p>
      <w:pPr>
        <w:spacing w:line="360" w:lineRule="auto"/>
        <w:rPr>
          <w:rFonts w:hint="eastAsia" w:ascii="仿宋" w:hAnsi="仿宋" w:eastAsia="仿宋"/>
          <w:sz w:val="24"/>
          <w:szCs w:val="24"/>
          <w:lang w:val="en-US" w:eastAsia="zh-CN"/>
        </w:rPr>
      </w:pPr>
      <w:r>
        <w:rPr>
          <w:rFonts w:hint="eastAsia" w:ascii="仿宋" w:hAnsi="仿宋" w:eastAsia="仿宋"/>
          <w:sz w:val="24"/>
          <w:szCs w:val="24"/>
          <w:lang w:val="en-US" w:eastAsia="zh-CN"/>
        </w:rPr>
        <w:t xml:space="preserve">   </w:t>
      </w:r>
    </w:p>
    <w:p>
      <w:pPr>
        <w:pStyle w:val="3"/>
        <w:pageBreakBefore/>
        <w:numPr>
          <w:ilvl w:val="1"/>
          <w:numId w:val="3"/>
        </w:numPr>
        <w:spacing w:before="0" w:after="0" w:line="360" w:lineRule="auto"/>
        <w:ind w:left="0" w:leftChars="0" w:firstLine="402" w:firstLineChars="0"/>
      </w:pPr>
      <w:bookmarkStart w:id="3" w:name="_Toc16908"/>
      <w:bookmarkStart w:id="4" w:name="_Toc444185710"/>
      <w:r>
        <w:rPr>
          <w:rFonts w:hint="eastAsia"/>
        </w:rPr>
        <w:t>公司注册资金总额及基本信息表</w:t>
      </w:r>
      <w:bookmarkEnd w:id="3"/>
      <w:bookmarkEnd w:id="4"/>
    </w:p>
    <w:p>
      <w:pPr>
        <w:spacing w:line="360" w:lineRule="auto"/>
        <w:jc w:val="center"/>
        <w:rPr>
          <w:rFonts w:ascii="Times New Roman" w:hAnsi="Times New Roman" w:eastAsia="宋体" w:cs="Times New Roman"/>
          <w:b/>
          <w:sz w:val="28"/>
          <w:szCs w:val="28"/>
        </w:rPr>
      </w:pPr>
      <w:r>
        <w:rPr>
          <w:rFonts w:hint="eastAsia" w:ascii="Times New Roman" w:hAnsi="Times New Roman" w:eastAsia="宋体" w:cs="Times New Roman"/>
          <w:b/>
          <w:sz w:val="28"/>
          <w:szCs w:val="28"/>
        </w:rPr>
        <w:t>供应商注册资金总额及基本信息表</w:t>
      </w:r>
    </w:p>
    <w:p>
      <w:pPr>
        <w:spacing w:line="360" w:lineRule="auto"/>
        <w:rPr>
          <w:rFonts w:ascii="宋体" w:hAnsi="宋体" w:eastAsia="宋体" w:cs="Times New Roman"/>
          <w:szCs w:val="24"/>
        </w:rPr>
      </w:pPr>
    </w:p>
    <w:tbl>
      <w:tblPr>
        <w:tblStyle w:val="34"/>
        <w:tblW w:w="9267" w:type="dxa"/>
        <w:jc w:val="center"/>
        <w:tblInd w:w="0" w:type="dxa"/>
        <w:tblLayout w:type="fixed"/>
        <w:tblCellMar>
          <w:top w:w="0" w:type="dxa"/>
          <w:left w:w="108" w:type="dxa"/>
          <w:bottom w:w="0" w:type="dxa"/>
          <w:right w:w="108" w:type="dxa"/>
        </w:tblCellMar>
      </w:tblPr>
      <w:tblGrid>
        <w:gridCol w:w="1754"/>
        <w:gridCol w:w="1890"/>
        <w:gridCol w:w="960"/>
        <w:gridCol w:w="225"/>
        <w:gridCol w:w="363"/>
        <w:gridCol w:w="567"/>
        <w:gridCol w:w="345"/>
        <w:gridCol w:w="3163"/>
      </w:tblGrid>
      <w:tr>
        <w:tblPrEx>
          <w:tblLayout w:type="fixed"/>
          <w:tblCellMar>
            <w:top w:w="0" w:type="dxa"/>
            <w:left w:w="108" w:type="dxa"/>
            <w:bottom w:w="0" w:type="dxa"/>
            <w:right w:w="108" w:type="dxa"/>
          </w:tblCellMar>
        </w:tblPrEx>
        <w:trPr>
          <w:trHeight w:val="525" w:hRule="atLeast"/>
          <w:jc w:val="center"/>
        </w:trPr>
        <w:tc>
          <w:tcPr>
            <w:tcW w:w="1754" w:type="dxa"/>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jc w:val="center"/>
              <w:textAlignment w:val="center"/>
              <w:rPr>
                <w:rFonts w:ascii="Times New Roman" w:hAnsi="Times New Roman" w:eastAsia="宋体" w:cs="Times New Roman"/>
                <w:color w:val="000000"/>
                <w:szCs w:val="24"/>
              </w:rPr>
            </w:pPr>
            <w:r>
              <w:rPr>
                <w:rFonts w:ascii="Times New Roman" w:hAnsi="Times New Roman" w:eastAsia="宋体" w:cs="Times New Roman"/>
                <w:color w:val="000000"/>
                <w:szCs w:val="24"/>
              </w:rPr>
              <w:t>供应商名称</w:t>
            </w:r>
          </w:p>
        </w:tc>
        <w:tc>
          <w:tcPr>
            <w:tcW w:w="3075"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jc w:val="center"/>
              <w:textAlignment w:val="center"/>
              <w:rPr>
                <w:rFonts w:ascii="Times New Roman" w:hAnsi="Times New Roman" w:eastAsia="宋体" w:cs="Times New Roman"/>
                <w:color w:val="000000"/>
                <w:szCs w:val="24"/>
              </w:rPr>
            </w:pPr>
            <w:r>
              <w:rPr>
                <w:rFonts w:hint="eastAsia" w:ascii="Times New Roman" w:hAnsi="Times New Roman" w:eastAsia="宋体" w:cs="Times New Roman"/>
                <w:color w:val="000000"/>
                <w:szCs w:val="24"/>
                <w:lang w:val="en-US" w:eastAsia="zh-CN"/>
              </w:rPr>
              <w:t>北京**信息</w:t>
            </w:r>
            <w:r>
              <w:rPr>
                <w:rFonts w:ascii="Times New Roman" w:hAnsi="Times New Roman" w:eastAsia="宋体" w:cs="Times New Roman"/>
                <w:color w:val="000000"/>
                <w:szCs w:val="24"/>
              </w:rPr>
              <w:t>技术有限公司</w:t>
            </w:r>
          </w:p>
        </w:tc>
        <w:tc>
          <w:tcPr>
            <w:tcW w:w="1275"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jc w:val="center"/>
              <w:textAlignment w:val="center"/>
              <w:rPr>
                <w:rFonts w:ascii="Times New Roman" w:hAnsi="Times New Roman" w:eastAsia="宋体" w:cs="Times New Roman"/>
                <w:color w:val="000000"/>
                <w:szCs w:val="24"/>
              </w:rPr>
            </w:pPr>
            <w:r>
              <w:rPr>
                <w:rFonts w:ascii="Times New Roman" w:hAnsi="Times New Roman" w:eastAsia="宋体" w:cs="Times New Roman"/>
                <w:color w:val="000000"/>
                <w:szCs w:val="24"/>
              </w:rPr>
              <w:t>法定代表人</w:t>
            </w:r>
          </w:p>
        </w:tc>
        <w:tc>
          <w:tcPr>
            <w:tcW w:w="3163" w:type="dxa"/>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jc w:val="center"/>
              <w:textAlignment w:val="center"/>
              <w:rPr>
                <w:rFonts w:hint="eastAsia" w:ascii="Times New Roman" w:hAnsi="Times New Roman" w:eastAsia="宋体" w:cs="Times New Roman"/>
                <w:color w:val="000000"/>
                <w:szCs w:val="24"/>
                <w:lang w:eastAsia="zh-CN"/>
              </w:rPr>
            </w:pPr>
            <w:r>
              <w:rPr>
                <w:rFonts w:hint="eastAsia" w:ascii="Times New Roman" w:hAnsi="Times New Roman" w:eastAsia="宋体" w:cs="Times New Roman"/>
                <w:color w:val="000000"/>
                <w:szCs w:val="24"/>
                <w:lang w:val="en-US" w:eastAsia="zh-CN"/>
              </w:rPr>
              <w:t>郭xx</w:t>
            </w:r>
          </w:p>
        </w:tc>
      </w:tr>
      <w:tr>
        <w:tblPrEx>
          <w:tblLayout w:type="fixed"/>
          <w:tblCellMar>
            <w:top w:w="0" w:type="dxa"/>
            <w:left w:w="108" w:type="dxa"/>
            <w:bottom w:w="0" w:type="dxa"/>
            <w:right w:w="108" w:type="dxa"/>
          </w:tblCellMar>
        </w:tblPrEx>
        <w:trPr>
          <w:trHeight w:val="645" w:hRule="atLeast"/>
          <w:jc w:val="center"/>
        </w:trPr>
        <w:tc>
          <w:tcPr>
            <w:tcW w:w="1754" w:type="dxa"/>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jc w:val="center"/>
              <w:textAlignment w:val="center"/>
              <w:rPr>
                <w:rFonts w:hint="eastAsia" w:ascii="Times New Roman" w:hAnsi="Times New Roman" w:eastAsia="宋体" w:cs="Times New Roman"/>
                <w:color w:val="000000"/>
                <w:szCs w:val="24"/>
                <w:lang w:eastAsia="zh-CN"/>
              </w:rPr>
            </w:pPr>
            <w:r>
              <w:rPr>
                <w:rFonts w:hint="eastAsia" w:ascii="Times New Roman" w:hAnsi="Times New Roman" w:eastAsia="宋体" w:cs="Times New Roman"/>
                <w:color w:val="000000"/>
                <w:szCs w:val="24"/>
                <w:lang w:val="en-US" w:eastAsia="zh-CN"/>
              </w:rPr>
              <w:t>统一社会信用代码</w:t>
            </w:r>
          </w:p>
        </w:tc>
        <w:tc>
          <w:tcPr>
            <w:tcW w:w="7513" w:type="dxa"/>
            <w:gridSpan w:val="7"/>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jc w:val="center"/>
              <w:textAlignment w:val="center"/>
              <w:rPr>
                <w:rFonts w:ascii="Times New Roman" w:hAnsi="Times New Roman" w:eastAsia="宋体" w:cs="Times New Roman"/>
                <w:color w:val="000000"/>
                <w:szCs w:val="24"/>
              </w:rPr>
            </w:pPr>
            <w:r>
              <w:rPr>
                <w:rFonts w:hint="eastAsia" w:ascii="Times New Roman" w:hAnsi="Times New Roman" w:eastAsia="宋体" w:cs="Times New Roman"/>
                <w:color w:val="000000"/>
                <w:szCs w:val="24"/>
                <w:lang w:val="en-US" w:eastAsia="zh-CN"/>
              </w:rPr>
              <w:t>adsf</w:t>
            </w:r>
          </w:p>
        </w:tc>
      </w:tr>
      <w:tr>
        <w:tblPrEx>
          <w:tblLayout w:type="fixed"/>
          <w:tblCellMar>
            <w:top w:w="0" w:type="dxa"/>
            <w:left w:w="108" w:type="dxa"/>
            <w:bottom w:w="0" w:type="dxa"/>
            <w:right w:w="108" w:type="dxa"/>
          </w:tblCellMar>
        </w:tblPrEx>
        <w:trPr>
          <w:trHeight w:val="645" w:hRule="atLeast"/>
          <w:jc w:val="center"/>
        </w:trPr>
        <w:tc>
          <w:tcPr>
            <w:tcW w:w="1754" w:type="dxa"/>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jc w:val="center"/>
              <w:textAlignment w:val="center"/>
              <w:rPr>
                <w:rFonts w:ascii="Times New Roman" w:hAnsi="Times New Roman" w:eastAsia="宋体" w:cs="Times New Roman"/>
                <w:color w:val="000000"/>
                <w:szCs w:val="24"/>
              </w:rPr>
            </w:pPr>
            <w:r>
              <w:rPr>
                <w:rFonts w:ascii="Times New Roman" w:hAnsi="Times New Roman" w:eastAsia="宋体" w:cs="Times New Roman"/>
                <w:color w:val="000000"/>
                <w:szCs w:val="24"/>
              </w:rPr>
              <w:t>注册资本</w:t>
            </w:r>
          </w:p>
        </w:tc>
        <w:tc>
          <w:tcPr>
            <w:tcW w:w="3075" w:type="dxa"/>
            <w:gridSpan w:val="3"/>
            <w:tcBorders>
              <w:top w:val="single" w:color="000000" w:sz="4" w:space="0"/>
              <w:left w:val="single" w:color="000000" w:sz="4" w:space="0"/>
              <w:bottom w:val="single" w:color="000000" w:sz="4" w:space="0"/>
            </w:tcBorders>
            <w:vAlign w:val="center"/>
          </w:tcPr>
          <w:p>
            <w:pPr>
              <w:autoSpaceDN w:val="0"/>
              <w:spacing w:line="360" w:lineRule="auto"/>
              <w:jc w:val="center"/>
              <w:textAlignment w:val="center"/>
              <w:rPr>
                <w:rFonts w:ascii="Times New Roman" w:hAnsi="Times New Roman" w:eastAsia="宋体" w:cs="Times New Roman"/>
                <w:color w:val="000000"/>
                <w:szCs w:val="24"/>
              </w:rPr>
            </w:pPr>
            <w:r>
              <w:rPr>
                <w:rFonts w:hint="eastAsia" w:ascii="Times New Roman" w:hAnsi="Times New Roman" w:eastAsia="宋体" w:cs="Times New Roman"/>
                <w:color w:val="000000"/>
                <w:szCs w:val="24"/>
                <w:lang w:val="en-US" w:eastAsia="zh-CN"/>
              </w:rPr>
              <w:t>2000</w:t>
            </w:r>
            <w:r>
              <w:rPr>
                <w:rFonts w:hint="eastAsia" w:ascii="Times New Roman" w:hAnsi="Times New Roman" w:eastAsia="宋体" w:cs="Times New Roman"/>
                <w:color w:val="000000"/>
                <w:szCs w:val="24"/>
              </w:rPr>
              <w:t>万元</w:t>
            </w:r>
          </w:p>
        </w:tc>
        <w:tc>
          <w:tcPr>
            <w:tcW w:w="1275"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jc w:val="center"/>
              <w:textAlignment w:val="center"/>
              <w:rPr>
                <w:rFonts w:ascii="Times New Roman" w:hAnsi="Times New Roman" w:eastAsia="宋体" w:cs="Times New Roman"/>
                <w:color w:val="000000"/>
                <w:szCs w:val="24"/>
              </w:rPr>
            </w:pPr>
            <w:r>
              <w:rPr>
                <w:rFonts w:ascii="Times New Roman" w:hAnsi="Times New Roman" w:eastAsia="宋体" w:cs="Times New Roman"/>
                <w:color w:val="000000"/>
                <w:szCs w:val="24"/>
              </w:rPr>
              <w:t>注册币种</w:t>
            </w:r>
          </w:p>
        </w:tc>
        <w:tc>
          <w:tcPr>
            <w:tcW w:w="3163" w:type="dxa"/>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jc w:val="center"/>
              <w:textAlignment w:val="center"/>
              <w:rPr>
                <w:rFonts w:ascii="Times New Roman" w:hAnsi="Times New Roman" w:eastAsia="宋体" w:cs="Times New Roman"/>
                <w:color w:val="000000"/>
                <w:szCs w:val="24"/>
              </w:rPr>
            </w:pPr>
            <w:r>
              <w:rPr>
                <w:rFonts w:ascii="Times New Roman" w:hAnsi="Times New Roman" w:eastAsia="宋体" w:cs="Times New Roman"/>
                <w:color w:val="000000"/>
                <w:szCs w:val="24"/>
              </w:rPr>
              <w:t>人民币</w:t>
            </w:r>
          </w:p>
        </w:tc>
      </w:tr>
      <w:tr>
        <w:tblPrEx>
          <w:tblLayout w:type="fixed"/>
          <w:tblCellMar>
            <w:top w:w="0" w:type="dxa"/>
            <w:left w:w="108" w:type="dxa"/>
            <w:bottom w:w="0" w:type="dxa"/>
            <w:right w:w="108" w:type="dxa"/>
          </w:tblCellMar>
        </w:tblPrEx>
        <w:trPr>
          <w:trHeight w:val="555" w:hRule="atLeast"/>
          <w:jc w:val="center"/>
        </w:trPr>
        <w:tc>
          <w:tcPr>
            <w:tcW w:w="1754" w:type="dxa"/>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jc w:val="center"/>
              <w:textAlignment w:val="center"/>
              <w:rPr>
                <w:rFonts w:ascii="Times New Roman" w:hAnsi="Times New Roman" w:eastAsia="宋体" w:cs="Times New Roman"/>
                <w:color w:val="000000"/>
                <w:szCs w:val="24"/>
              </w:rPr>
            </w:pPr>
            <w:r>
              <w:rPr>
                <w:rFonts w:ascii="Times New Roman" w:hAnsi="Times New Roman" w:eastAsia="宋体" w:cs="Times New Roman"/>
                <w:color w:val="000000"/>
                <w:szCs w:val="24"/>
              </w:rPr>
              <w:t>成立日期</w:t>
            </w:r>
          </w:p>
        </w:tc>
        <w:tc>
          <w:tcPr>
            <w:tcW w:w="3075"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jc w:val="center"/>
              <w:textAlignment w:val="center"/>
              <w:rPr>
                <w:rFonts w:ascii="Times New Roman" w:hAnsi="Times New Roman" w:eastAsia="宋体" w:cs="Times New Roman"/>
                <w:color w:val="000000"/>
                <w:szCs w:val="24"/>
              </w:rPr>
            </w:pPr>
            <w:r>
              <w:rPr>
                <w:rFonts w:hint="eastAsia" w:ascii="Times New Roman" w:hAnsi="Times New Roman" w:eastAsia="宋体" w:cs="Times New Roman"/>
                <w:color w:val="000000"/>
                <w:szCs w:val="24"/>
              </w:rPr>
              <w:t>201</w:t>
            </w:r>
            <w:r>
              <w:rPr>
                <w:rFonts w:hint="eastAsia" w:ascii="Times New Roman" w:hAnsi="Times New Roman" w:eastAsia="宋体" w:cs="Times New Roman"/>
                <w:color w:val="000000"/>
                <w:szCs w:val="24"/>
                <w:lang w:val="en-US" w:eastAsia="zh-CN"/>
              </w:rPr>
              <w:t>6</w:t>
            </w:r>
            <w:r>
              <w:rPr>
                <w:rFonts w:hint="eastAsia" w:ascii="Times New Roman" w:hAnsi="Times New Roman" w:eastAsia="宋体" w:cs="Times New Roman"/>
                <w:color w:val="000000"/>
                <w:szCs w:val="24"/>
              </w:rPr>
              <w:t>年</w:t>
            </w:r>
            <w:r>
              <w:rPr>
                <w:rFonts w:hint="eastAsia" w:ascii="Times New Roman" w:hAnsi="Times New Roman" w:eastAsia="宋体" w:cs="Times New Roman"/>
                <w:color w:val="000000"/>
                <w:szCs w:val="24"/>
                <w:lang w:val="en-US" w:eastAsia="zh-CN"/>
              </w:rPr>
              <w:t>03</w:t>
            </w:r>
            <w:r>
              <w:rPr>
                <w:rFonts w:hint="eastAsia" w:ascii="Times New Roman" w:hAnsi="Times New Roman" w:eastAsia="宋体" w:cs="Times New Roman"/>
                <w:color w:val="000000"/>
                <w:szCs w:val="24"/>
              </w:rPr>
              <w:t>月</w:t>
            </w:r>
            <w:r>
              <w:rPr>
                <w:rFonts w:hint="eastAsia" w:ascii="Times New Roman" w:hAnsi="Times New Roman" w:eastAsia="宋体" w:cs="Times New Roman"/>
                <w:color w:val="000000"/>
                <w:szCs w:val="24"/>
                <w:lang w:val="en-US" w:eastAsia="zh-CN"/>
              </w:rPr>
              <w:t>11</w:t>
            </w:r>
            <w:r>
              <w:rPr>
                <w:rFonts w:hint="eastAsia" w:ascii="Times New Roman" w:hAnsi="Times New Roman" w:eastAsia="宋体" w:cs="Times New Roman"/>
                <w:color w:val="000000"/>
                <w:szCs w:val="24"/>
              </w:rPr>
              <w:t>日</w:t>
            </w:r>
          </w:p>
        </w:tc>
        <w:tc>
          <w:tcPr>
            <w:tcW w:w="1275"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jc w:val="center"/>
              <w:textAlignment w:val="center"/>
              <w:rPr>
                <w:rFonts w:ascii="Times New Roman" w:hAnsi="Times New Roman" w:eastAsia="宋体" w:cs="Times New Roman"/>
                <w:color w:val="000000"/>
                <w:szCs w:val="24"/>
              </w:rPr>
            </w:pPr>
            <w:r>
              <w:rPr>
                <w:rFonts w:ascii="Times New Roman" w:hAnsi="Times New Roman" w:eastAsia="宋体" w:cs="Times New Roman"/>
                <w:color w:val="000000"/>
                <w:szCs w:val="24"/>
              </w:rPr>
              <w:t>公司类型</w:t>
            </w:r>
          </w:p>
        </w:tc>
        <w:tc>
          <w:tcPr>
            <w:tcW w:w="3163" w:type="dxa"/>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jc w:val="center"/>
              <w:textAlignment w:val="center"/>
              <w:rPr>
                <w:rFonts w:ascii="Times New Roman" w:hAnsi="Times New Roman" w:eastAsia="宋体" w:cs="Times New Roman"/>
                <w:color w:val="000000"/>
                <w:szCs w:val="24"/>
              </w:rPr>
            </w:pPr>
            <w:r>
              <w:rPr>
                <w:rFonts w:hint="eastAsia" w:ascii="Times New Roman" w:hAnsi="Times New Roman" w:eastAsia="宋体" w:cs="Times New Roman"/>
                <w:color w:val="000000"/>
                <w:szCs w:val="24"/>
                <w:lang w:val="en-US" w:eastAsia="zh-CN"/>
              </w:rPr>
              <w:t>其他</w:t>
            </w:r>
            <w:r>
              <w:rPr>
                <w:rFonts w:hint="eastAsia" w:ascii="Times New Roman" w:hAnsi="Times New Roman" w:eastAsia="宋体" w:cs="Times New Roman"/>
                <w:color w:val="000000"/>
                <w:szCs w:val="24"/>
              </w:rPr>
              <w:t>有限责任公司</w:t>
            </w:r>
            <w:r>
              <w:rPr>
                <w:rFonts w:ascii="Times New Roman" w:hAnsi="Times New Roman" w:eastAsia="宋体" w:cs="Times New Roman"/>
                <w:color w:val="000000"/>
                <w:szCs w:val="24"/>
              </w:rPr>
              <w:t xml:space="preserve"> </w:t>
            </w:r>
          </w:p>
        </w:tc>
      </w:tr>
      <w:tr>
        <w:tblPrEx>
          <w:tblLayout w:type="fixed"/>
          <w:tblCellMar>
            <w:top w:w="0" w:type="dxa"/>
            <w:left w:w="108" w:type="dxa"/>
            <w:bottom w:w="0" w:type="dxa"/>
            <w:right w:w="108" w:type="dxa"/>
          </w:tblCellMar>
        </w:tblPrEx>
        <w:trPr>
          <w:trHeight w:val="585" w:hRule="atLeast"/>
          <w:jc w:val="center"/>
        </w:trPr>
        <w:tc>
          <w:tcPr>
            <w:tcW w:w="1754" w:type="dxa"/>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jc w:val="center"/>
              <w:textAlignment w:val="center"/>
              <w:rPr>
                <w:rFonts w:ascii="Times New Roman" w:hAnsi="Times New Roman" w:eastAsia="宋体" w:cs="Times New Roman"/>
                <w:color w:val="000000"/>
                <w:szCs w:val="24"/>
              </w:rPr>
            </w:pPr>
            <w:r>
              <w:rPr>
                <w:rFonts w:ascii="Times New Roman" w:hAnsi="Times New Roman" w:eastAsia="宋体" w:cs="Times New Roman"/>
                <w:color w:val="000000"/>
                <w:szCs w:val="24"/>
              </w:rPr>
              <w:t>地址</w:t>
            </w:r>
          </w:p>
        </w:tc>
        <w:tc>
          <w:tcPr>
            <w:tcW w:w="7513" w:type="dxa"/>
            <w:gridSpan w:val="7"/>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jc w:val="center"/>
              <w:textAlignment w:val="center"/>
              <w:rPr>
                <w:rFonts w:ascii="Times New Roman" w:hAnsi="Times New Roman" w:eastAsia="宋体" w:cs="Times New Roman"/>
                <w:color w:val="000000"/>
                <w:szCs w:val="24"/>
              </w:rPr>
            </w:pPr>
            <w:r>
              <w:rPr>
                <w:rFonts w:hint="eastAsia" w:ascii="Times New Roman" w:hAnsi="Times New Roman" w:eastAsia="宋体" w:cs="Times New Roman"/>
                <w:color w:val="000000"/>
                <w:szCs w:val="24"/>
              </w:rPr>
              <w:t>北京市海淀区</w:t>
            </w:r>
            <w:r>
              <w:rPr>
                <w:rFonts w:hint="eastAsia" w:ascii="Times New Roman" w:hAnsi="Times New Roman" w:eastAsia="宋体" w:cs="Times New Roman"/>
                <w:color w:val="000000"/>
                <w:szCs w:val="24"/>
                <w:lang w:val="en-US" w:eastAsia="zh-CN"/>
              </w:rPr>
              <w:t>xxxxxx路15号6层601</w:t>
            </w:r>
          </w:p>
        </w:tc>
      </w:tr>
      <w:tr>
        <w:tblPrEx>
          <w:tblLayout w:type="fixed"/>
          <w:tblCellMar>
            <w:top w:w="0" w:type="dxa"/>
            <w:left w:w="108" w:type="dxa"/>
            <w:bottom w:w="0" w:type="dxa"/>
            <w:right w:w="108" w:type="dxa"/>
          </w:tblCellMar>
        </w:tblPrEx>
        <w:trPr>
          <w:trHeight w:val="585" w:hRule="atLeast"/>
          <w:jc w:val="center"/>
        </w:trPr>
        <w:tc>
          <w:tcPr>
            <w:tcW w:w="1754" w:type="dxa"/>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jc w:val="center"/>
              <w:textAlignment w:val="center"/>
              <w:rPr>
                <w:rFonts w:ascii="Times New Roman" w:hAnsi="Times New Roman" w:eastAsia="宋体" w:cs="Times New Roman"/>
                <w:color w:val="000000"/>
                <w:szCs w:val="24"/>
              </w:rPr>
            </w:pPr>
            <w:r>
              <w:rPr>
                <w:rFonts w:ascii="Times New Roman" w:hAnsi="Times New Roman" w:eastAsia="宋体" w:cs="Times New Roman"/>
                <w:color w:val="000000"/>
                <w:szCs w:val="24"/>
              </w:rPr>
              <w:t>邮政编码</w:t>
            </w:r>
          </w:p>
        </w:tc>
        <w:tc>
          <w:tcPr>
            <w:tcW w:w="2850"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jc w:val="center"/>
              <w:textAlignment w:val="center"/>
              <w:rPr>
                <w:rFonts w:hint="eastAsia" w:ascii="Times New Roman" w:hAnsi="Times New Roman" w:eastAsia="宋体" w:cs="Times New Roman"/>
                <w:color w:val="000000"/>
                <w:szCs w:val="24"/>
                <w:lang w:val="en-US" w:eastAsia="zh-CN"/>
              </w:rPr>
            </w:pPr>
            <w:r>
              <w:rPr>
                <w:rFonts w:hint="eastAsia" w:ascii="Times New Roman" w:hAnsi="Times New Roman" w:eastAsia="宋体" w:cs="Times New Roman"/>
                <w:color w:val="000000"/>
                <w:szCs w:val="24"/>
                <w:lang w:val="en-US" w:eastAsia="zh-CN"/>
              </w:rPr>
              <w:t>100089</w:t>
            </w:r>
          </w:p>
        </w:tc>
        <w:tc>
          <w:tcPr>
            <w:tcW w:w="1155"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jc w:val="center"/>
              <w:textAlignment w:val="center"/>
              <w:rPr>
                <w:rFonts w:ascii="Times New Roman" w:hAnsi="Times New Roman" w:eastAsia="宋体" w:cs="Times New Roman"/>
                <w:color w:val="000000"/>
                <w:szCs w:val="24"/>
              </w:rPr>
            </w:pPr>
            <w:r>
              <w:rPr>
                <w:rFonts w:ascii="Times New Roman" w:hAnsi="Times New Roman" w:eastAsia="宋体" w:cs="Times New Roman"/>
                <w:color w:val="000000"/>
                <w:szCs w:val="24"/>
              </w:rPr>
              <w:t>员工人数</w:t>
            </w:r>
          </w:p>
        </w:tc>
        <w:tc>
          <w:tcPr>
            <w:tcW w:w="3508"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jc w:val="center"/>
              <w:textAlignment w:val="center"/>
              <w:rPr>
                <w:rFonts w:hint="eastAsia" w:ascii="Times New Roman" w:hAnsi="Times New Roman" w:eastAsia="宋体" w:cs="Times New Roman"/>
                <w:color w:val="000000"/>
                <w:szCs w:val="24"/>
                <w:lang w:val="en-US" w:eastAsia="zh-CN"/>
              </w:rPr>
            </w:pPr>
            <w:r>
              <w:rPr>
                <w:rFonts w:hint="eastAsia" w:ascii="Times New Roman" w:hAnsi="Times New Roman" w:eastAsia="宋体" w:cs="Times New Roman"/>
                <w:color w:val="000000"/>
                <w:szCs w:val="24"/>
                <w:lang w:val="en-US" w:eastAsia="zh-CN"/>
              </w:rPr>
              <w:t>105</w:t>
            </w:r>
          </w:p>
        </w:tc>
      </w:tr>
      <w:tr>
        <w:tblPrEx>
          <w:tblLayout w:type="fixed"/>
          <w:tblCellMar>
            <w:top w:w="0" w:type="dxa"/>
            <w:left w:w="108" w:type="dxa"/>
            <w:bottom w:w="0" w:type="dxa"/>
            <w:right w:w="108" w:type="dxa"/>
          </w:tblCellMar>
        </w:tblPrEx>
        <w:trPr>
          <w:trHeight w:val="585" w:hRule="atLeast"/>
          <w:jc w:val="center"/>
        </w:trPr>
        <w:tc>
          <w:tcPr>
            <w:tcW w:w="1754" w:type="dxa"/>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jc w:val="center"/>
              <w:textAlignment w:val="center"/>
              <w:rPr>
                <w:rFonts w:ascii="Times New Roman" w:hAnsi="Times New Roman" w:eastAsia="宋体" w:cs="Times New Roman"/>
                <w:color w:val="000000"/>
                <w:szCs w:val="24"/>
              </w:rPr>
            </w:pPr>
            <w:r>
              <w:rPr>
                <w:rFonts w:ascii="Times New Roman" w:hAnsi="Times New Roman" w:eastAsia="宋体" w:cs="Times New Roman"/>
                <w:color w:val="000000"/>
                <w:szCs w:val="24"/>
              </w:rPr>
              <w:t>电话</w:t>
            </w:r>
          </w:p>
          <w:p>
            <w:pPr>
              <w:autoSpaceDN w:val="0"/>
              <w:spacing w:line="360" w:lineRule="auto"/>
              <w:jc w:val="center"/>
              <w:textAlignment w:val="center"/>
              <w:rPr>
                <w:rFonts w:ascii="Times New Roman" w:hAnsi="Times New Roman" w:eastAsia="宋体" w:cs="Times New Roman"/>
                <w:color w:val="000000"/>
                <w:szCs w:val="24"/>
              </w:rPr>
            </w:pPr>
            <w:r>
              <w:rPr>
                <w:rFonts w:ascii="Times New Roman" w:hAnsi="Times New Roman" w:eastAsia="宋体" w:cs="Times New Roman"/>
                <w:color w:val="000000"/>
                <w:szCs w:val="24"/>
              </w:rPr>
              <w:t>（含区号）</w:t>
            </w:r>
          </w:p>
        </w:tc>
        <w:tc>
          <w:tcPr>
            <w:tcW w:w="2850"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jc w:val="center"/>
              <w:textAlignment w:val="center"/>
              <w:rPr>
                <w:rFonts w:hint="eastAsia" w:ascii="Times New Roman" w:hAnsi="Times New Roman" w:eastAsia="宋体" w:cs="Times New Roman"/>
                <w:color w:val="000000"/>
                <w:szCs w:val="24"/>
                <w:lang w:val="en-US" w:eastAsia="zh-CN"/>
              </w:rPr>
            </w:pPr>
            <w:r>
              <w:rPr>
                <w:rFonts w:hint="eastAsia" w:ascii="Times New Roman" w:hAnsi="Times New Roman" w:eastAsia="宋体" w:cs="Times New Roman"/>
                <w:color w:val="000000"/>
                <w:szCs w:val="24"/>
                <w:lang w:val="en-US" w:eastAsia="zh-CN"/>
              </w:rPr>
              <w:t>0</w:t>
            </w:r>
          </w:p>
        </w:tc>
        <w:tc>
          <w:tcPr>
            <w:tcW w:w="1155"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jc w:val="center"/>
              <w:textAlignment w:val="center"/>
              <w:rPr>
                <w:rFonts w:ascii="Times New Roman" w:hAnsi="Times New Roman" w:eastAsia="宋体" w:cs="Times New Roman"/>
                <w:color w:val="000000"/>
                <w:szCs w:val="24"/>
              </w:rPr>
            </w:pPr>
            <w:r>
              <w:rPr>
                <w:rFonts w:ascii="Times New Roman" w:hAnsi="Times New Roman" w:eastAsia="宋体" w:cs="Times New Roman"/>
                <w:color w:val="000000"/>
                <w:szCs w:val="24"/>
              </w:rPr>
              <w:t>传真</w:t>
            </w:r>
          </w:p>
        </w:tc>
        <w:tc>
          <w:tcPr>
            <w:tcW w:w="3508"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jc w:val="center"/>
              <w:textAlignment w:val="center"/>
              <w:rPr>
                <w:rFonts w:hint="eastAsia" w:ascii="Times New Roman" w:hAnsi="Times New Roman" w:eastAsia="宋体" w:cs="Times New Roman"/>
                <w:color w:val="000000"/>
                <w:szCs w:val="24"/>
                <w:lang w:val="en-US" w:eastAsia="zh-CN"/>
              </w:rPr>
            </w:pPr>
            <w:r>
              <w:rPr>
                <w:rFonts w:hint="eastAsia" w:ascii="Times New Roman" w:hAnsi="Times New Roman" w:eastAsia="宋体" w:cs="Times New Roman"/>
                <w:color w:val="000000"/>
                <w:szCs w:val="24"/>
                <w:lang w:val="en-US" w:eastAsia="zh-CN"/>
              </w:rPr>
              <w:t>0</w:t>
            </w:r>
          </w:p>
        </w:tc>
      </w:tr>
      <w:tr>
        <w:tblPrEx>
          <w:tblLayout w:type="fixed"/>
          <w:tblCellMar>
            <w:top w:w="0" w:type="dxa"/>
            <w:left w:w="108" w:type="dxa"/>
            <w:bottom w:w="0" w:type="dxa"/>
            <w:right w:w="108" w:type="dxa"/>
          </w:tblCellMar>
        </w:tblPrEx>
        <w:trPr>
          <w:trHeight w:val="585" w:hRule="atLeast"/>
          <w:jc w:val="center"/>
        </w:trPr>
        <w:tc>
          <w:tcPr>
            <w:tcW w:w="1754" w:type="dxa"/>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jc w:val="center"/>
              <w:textAlignment w:val="center"/>
              <w:rPr>
                <w:rFonts w:ascii="Times New Roman" w:hAnsi="Times New Roman" w:eastAsia="宋体" w:cs="Times New Roman"/>
                <w:color w:val="000000"/>
                <w:szCs w:val="24"/>
              </w:rPr>
            </w:pPr>
            <w:r>
              <w:rPr>
                <w:rFonts w:hint="eastAsia" w:ascii="Times New Roman" w:hAnsi="Times New Roman" w:eastAsia="宋体" w:cs="Times New Roman"/>
                <w:color w:val="000000"/>
                <w:szCs w:val="24"/>
              </w:rPr>
              <w:t>网址</w:t>
            </w:r>
          </w:p>
        </w:tc>
        <w:tc>
          <w:tcPr>
            <w:tcW w:w="2850"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jc w:val="center"/>
              <w:textAlignment w:val="center"/>
              <w:rPr>
                <w:rFonts w:ascii="Times New Roman" w:hAnsi="Times New Roman" w:eastAsia="宋体" w:cs="Times New Roman"/>
                <w:color w:val="000000"/>
                <w:szCs w:val="24"/>
              </w:rPr>
            </w:pPr>
            <w:r>
              <w:rPr>
                <w:rFonts w:hint="eastAsia" w:ascii="Times New Roman" w:hAnsi="Times New Roman" w:eastAsia="宋体" w:cs="Times New Roman"/>
                <w:color w:val="000000"/>
                <w:szCs w:val="24"/>
              </w:rPr>
              <w:t>http://www.</w:t>
            </w:r>
            <w:r>
              <w:rPr>
                <w:rFonts w:hint="eastAsia" w:ascii="Times New Roman" w:hAnsi="Times New Roman" w:eastAsia="宋体" w:cs="Times New Roman"/>
                <w:color w:val="000000"/>
                <w:szCs w:val="24"/>
                <w:lang w:val="en-US" w:eastAsia="zh-CN"/>
              </w:rPr>
              <w:t>xxxxxx</w:t>
            </w:r>
            <w:r>
              <w:rPr>
                <w:rFonts w:hint="eastAsia" w:ascii="Times New Roman" w:hAnsi="Times New Roman" w:eastAsia="宋体" w:cs="Times New Roman"/>
                <w:color w:val="000000"/>
                <w:szCs w:val="24"/>
              </w:rPr>
              <w:t>.com</w:t>
            </w:r>
          </w:p>
        </w:tc>
        <w:tc>
          <w:tcPr>
            <w:tcW w:w="1155"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jc w:val="center"/>
              <w:textAlignment w:val="center"/>
              <w:rPr>
                <w:rFonts w:ascii="Times New Roman" w:hAnsi="Times New Roman" w:eastAsia="宋体" w:cs="Times New Roman"/>
                <w:color w:val="000000"/>
                <w:szCs w:val="24"/>
              </w:rPr>
            </w:pPr>
            <w:r>
              <w:rPr>
                <w:rFonts w:ascii="Times New Roman" w:hAnsi="Times New Roman" w:eastAsia="宋体" w:cs="Times New Roman"/>
                <w:color w:val="000000"/>
                <w:szCs w:val="24"/>
              </w:rPr>
              <w:t>电子邮箱</w:t>
            </w:r>
          </w:p>
        </w:tc>
        <w:tc>
          <w:tcPr>
            <w:tcW w:w="3508"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textAlignment w:val="center"/>
              <w:rPr>
                <w:rFonts w:ascii="Times New Roman" w:hAnsi="Times New Roman" w:eastAsia="宋体" w:cs="Times New Roman"/>
                <w:color w:val="000000"/>
                <w:szCs w:val="24"/>
              </w:rPr>
            </w:pPr>
            <w:r>
              <w:rPr>
                <w:rFonts w:ascii="宋体" w:hAnsi="宋体" w:eastAsia="宋体" w:cs="宋体"/>
                <w:sz w:val="24"/>
                <w:szCs w:val="24"/>
              </w:rPr>
              <w:t>email_server@</w:t>
            </w:r>
            <w:r>
              <w:rPr>
                <w:rFonts w:hint="eastAsia" w:ascii="宋体" w:hAnsi="宋体" w:eastAsia="宋体" w:cs="宋体"/>
                <w:sz w:val="24"/>
                <w:szCs w:val="24"/>
                <w:lang w:eastAsia="zh-CN"/>
              </w:rPr>
              <w:t>xxxxxx</w:t>
            </w:r>
            <w:r>
              <w:rPr>
                <w:rFonts w:ascii="宋体" w:hAnsi="宋体" w:eastAsia="宋体" w:cs="宋体"/>
                <w:sz w:val="24"/>
                <w:szCs w:val="24"/>
              </w:rPr>
              <w:t>.com</w:t>
            </w:r>
          </w:p>
        </w:tc>
      </w:tr>
      <w:tr>
        <w:tblPrEx>
          <w:tblLayout w:type="fixed"/>
          <w:tblCellMar>
            <w:top w:w="0" w:type="dxa"/>
            <w:left w:w="108" w:type="dxa"/>
            <w:bottom w:w="0" w:type="dxa"/>
            <w:right w:w="108" w:type="dxa"/>
          </w:tblCellMar>
        </w:tblPrEx>
        <w:trPr>
          <w:trHeight w:val="690" w:hRule="atLeast"/>
          <w:jc w:val="center"/>
        </w:trPr>
        <w:tc>
          <w:tcPr>
            <w:tcW w:w="1754" w:type="dxa"/>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jc w:val="center"/>
              <w:textAlignment w:val="center"/>
              <w:rPr>
                <w:rFonts w:ascii="Times New Roman" w:hAnsi="Times New Roman" w:eastAsia="宋体" w:cs="Times New Roman"/>
                <w:color w:val="000000"/>
                <w:szCs w:val="24"/>
              </w:rPr>
            </w:pPr>
            <w:r>
              <w:rPr>
                <w:rFonts w:ascii="Times New Roman" w:hAnsi="Times New Roman" w:eastAsia="宋体" w:cs="Times New Roman"/>
                <w:color w:val="000000"/>
                <w:szCs w:val="24"/>
              </w:rPr>
              <w:t>联系人及电话</w:t>
            </w:r>
          </w:p>
        </w:tc>
        <w:tc>
          <w:tcPr>
            <w:tcW w:w="7513" w:type="dxa"/>
            <w:gridSpan w:val="7"/>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jc w:val="left"/>
              <w:textAlignment w:val="center"/>
              <w:rPr>
                <w:rFonts w:ascii="Times New Roman" w:hAnsi="Times New Roman" w:eastAsia="宋体" w:cs="Times New Roman"/>
                <w:color w:val="000000"/>
                <w:szCs w:val="24"/>
              </w:rPr>
            </w:pPr>
          </w:p>
        </w:tc>
      </w:tr>
      <w:tr>
        <w:tblPrEx>
          <w:tblLayout w:type="fixed"/>
          <w:tblCellMar>
            <w:top w:w="0" w:type="dxa"/>
            <w:left w:w="108" w:type="dxa"/>
            <w:bottom w:w="0" w:type="dxa"/>
            <w:right w:w="108" w:type="dxa"/>
          </w:tblCellMar>
        </w:tblPrEx>
        <w:trPr>
          <w:trHeight w:val="645" w:hRule="atLeast"/>
          <w:jc w:val="center"/>
        </w:trPr>
        <w:tc>
          <w:tcPr>
            <w:tcW w:w="1754" w:type="dxa"/>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jc w:val="center"/>
              <w:textAlignment w:val="center"/>
              <w:rPr>
                <w:rFonts w:ascii="Times New Roman" w:hAnsi="Times New Roman" w:eastAsia="宋体" w:cs="Times New Roman"/>
                <w:color w:val="000000"/>
                <w:szCs w:val="24"/>
              </w:rPr>
            </w:pPr>
            <w:r>
              <w:rPr>
                <w:rFonts w:ascii="Times New Roman" w:hAnsi="Times New Roman" w:eastAsia="宋体" w:cs="Times New Roman"/>
                <w:color w:val="000000"/>
                <w:szCs w:val="24"/>
              </w:rPr>
              <w:t>工商登记经营范围</w:t>
            </w:r>
          </w:p>
        </w:tc>
        <w:tc>
          <w:tcPr>
            <w:tcW w:w="7513" w:type="dxa"/>
            <w:gridSpan w:val="7"/>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jc w:val="left"/>
              <w:textAlignment w:val="center"/>
              <w:rPr>
                <w:rFonts w:ascii="Times New Roman" w:hAnsi="Times New Roman" w:eastAsia="宋体" w:cs="Times New Roman"/>
                <w:color w:val="000000"/>
                <w:szCs w:val="24"/>
              </w:rPr>
            </w:pPr>
            <w:r>
              <w:rPr>
                <w:rFonts w:hint="eastAsia" w:ascii="Times New Roman" w:hAnsi="Times New Roman" w:eastAsia="宋体" w:cs="Times New Roman"/>
                <w:color w:val="000000"/>
                <w:szCs w:val="24"/>
              </w:rPr>
              <w:t>技术开发、技术转让、技术咨询、技术服务；</w:t>
            </w:r>
            <w:r>
              <w:rPr>
                <w:rFonts w:hint="eastAsia" w:ascii="Times New Roman" w:hAnsi="Times New Roman" w:eastAsia="宋体" w:cs="Times New Roman"/>
                <w:color w:val="000000"/>
                <w:szCs w:val="24"/>
                <w:lang w:val="en-US" w:eastAsia="zh-CN"/>
              </w:rPr>
              <w:t>软件开发：数据处理（数据处理中的银行卡中心、PUE值在1.5以上的云计算数据中心除外）；计算机系统服务；财务咨询（不得开展审计、验资、查账、评估、会计咨询、代理记账等需经专项审批的业务，不得出具相应的审计报告、验资报告、查账报告、评估报告等文字材料）；销售计算机、软件及辅助设备。（企业依法自主选择经营项目，开展经营活动；依法须经审批准的项目，经相关部门批准后依批准的内容开展经营活动；不得从事本市产业政策禁止和限制类项目的经营活动。）</w:t>
            </w:r>
          </w:p>
        </w:tc>
      </w:tr>
      <w:tr>
        <w:tblPrEx>
          <w:tblLayout w:type="fixed"/>
          <w:tblCellMar>
            <w:top w:w="0" w:type="dxa"/>
            <w:left w:w="108" w:type="dxa"/>
            <w:bottom w:w="0" w:type="dxa"/>
            <w:right w:w="108" w:type="dxa"/>
          </w:tblCellMar>
        </w:tblPrEx>
        <w:trPr>
          <w:trHeight w:val="645" w:hRule="atLeast"/>
          <w:jc w:val="center"/>
        </w:trPr>
        <w:tc>
          <w:tcPr>
            <w:tcW w:w="1754" w:type="dxa"/>
            <w:tcBorders>
              <w:top w:val="single" w:color="000000" w:sz="4" w:space="0"/>
              <w:left w:val="single" w:color="000000" w:sz="4" w:space="0"/>
              <w:bottom w:val="single" w:color="auto" w:sz="4" w:space="0"/>
              <w:right w:val="single" w:color="000000" w:sz="4" w:space="0"/>
            </w:tcBorders>
            <w:vAlign w:val="center"/>
          </w:tcPr>
          <w:p>
            <w:pPr>
              <w:autoSpaceDN w:val="0"/>
              <w:spacing w:line="360" w:lineRule="auto"/>
              <w:jc w:val="center"/>
              <w:textAlignment w:val="center"/>
              <w:rPr>
                <w:rFonts w:ascii="Times New Roman" w:hAnsi="Times New Roman" w:eastAsia="宋体" w:cs="Times New Roman"/>
                <w:color w:val="000000"/>
                <w:szCs w:val="24"/>
              </w:rPr>
            </w:pPr>
            <w:r>
              <w:rPr>
                <w:rFonts w:ascii="Times New Roman" w:hAnsi="Times New Roman" w:eastAsia="宋体" w:cs="Times New Roman"/>
                <w:color w:val="000000"/>
                <w:szCs w:val="24"/>
              </w:rPr>
              <w:t>工商登记地区</w:t>
            </w:r>
          </w:p>
        </w:tc>
        <w:tc>
          <w:tcPr>
            <w:tcW w:w="1890" w:type="dxa"/>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jc w:val="center"/>
              <w:textAlignment w:val="center"/>
              <w:rPr>
                <w:rFonts w:ascii="Times New Roman" w:hAnsi="Times New Roman" w:eastAsia="宋体" w:cs="Times New Roman"/>
                <w:color w:val="000000"/>
                <w:szCs w:val="24"/>
              </w:rPr>
            </w:pPr>
            <w:r>
              <w:rPr>
                <w:rFonts w:hint="eastAsia" w:ascii="Times New Roman" w:hAnsi="Times New Roman" w:eastAsia="宋体" w:cs="Times New Roman"/>
                <w:color w:val="000000"/>
                <w:szCs w:val="24"/>
              </w:rPr>
              <w:t>北京市</w:t>
            </w:r>
          </w:p>
        </w:tc>
        <w:tc>
          <w:tcPr>
            <w:tcW w:w="1548"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jc w:val="center"/>
              <w:textAlignment w:val="center"/>
              <w:rPr>
                <w:rFonts w:ascii="Times New Roman" w:hAnsi="Times New Roman" w:eastAsia="宋体" w:cs="Times New Roman"/>
                <w:color w:val="000000"/>
                <w:szCs w:val="24"/>
              </w:rPr>
            </w:pPr>
            <w:r>
              <w:rPr>
                <w:rFonts w:ascii="Times New Roman" w:hAnsi="Times New Roman" w:eastAsia="宋体" w:cs="Times New Roman"/>
                <w:color w:val="000000"/>
                <w:szCs w:val="24"/>
              </w:rPr>
              <w:t>结算银行账号</w:t>
            </w:r>
          </w:p>
        </w:tc>
        <w:tc>
          <w:tcPr>
            <w:tcW w:w="4075"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360" w:lineRule="auto"/>
              <w:jc w:val="left"/>
              <w:textAlignment w:val="center"/>
              <w:rPr>
                <w:rFonts w:ascii="Times New Roman" w:hAnsi="Times New Roman" w:eastAsia="宋体" w:cs="Times New Roman"/>
                <w:color w:val="000000"/>
                <w:szCs w:val="24"/>
                <w:lang w:val="en-US"/>
              </w:rPr>
            </w:pPr>
            <w:r>
              <w:rPr>
                <w:rFonts w:hint="eastAsia" w:ascii="Times New Roman" w:hAnsi="Times New Roman" w:eastAsia="宋体" w:cs="Times New Roman"/>
                <w:color w:val="000000"/>
                <w:szCs w:val="24"/>
              </w:rPr>
              <w:t>开户行：中国</w:t>
            </w:r>
            <w:r>
              <w:rPr>
                <w:rFonts w:hint="eastAsia" w:ascii="Times New Roman" w:hAnsi="Times New Roman" w:eastAsia="宋体" w:cs="Times New Roman"/>
                <w:color w:val="000000"/>
                <w:szCs w:val="24"/>
                <w:lang w:val="en-US" w:eastAsia="zh-CN"/>
              </w:rPr>
              <w:t>建设银行股份有限公司北京万泉支行</w:t>
            </w:r>
          </w:p>
          <w:p>
            <w:pPr>
              <w:autoSpaceDN w:val="0"/>
              <w:spacing w:line="360" w:lineRule="auto"/>
              <w:jc w:val="left"/>
              <w:textAlignment w:val="center"/>
              <w:rPr>
                <w:rFonts w:ascii="Times New Roman" w:hAnsi="Times New Roman" w:eastAsia="宋体" w:cs="Times New Roman"/>
                <w:color w:val="000000"/>
                <w:szCs w:val="24"/>
              </w:rPr>
            </w:pPr>
            <w:r>
              <w:rPr>
                <w:rFonts w:hint="eastAsia" w:ascii="Times New Roman" w:hAnsi="Times New Roman" w:eastAsia="宋体" w:cs="Times New Roman"/>
                <w:color w:val="000000"/>
                <w:szCs w:val="24"/>
              </w:rPr>
              <w:t>账号：</w:t>
            </w:r>
          </w:p>
        </w:tc>
      </w:tr>
    </w:tbl>
    <w:p>
      <w:pPr>
        <w:pStyle w:val="3"/>
        <w:numPr>
          <w:ilvl w:val="1"/>
          <w:numId w:val="3"/>
        </w:numPr>
        <w:spacing w:before="0" w:after="0" w:line="360" w:lineRule="auto"/>
        <w:ind w:left="0" w:leftChars="0" w:firstLine="402" w:firstLineChars="0"/>
      </w:pPr>
      <w:bookmarkStart w:id="5" w:name="_Toc7341"/>
      <w:bookmarkStart w:id="6" w:name="_Toc444185711"/>
      <w:r>
        <w:rPr>
          <w:rFonts w:hint="eastAsia"/>
        </w:rPr>
        <w:t>公司资质情况证明</w:t>
      </w:r>
      <w:bookmarkEnd w:id="5"/>
      <w:bookmarkEnd w:id="6"/>
    </w:p>
    <w:p>
      <w:pPr>
        <w:pStyle w:val="4"/>
        <w:numPr>
          <w:ilvl w:val="2"/>
          <w:numId w:val="3"/>
        </w:numPr>
        <w:spacing w:before="0" w:after="0" w:line="360" w:lineRule="auto"/>
        <w:ind w:left="0" w:leftChars="0" w:firstLine="402" w:firstLineChars="0"/>
        <w:jc w:val="left"/>
      </w:pPr>
      <w:bookmarkStart w:id="7" w:name="_Toc16593"/>
      <w:bookmarkStart w:id="8" w:name="_Toc444185712"/>
      <w:r>
        <w:rPr>
          <w:rFonts w:hint="eastAsia"/>
        </w:rPr>
        <w:t>营业执照</w:t>
      </w:r>
      <w:bookmarkEnd w:id="7"/>
      <w:bookmarkEnd w:id="8"/>
    </w:p>
    <w:p/>
    <w:p>
      <w:pPr>
        <w:pStyle w:val="4"/>
        <w:numPr>
          <w:ilvl w:val="2"/>
          <w:numId w:val="3"/>
        </w:numPr>
        <w:spacing w:before="0" w:after="0" w:line="360" w:lineRule="auto"/>
        <w:ind w:left="0" w:leftChars="0" w:firstLine="402" w:firstLineChars="0"/>
        <w:jc w:val="left"/>
      </w:pPr>
      <w:bookmarkStart w:id="9" w:name="_Toc8571"/>
      <w:r>
        <w:rPr>
          <w:rFonts w:hint="eastAsia"/>
        </w:rPr>
        <w:t>机构</w:t>
      </w:r>
      <w:r>
        <w:rPr>
          <w:rFonts w:hint="eastAsia"/>
          <w:lang w:val="en-US" w:eastAsia="zh-CN"/>
        </w:rPr>
        <w:t>信用代</w:t>
      </w:r>
      <w:r>
        <w:rPr>
          <w:rFonts w:hint="eastAsia"/>
        </w:rPr>
        <w:t>码证</w:t>
      </w:r>
      <w:bookmarkEnd w:id="9"/>
    </w:p>
    <w:p>
      <w:pPr>
        <w:rPr>
          <w:rFonts w:hint="eastAsia" w:ascii="仿宋" w:hAnsi="仿宋" w:eastAsia="仿宋"/>
          <w:sz w:val="24"/>
          <w:szCs w:val="24"/>
          <w:lang w:eastAsia="zh-CN"/>
        </w:rPr>
      </w:pPr>
      <w:bookmarkStart w:id="10" w:name="_Toc429379838"/>
      <w:bookmarkStart w:id="11" w:name="_Toc435170897"/>
      <w:bookmarkStart w:id="12" w:name="_Toc444185718"/>
      <w:bookmarkStart w:id="13" w:name="_Toc435178817"/>
      <w:bookmarkStart w:id="14" w:name="_Toc435353301"/>
    </w:p>
    <w:bookmarkEnd w:id="10"/>
    <w:bookmarkEnd w:id="11"/>
    <w:bookmarkEnd w:id="12"/>
    <w:bookmarkEnd w:id="13"/>
    <w:bookmarkEnd w:id="14"/>
    <w:p>
      <w:pPr>
        <w:pStyle w:val="4"/>
        <w:numPr>
          <w:ilvl w:val="2"/>
          <w:numId w:val="3"/>
        </w:numPr>
        <w:spacing w:before="0" w:after="0" w:line="360" w:lineRule="auto"/>
        <w:ind w:left="0" w:leftChars="0" w:firstLine="402" w:firstLineChars="0"/>
        <w:rPr>
          <w:rFonts w:hint="eastAsia"/>
          <w:lang w:val="en-US" w:eastAsia="zh-CN"/>
        </w:rPr>
      </w:pPr>
      <w:bookmarkStart w:id="15" w:name="_Toc7339"/>
      <w:bookmarkStart w:id="16" w:name="_Toc444185715"/>
      <w:r>
        <w:rPr>
          <w:rFonts w:hint="eastAsia"/>
          <w:lang w:val="en-US" w:eastAsia="zh-CN"/>
        </w:rPr>
        <w:t>计算机软件著作权登记证书</w:t>
      </w:r>
      <w:bookmarkEnd w:id="15"/>
      <w:bookmarkEnd w:id="16"/>
    </w:p>
    <w:p/>
    <w:p/>
    <w:p/>
    <w:p/>
    <w:p/>
    <w:p/>
    <w:p/>
    <w:p/>
    <w:p/>
    <w:p/>
    <w:p/>
    <w:p/>
    <w:p/>
    <w:p>
      <w:pPr>
        <w:spacing w:line="360" w:lineRule="auto"/>
        <w:rPr>
          <w:rFonts w:ascii="仿宋" w:hAnsi="仿宋" w:eastAsia="仿宋"/>
          <w:sz w:val="24"/>
          <w:szCs w:val="24"/>
          <w:lang w:bidi="en-US"/>
        </w:rPr>
      </w:pPr>
    </w:p>
    <w:p>
      <w:pPr>
        <w:spacing w:line="360" w:lineRule="auto"/>
      </w:pPr>
    </w:p>
    <w:p>
      <w:pPr>
        <w:spacing w:line="360" w:lineRule="auto"/>
      </w:pPr>
    </w:p>
    <w:p>
      <w:pPr>
        <w:pStyle w:val="4"/>
        <w:pageBreakBefore/>
        <w:numPr>
          <w:ilvl w:val="2"/>
          <w:numId w:val="3"/>
        </w:numPr>
        <w:spacing w:before="0" w:after="0" w:line="360" w:lineRule="auto"/>
        <w:ind w:left="0" w:leftChars="0" w:firstLine="402" w:firstLineChars="0"/>
        <w:rPr>
          <w:lang w:bidi="en-US"/>
        </w:rPr>
      </w:pPr>
      <w:bookmarkStart w:id="17" w:name="_Toc1604"/>
      <w:r>
        <w:rPr>
          <w:rFonts w:hint="eastAsia"/>
          <w:lang w:bidi="en-US"/>
        </w:rPr>
        <w:t>与</w:t>
      </w:r>
      <w:r>
        <w:rPr>
          <w:rFonts w:hint="eastAsia" w:asciiTheme="minorEastAsia" w:hAnsiTheme="minorEastAsia" w:eastAsiaTheme="minorEastAsia" w:cstheme="minorEastAsia"/>
          <w:b/>
          <w:bCs/>
          <w:color w:val="auto"/>
          <w:sz w:val="32"/>
          <w:szCs w:val="32"/>
          <w:shd w:val="clear" w:color="auto" w:fill="auto"/>
        </w:rPr>
        <w:t>北京</w:t>
      </w:r>
      <w:r>
        <w:rPr>
          <w:rFonts w:hint="eastAsia" w:asciiTheme="minorEastAsia" w:hAnsiTheme="minorEastAsia" w:cstheme="minorEastAsia"/>
          <w:b/>
          <w:bCs/>
          <w:color w:val="auto"/>
          <w:sz w:val="32"/>
          <w:szCs w:val="32"/>
          <w:shd w:val="clear" w:color="auto" w:fill="auto"/>
          <w:lang w:eastAsia="zh-CN"/>
        </w:rPr>
        <w:t>***</w:t>
      </w:r>
      <w:r>
        <w:rPr>
          <w:rFonts w:hint="eastAsia" w:asciiTheme="minorEastAsia" w:hAnsiTheme="minorEastAsia" w:eastAsiaTheme="minorEastAsia" w:cstheme="minorEastAsia"/>
          <w:b/>
          <w:bCs/>
          <w:color w:val="auto"/>
          <w:sz w:val="32"/>
          <w:szCs w:val="32"/>
          <w:shd w:val="clear" w:color="auto" w:fill="auto"/>
        </w:rPr>
        <w:t>网络科技股份有限公司</w:t>
      </w:r>
      <w:r>
        <w:rPr>
          <w:rFonts w:hint="eastAsia"/>
          <w:lang w:bidi="en-US"/>
        </w:rPr>
        <w:t>关系说明及项目授权</w:t>
      </w:r>
      <w:bookmarkEnd w:id="17"/>
    </w:p>
    <w:p>
      <w:pPr>
        <w:spacing w:line="360" w:lineRule="auto"/>
        <w:jc w:val="center"/>
        <w:rPr>
          <w:rFonts w:asciiTheme="minorEastAsia" w:hAnsiTheme="minorEastAsia"/>
          <w:b/>
          <w:sz w:val="44"/>
          <w:szCs w:val="44"/>
        </w:rPr>
      </w:pPr>
    </w:p>
    <w:p>
      <w:pPr>
        <w:spacing w:line="360" w:lineRule="auto"/>
        <w:jc w:val="both"/>
        <w:rPr>
          <w:rFonts w:asciiTheme="minorEastAsia" w:hAnsiTheme="minorEastAsia"/>
          <w:b/>
          <w:sz w:val="28"/>
          <w:szCs w:val="28"/>
        </w:rPr>
      </w:pPr>
      <w:r>
        <w:rPr>
          <w:rFonts w:hint="eastAsia" w:asciiTheme="minorEastAsia" w:hAnsiTheme="minorEastAsia"/>
          <w:b/>
          <w:sz w:val="44"/>
          <w:szCs w:val="44"/>
          <w:lang w:val="en-US" w:eastAsia="zh-CN"/>
        </w:rPr>
        <w:t xml:space="preserve"> </w:t>
      </w:r>
      <w:r>
        <w:rPr>
          <w:rFonts w:hint="eastAsia" w:asciiTheme="minorEastAsia" w:hAnsiTheme="minorEastAsia"/>
          <w:b/>
          <w:sz w:val="28"/>
          <w:szCs w:val="28"/>
          <w:lang w:val="en-US" w:eastAsia="zh-CN"/>
        </w:rPr>
        <w:t>北京***网络科技股份</w:t>
      </w:r>
      <w:r>
        <w:rPr>
          <w:rFonts w:hint="eastAsia" w:asciiTheme="minorEastAsia" w:hAnsiTheme="minorEastAsia"/>
          <w:b/>
          <w:sz w:val="28"/>
          <w:szCs w:val="28"/>
        </w:rPr>
        <w:t>有限公司与</w:t>
      </w:r>
      <w:r>
        <w:rPr>
          <w:rFonts w:hint="eastAsia" w:asciiTheme="minorEastAsia" w:hAnsiTheme="minorEastAsia"/>
          <w:b/>
          <w:sz w:val="28"/>
          <w:szCs w:val="28"/>
          <w:lang w:val="en-US" w:eastAsia="zh-CN"/>
        </w:rPr>
        <w:t>北京**信息</w:t>
      </w:r>
      <w:r>
        <w:rPr>
          <w:rFonts w:hint="eastAsia" w:asciiTheme="minorEastAsia" w:hAnsiTheme="minorEastAsia"/>
          <w:b/>
          <w:sz w:val="28"/>
          <w:szCs w:val="28"/>
        </w:rPr>
        <w:t>技术有限公司关系说明及项目授权</w:t>
      </w:r>
    </w:p>
    <w:p>
      <w:pPr>
        <w:spacing w:line="360" w:lineRule="auto"/>
        <w:ind w:firstLine="472" w:firstLineChars="196"/>
        <w:jc w:val="left"/>
        <w:rPr>
          <w:rFonts w:asciiTheme="minorEastAsia" w:hAnsiTheme="minorEastAsia"/>
          <w:b/>
          <w:sz w:val="24"/>
          <w:szCs w:val="24"/>
        </w:rPr>
      </w:pPr>
    </w:p>
    <w:p>
      <w:pPr>
        <w:spacing w:line="360" w:lineRule="auto"/>
        <w:ind w:firstLine="470" w:firstLineChars="196"/>
        <w:jc w:val="left"/>
        <w:rPr>
          <w:rFonts w:asciiTheme="minorEastAsia" w:hAnsiTheme="minorEastAsia"/>
          <w:b w:val="0"/>
          <w:bCs w:val="0"/>
          <w:sz w:val="24"/>
          <w:szCs w:val="24"/>
        </w:rPr>
      </w:pPr>
      <w:r>
        <w:rPr>
          <w:rFonts w:hint="eastAsia" w:asciiTheme="minorEastAsia" w:hAnsiTheme="minorEastAsia" w:eastAsiaTheme="minorEastAsia" w:cstheme="minorEastAsia"/>
          <w:b w:val="0"/>
          <w:bCs w:val="0"/>
          <w:color w:val="auto"/>
          <w:sz w:val="24"/>
          <w:szCs w:val="24"/>
          <w:shd w:val="clear" w:color="auto" w:fill="auto"/>
        </w:rPr>
        <w:t>北京</w:t>
      </w:r>
      <w:r>
        <w:rPr>
          <w:rFonts w:hint="eastAsia" w:asciiTheme="minorEastAsia" w:hAnsiTheme="minorEastAsia" w:cstheme="minorEastAsia"/>
          <w:b w:val="0"/>
          <w:bCs w:val="0"/>
          <w:color w:val="auto"/>
          <w:sz w:val="24"/>
          <w:szCs w:val="24"/>
          <w:shd w:val="clear" w:color="auto" w:fill="auto"/>
          <w:lang w:eastAsia="zh-CN"/>
        </w:rPr>
        <w:t>***</w:t>
      </w:r>
      <w:r>
        <w:rPr>
          <w:rFonts w:hint="eastAsia" w:asciiTheme="minorEastAsia" w:hAnsiTheme="minorEastAsia" w:eastAsiaTheme="minorEastAsia" w:cstheme="minorEastAsia"/>
          <w:b w:val="0"/>
          <w:bCs w:val="0"/>
          <w:color w:val="auto"/>
          <w:sz w:val="24"/>
          <w:szCs w:val="24"/>
          <w:shd w:val="clear" w:color="auto" w:fill="auto"/>
        </w:rPr>
        <w:t>网络科技股份有限公司</w:t>
      </w:r>
      <w:r>
        <w:rPr>
          <w:rFonts w:hint="eastAsia" w:asciiTheme="minorEastAsia" w:hAnsiTheme="minorEastAsia"/>
          <w:b w:val="0"/>
          <w:bCs w:val="0"/>
          <w:sz w:val="24"/>
          <w:szCs w:val="24"/>
        </w:rPr>
        <w:t>成立于20</w:t>
      </w:r>
      <w:r>
        <w:rPr>
          <w:rFonts w:hint="eastAsia" w:asciiTheme="minorEastAsia" w:hAnsiTheme="minorEastAsia"/>
          <w:b w:val="0"/>
          <w:bCs w:val="0"/>
          <w:sz w:val="24"/>
          <w:szCs w:val="24"/>
          <w:lang w:val="en-US" w:eastAsia="zh-CN"/>
        </w:rPr>
        <w:t>13</w:t>
      </w:r>
      <w:r>
        <w:rPr>
          <w:rFonts w:hint="eastAsia" w:asciiTheme="minorEastAsia" w:hAnsiTheme="minorEastAsia"/>
          <w:b w:val="0"/>
          <w:bCs w:val="0"/>
          <w:sz w:val="24"/>
          <w:szCs w:val="24"/>
        </w:rPr>
        <w:t>年</w:t>
      </w:r>
      <w:r>
        <w:rPr>
          <w:rFonts w:hint="eastAsia" w:asciiTheme="minorEastAsia" w:hAnsiTheme="minorEastAsia"/>
          <w:b w:val="0"/>
          <w:bCs w:val="0"/>
          <w:sz w:val="24"/>
          <w:szCs w:val="24"/>
          <w:lang w:val="en-US" w:eastAsia="zh-CN"/>
        </w:rPr>
        <w:t>5</w:t>
      </w:r>
      <w:r>
        <w:rPr>
          <w:rFonts w:hint="eastAsia" w:asciiTheme="minorEastAsia" w:hAnsiTheme="minorEastAsia"/>
          <w:b w:val="0"/>
          <w:bCs w:val="0"/>
          <w:sz w:val="24"/>
          <w:szCs w:val="24"/>
        </w:rPr>
        <w:t>月</w:t>
      </w:r>
      <w:r>
        <w:rPr>
          <w:rFonts w:hint="eastAsia" w:asciiTheme="minorEastAsia" w:hAnsiTheme="minorEastAsia"/>
          <w:b w:val="0"/>
          <w:bCs w:val="0"/>
          <w:sz w:val="24"/>
          <w:szCs w:val="24"/>
          <w:lang w:val="en-US" w:eastAsia="zh-CN"/>
        </w:rPr>
        <w:t>28</w:t>
      </w:r>
      <w:r>
        <w:rPr>
          <w:rFonts w:hint="eastAsia" w:asciiTheme="minorEastAsia" w:hAnsiTheme="minorEastAsia"/>
          <w:b w:val="0"/>
          <w:bCs w:val="0"/>
          <w:sz w:val="24"/>
          <w:szCs w:val="24"/>
        </w:rPr>
        <w:t>日，注册</w:t>
      </w:r>
      <w:r>
        <w:rPr>
          <w:rFonts w:hint="eastAsia" w:asciiTheme="minorEastAsia" w:hAnsiTheme="minorEastAsia"/>
          <w:b w:val="0"/>
          <w:bCs w:val="0"/>
          <w:sz w:val="24"/>
          <w:szCs w:val="24"/>
          <w:lang w:val="en-US" w:eastAsia="zh-CN"/>
        </w:rPr>
        <w:t>叁仟肆佰叁拾贰</w:t>
      </w:r>
      <w:r>
        <w:rPr>
          <w:rFonts w:hint="eastAsia" w:asciiTheme="minorEastAsia" w:hAnsiTheme="minorEastAsia"/>
          <w:b w:val="0"/>
          <w:bCs w:val="0"/>
          <w:sz w:val="24"/>
          <w:szCs w:val="24"/>
        </w:rPr>
        <w:t>万元整，公司法定代表人：阚振芳，公司总经理：</w:t>
      </w:r>
      <w:r>
        <w:rPr>
          <w:rFonts w:hint="eastAsia" w:asciiTheme="minorEastAsia" w:hAnsiTheme="minorEastAsia"/>
          <w:b w:val="0"/>
          <w:bCs w:val="0"/>
          <w:sz w:val="24"/>
          <w:szCs w:val="24"/>
          <w:lang w:val="en-US" w:eastAsia="zh-CN"/>
        </w:rPr>
        <w:t>廖芳</w:t>
      </w:r>
      <w:r>
        <w:rPr>
          <w:rFonts w:hint="eastAsia" w:asciiTheme="minorEastAsia" w:hAnsiTheme="minorEastAsia"/>
          <w:b w:val="0"/>
          <w:bCs w:val="0"/>
          <w:sz w:val="24"/>
          <w:szCs w:val="24"/>
        </w:rPr>
        <w:t>。</w:t>
      </w:r>
    </w:p>
    <w:p>
      <w:pPr>
        <w:spacing w:line="360" w:lineRule="auto"/>
        <w:ind w:firstLine="470" w:firstLineChars="196"/>
        <w:jc w:val="left"/>
        <w:rPr>
          <w:rFonts w:asciiTheme="minorEastAsia" w:hAnsiTheme="minorEastAsia"/>
          <w:b w:val="0"/>
          <w:bCs w:val="0"/>
          <w:sz w:val="24"/>
          <w:szCs w:val="24"/>
        </w:rPr>
      </w:pPr>
      <w:r>
        <w:rPr>
          <w:rFonts w:hint="eastAsia" w:asciiTheme="minorEastAsia" w:hAnsiTheme="minorEastAsia"/>
          <w:b w:val="0"/>
          <w:bCs w:val="0"/>
          <w:sz w:val="24"/>
          <w:szCs w:val="24"/>
          <w:lang w:val="en-US" w:eastAsia="zh-CN"/>
        </w:rPr>
        <w:t>北京**信息</w:t>
      </w:r>
      <w:r>
        <w:rPr>
          <w:rFonts w:hint="eastAsia" w:asciiTheme="minorEastAsia" w:hAnsiTheme="minorEastAsia"/>
          <w:b w:val="0"/>
          <w:bCs w:val="0"/>
          <w:sz w:val="24"/>
          <w:szCs w:val="24"/>
        </w:rPr>
        <w:t>技术有限公司成立于201</w:t>
      </w:r>
      <w:r>
        <w:rPr>
          <w:rFonts w:hint="eastAsia" w:asciiTheme="minorEastAsia" w:hAnsiTheme="minorEastAsia"/>
          <w:b w:val="0"/>
          <w:bCs w:val="0"/>
          <w:sz w:val="24"/>
          <w:szCs w:val="24"/>
          <w:lang w:val="en-US" w:eastAsia="zh-CN"/>
        </w:rPr>
        <w:t>6</w:t>
      </w:r>
      <w:r>
        <w:rPr>
          <w:rFonts w:hint="eastAsia" w:asciiTheme="minorEastAsia" w:hAnsiTheme="minorEastAsia"/>
          <w:b w:val="0"/>
          <w:bCs w:val="0"/>
          <w:sz w:val="24"/>
          <w:szCs w:val="24"/>
        </w:rPr>
        <w:t>年</w:t>
      </w:r>
      <w:r>
        <w:rPr>
          <w:rFonts w:hint="eastAsia" w:asciiTheme="minorEastAsia" w:hAnsiTheme="minorEastAsia"/>
          <w:b w:val="0"/>
          <w:bCs w:val="0"/>
          <w:sz w:val="24"/>
          <w:szCs w:val="24"/>
          <w:lang w:val="en-US" w:eastAsia="zh-CN"/>
        </w:rPr>
        <w:t>3</w:t>
      </w:r>
      <w:r>
        <w:rPr>
          <w:rFonts w:hint="eastAsia" w:asciiTheme="minorEastAsia" w:hAnsiTheme="minorEastAsia"/>
          <w:b w:val="0"/>
          <w:bCs w:val="0"/>
          <w:sz w:val="24"/>
          <w:szCs w:val="24"/>
        </w:rPr>
        <w:t>月</w:t>
      </w:r>
      <w:r>
        <w:rPr>
          <w:rFonts w:hint="eastAsia" w:asciiTheme="minorEastAsia" w:hAnsiTheme="minorEastAsia"/>
          <w:b w:val="0"/>
          <w:bCs w:val="0"/>
          <w:sz w:val="24"/>
          <w:szCs w:val="24"/>
          <w:lang w:val="en-US" w:eastAsia="zh-CN"/>
        </w:rPr>
        <w:t>11</w:t>
      </w:r>
      <w:r>
        <w:rPr>
          <w:rFonts w:hint="eastAsia" w:asciiTheme="minorEastAsia" w:hAnsiTheme="minorEastAsia"/>
          <w:b w:val="0"/>
          <w:bCs w:val="0"/>
          <w:sz w:val="24"/>
          <w:szCs w:val="24"/>
        </w:rPr>
        <w:t>日，注册资金</w:t>
      </w:r>
      <w:r>
        <w:rPr>
          <w:rFonts w:hint="eastAsia" w:asciiTheme="minorEastAsia" w:hAnsiTheme="minorEastAsia"/>
          <w:b w:val="0"/>
          <w:bCs w:val="0"/>
          <w:sz w:val="24"/>
          <w:szCs w:val="24"/>
          <w:lang w:val="en-US" w:eastAsia="zh-CN"/>
        </w:rPr>
        <w:t>贰</w:t>
      </w:r>
      <w:r>
        <w:rPr>
          <w:rFonts w:hint="eastAsia" w:asciiTheme="minorEastAsia" w:hAnsiTheme="minorEastAsia"/>
          <w:b w:val="0"/>
          <w:bCs w:val="0"/>
          <w:sz w:val="24"/>
          <w:szCs w:val="24"/>
        </w:rPr>
        <w:t>仟万元整，公司法定代表人：</w:t>
      </w:r>
      <w:r>
        <w:rPr>
          <w:rFonts w:hint="eastAsia" w:asciiTheme="minorEastAsia" w:hAnsiTheme="minorEastAsia"/>
          <w:b w:val="0"/>
          <w:bCs w:val="0"/>
          <w:sz w:val="24"/>
          <w:szCs w:val="24"/>
          <w:lang w:val="en-US" w:eastAsia="zh-CN"/>
        </w:rPr>
        <w:t>郭xx</w:t>
      </w:r>
      <w:r>
        <w:rPr>
          <w:rFonts w:hint="eastAsia" w:asciiTheme="minorEastAsia" w:hAnsiTheme="minorEastAsia"/>
          <w:b w:val="0"/>
          <w:bCs w:val="0"/>
          <w:sz w:val="24"/>
          <w:szCs w:val="24"/>
        </w:rPr>
        <w:t>。</w:t>
      </w:r>
    </w:p>
    <w:p>
      <w:pPr>
        <w:spacing w:line="360" w:lineRule="auto"/>
        <w:ind w:firstLine="470" w:firstLineChars="196"/>
        <w:jc w:val="left"/>
        <w:rPr>
          <w:rFonts w:asciiTheme="minorEastAsia" w:hAnsiTheme="minorEastAsia"/>
          <w:b w:val="0"/>
          <w:bCs w:val="0"/>
          <w:sz w:val="24"/>
          <w:szCs w:val="24"/>
        </w:rPr>
      </w:pPr>
      <w:r>
        <w:rPr>
          <w:rFonts w:hint="eastAsia" w:asciiTheme="minorEastAsia" w:hAnsiTheme="minorEastAsia"/>
          <w:b w:val="0"/>
          <w:bCs w:val="0"/>
          <w:sz w:val="24"/>
          <w:szCs w:val="24"/>
          <w:lang w:val="en-US" w:eastAsia="zh-CN"/>
        </w:rPr>
        <w:t>北京**信息</w:t>
      </w:r>
      <w:r>
        <w:rPr>
          <w:rFonts w:hint="eastAsia" w:asciiTheme="minorEastAsia" w:hAnsiTheme="minorEastAsia"/>
          <w:b w:val="0"/>
          <w:bCs w:val="0"/>
          <w:sz w:val="24"/>
          <w:szCs w:val="24"/>
        </w:rPr>
        <w:t>技术有限公司</w:t>
      </w:r>
      <w:r>
        <w:rPr>
          <w:rFonts w:hint="eastAsia" w:asciiTheme="minorEastAsia" w:hAnsiTheme="minorEastAsia" w:cstheme="minorEastAsia"/>
          <w:b w:val="0"/>
          <w:bCs w:val="0"/>
          <w:color w:val="auto"/>
          <w:sz w:val="24"/>
          <w:szCs w:val="24"/>
          <w:shd w:val="clear" w:color="auto" w:fill="auto"/>
          <w:lang w:val="en-US" w:eastAsia="zh-CN"/>
        </w:rPr>
        <w:t>为</w:t>
      </w:r>
      <w:r>
        <w:rPr>
          <w:rFonts w:hint="eastAsia" w:asciiTheme="minorEastAsia" w:hAnsiTheme="minorEastAsia" w:eastAsiaTheme="minorEastAsia" w:cstheme="minorEastAsia"/>
          <w:b w:val="0"/>
          <w:bCs w:val="0"/>
          <w:color w:val="auto"/>
          <w:sz w:val="24"/>
          <w:szCs w:val="24"/>
          <w:shd w:val="clear" w:color="auto" w:fill="auto"/>
        </w:rPr>
        <w:t>北京</w:t>
      </w:r>
      <w:r>
        <w:rPr>
          <w:rFonts w:hint="eastAsia" w:asciiTheme="minorEastAsia" w:hAnsiTheme="minorEastAsia" w:cstheme="minorEastAsia"/>
          <w:b w:val="0"/>
          <w:bCs w:val="0"/>
          <w:color w:val="auto"/>
          <w:sz w:val="24"/>
          <w:szCs w:val="24"/>
          <w:shd w:val="clear" w:color="auto" w:fill="auto"/>
          <w:lang w:eastAsia="zh-CN"/>
        </w:rPr>
        <w:t>***</w:t>
      </w:r>
      <w:r>
        <w:rPr>
          <w:rFonts w:hint="eastAsia" w:asciiTheme="minorEastAsia" w:hAnsiTheme="minorEastAsia" w:eastAsiaTheme="minorEastAsia" w:cstheme="minorEastAsia"/>
          <w:b w:val="0"/>
          <w:bCs w:val="0"/>
          <w:color w:val="auto"/>
          <w:sz w:val="24"/>
          <w:szCs w:val="24"/>
          <w:shd w:val="clear" w:color="auto" w:fill="auto"/>
        </w:rPr>
        <w:t>网络科技股份有限公司</w:t>
      </w:r>
      <w:r>
        <w:rPr>
          <w:rFonts w:hint="eastAsia" w:asciiTheme="minorEastAsia" w:hAnsiTheme="minorEastAsia"/>
          <w:b w:val="0"/>
          <w:bCs w:val="0"/>
          <w:sz w:val="24"/>
          <w:szCs w:val="24"/>
          <w:lang w:val="en-US" w:eastAsia="zh-CN"/>
        </w:rPr>
        <w:t>控股公司</w:t>
      </w:r>
      <w:r>
        <w:rPr>
          <w:rFonts w:hint="eastAsia" w:asciiTheme="minorEastAsia" w:hAnsiTheme="minorEastAsia"/>
          <w:b w:val="0"/>
          <w:bCs w:val="0"/>
          <w:sz w:val="24"/>
          <w:szCs w:val="24"/>
        </w:rPr>
        <w:t>。</w:t>
      </w:r>
    </w:p>
    <w:p>
      <w:pPr>
        <w:spacing w:line="360" w:lineRule="auto"/>
        <w:ind w:firstLine="470" w:firstLineChars="196"/>
        <w:jc w:val="left"/>
        <w:rPr>
          <w:rFonts w:asciiTheme="minorEastAsia" w:hAnsiTheme="minorEastAsia"/>
          <w:b w:val="0"/>
          <w:bCs w:val="0"/>
          <w:sz w:val="24"/>
          <w:szCs w:val="24"/>
        </w:rPr>
      </w:pPr>
      <w:r>
        <w:rPr>
          <w:rFonts w:hint="eastAsia" w:asciiTheme="minorEastAsia" w:hAnsiTheme="minorEastAsia" w:eastAsiaTheme="minorEastAsia" w:cstheme="minorEastAsia"/>
          <w:b w:val="0"/>
          <w:bCs w:val="0"/>
          <w:color w:val="auto"/>
          <w:sz w:val="24"/>
          <w:szCs w:val="24"/>
          <w:shd w:val="clear" w:color="auto" w:fill="auto"/>
        </w:rPr>
        <w:t>北京</w:t>
      </w:r>
      <w:r>
        <w:rPr>
          <w:rFonts w:hint="eastAsia" w:asciiTheme="minorEastAsia" w:hAnsiTheme="minorEastAsia" w:cstheme="minorEastAsia"/>
          <w:b w:val="0"/>
          <w:bCs w:val="0"/>
          <w:color w:val="auto"/>
          <w:sz w:val="24"/>
          <w:szCs w:val="24"/>
          <w:shd w:val="clear" w:color="auto" w:fill="auto"/>
          <w:lang w:eastAsia="zh-CN"/>
        </w:rPr>
        <w:t>***</w:t>
      </w:r>
      <w:r>
        <w:rPr>
          <w:rFonts w:hint="eastAsia" w:asciiTheme="minorEastAsia" w:hAnsiTheme="minorEastAsia" w:eastAsiaTheme="minorEastAsia" w:cstheme="minorEastAsia"/>
          <w:b w:val="0"/>
          <w:bCs w:val="0"/>
          <w:color w:val="auto"/>
          <w:sz w:val="24"/>
          <w:szCs w:val="24"/>
          <w:shd w:val="clear" w:color="auto" w:fill="auto"/>
        </w:rPr>
        <w:t>网络科技股份有限公司</w:t>
      </w:r>
      <w:r>
        <w:rPr>
          <w:rFonts w:hint="eastAsia" w:asciiTheme="minorEastAsia" w:hAnsiTheme="minorEastAsia"/>
          <w:b w:val="0"/>
          <w:bCs w:val="0"/>
          <w:sz w:val="24"/>
          <w:szCs w:val="24"/>
        </w:rPr>
        <w:t>授权</w:t>
      </w:r>
      <w:r>
        <w:rPr>
          <w:rFonts w:hint="eastAsia" w:asciiTheme="minorEastAsia" w:hAnsiTheme="minorEastAsia"/>
          <w:b w:val="0"/>
          <w:bCs w:val="0"/>
          <w:sz w:val="24"/>
          <w:szCs w:val="24"/>
          <w:lang w:val="en-US" w:eastAsia="zh-CN"/>
        </w:rPr>
        <w:t>北京**信息</w:t>
      </w:r>
      <w:r>
        <w:rPr>
          <w:rFonts w:hint="eastAsia" w:asciiTheme="minorEastAsia" w:hAnsiTheme="minorEastAsia"/>
          <w:b w:val="0"/>
          <w:bCs w:val="0"/>
          <w:sz w:val="24"/>
          <w:szCs w:val="24"/>
        </w:rPr>
        <w:t>技术有限公司承建</w:t>
      </w:r>
      <w:r>
        <w:rPr>
          <w:rFonts w:hint="eastAsia" w:asciiTheme="minorEastAsia" w:hAnsiTheme="minorEastAsia"/>
          <w:b w:val="0"/>
          <w:bCs w:val="0"/>
          <w:sz w:val="24"/>
          <w:szCs w:val="24"/>
          <w:lang w:eastAsia="zh-CN"/>
        </w:rPr>
        <w:t>“</w:t>
      </w:r>
      <w:r>
        <w:rPr>
          <w:rFonts w:hint="eastAsia" w:asciiTheme="minorEastAsia" w:hAnsiTheme="minorEastAsia"/>
          <w:b w:val="0"/>
          <w:bCs w:val="0"/>
          <w:sz w:val="24"/>
          <w:szCs w:val="24"/>
          <w:lang w:val="en-US" w:eastAsia="zh-CN"/>
        </w:rPr>
        <w:t>xx集团有限公司</w:t>
      </w:r>
      <w:r>
        <w:rPr>
          <w:rFonts w:hint="eastAsia" w:asciiTheme="minorEastAsia" w:hAnsiTheme="minorEastAsia"/>
          <w:b w:val="0"/>
          <w:bCs w:val="0"/>
          <w:sz w:val="24"/>
          <w:szCs w:val="24"/>
        </w:rPr>
        <w:t>电子</w:t>
      </w:r>
      <w:r>
        <w:rPr>
          <w:rFonts w:hint="eastAsia" w:asciiTheme="minorEastAsia" w:hAnsiTheme="minorEastAsia"/>
          <w:b w:val="0"/>
          <w:bCs w:val="0"/>
          <w:sz w:val="24"/>
          <w:szCs w:val="24"/>
          <w:lang w:val="en-US" w:eastAsia="zh-CN"/>
        </w:rPr>
        <w:t>收费分公司</w:t>
      </w:r>
      <w:r>
        <w:rPr>
          <w:rFonts w:hint="eastAsia" w:asciiTheme="minorEastAsia" w:hAnsiTheme="minorEastAsia"/>
          <w:b w:val="0"/>
          <w:bCs w:val="0"/>
          <w:sz w:val="24"/>
          <w:szCs w:val="24"/>
        </w:rPr>
        <w:t>发票</w:t>
      </w:r>
      <w:r>
        <w:rPr>
          <w:rFonts w:hint="eastAsia" w:asciiTheme="minorEastAsia" w:hAnsiTheme="minorEastAsia"/>
          <w:b w:val="0"/>
          <w:bCs w:val="0"/>
          <w:sz w:val="24"/>
          <w:szCs w:val="24"/>
          <w:lang w:val="en-US" w:eastAsia="zh-CN"/>
        </w:rPr>
        <w:t>管理</w:t>
      </w:r>
      <w:r>
        <w:rPr>
          <w:rFonts w:hint="eastAsia" w:asciiTheme="minorEastAsia" w:hAnsiTheme="minorEastAsia"/>
          <w:b w:val="0"/>
          <w:bCs w:val="0"/>
          <w:sz w:val="24"/>
          <w:szCs w:val="24"/>
        </w:rPr>
        <w:t>系统开发项目”，</w:t>
      </w:r>
      <w:r>
        <w:rPr>
          <w:rFonts w:hint="eastAsia" w:asciiTheme="minorEastAsia" w:hAnsiTheme="minorEastAsia" w:eastAsiaTheme="minorEastAsia" w:cstheme="minorEastAsia"/>
          <w:b w:val="0"/>
          <w:bCs w:val="0"/>
          <w:color w:val="auto"/>
          <w:sz w:val="24"/>
          <w:szCs w:val="24"/>
          <w:shd w:val="clear" w:color="auto" w:fill="auto"/>
        </w:rPr>
        <w:t>北京</w:t>
      </w:r>
      <w:r>
        <w:rPr>
          <w:rFonts w:hint="eastAsia" w:asciiTheme="minorEastAsia" w:hAnsiTheme="minorEastAsia" w:cstheme="minorEastAsia"/>
          <w:b w:val="0"/>
          <w:bCs w:val="0"/>
          <w:color w:val="auto"/>
          <w:sz w:val="24"/>
          <w:szCs w:val="24"/>
          <w:shd w:val="clear" w:color="auto" w:fill="auto"/>
          <w:lang w:eastAsia="zh-CN"/>
        </w:rPr>
        <w:t>***</w:t>
      </w:r>
      <w:r>
        <w:rPr>
          <w:rFonts w:hint="eastAsia" w:asciiTheme="minorEastAsia" w:hAnsiTheme="minorEastAsia" w:eastAsiaTheme="minorEastAsia" w:cstheme="minorEastAsia"/>
          <w:b w:val="0"/>
          <w:bCs w:val="0"/>
          <w:color w:val="auto"/>
          <w:sz w:val="24"/>
          <w:szCs w:val="24"/>
          <w:shd w:val="clear" w:color="auto" w:fill="auto"/>
        </w:rPr>
        <w:t>网络科技股份有限公司</w:t>
      </w:r>
      <w:r>
        <w:rPr>
          <w:rFonts w:hint="eastAsia" w:asciiTheme="minorEastAsia" w:hAnsiTheme="minorEastAsia"/>
          <w:b w:val="0"/>
          <w:bCs w:val="0"/>
          <w:sz w:val="24"/>
          <w:szCs w:val="24"/>
        </w:rPr>
        <w:t>承担一切法律责任。</w:t>
      </w:r>
    </w:p>
    <w:p>
      <w:pPr>
        <w:spacing w:line="360" w:lineRule="auto"/>
        <w:ind w:firstLine="470" w:firstLineChars="196"/>
        <w:jc w:val="left"/>
        <w:rPr>
          <w:rFonts w:asciiTheme="minorEastAsia" w:hAnsiTheme="minorEastAsia"/>
          <w:b w:val="0"/>
          <w:bCs w:val="0"/>
          <w:sz w:val="24"/>
          <w:szCs w:val="24"/>
        </w:rPr>
      </w:pPr>
      <w:r>
        <w:rPr>
          <w:rFonts w:hint="eastAsia" w:asciiTheme="minorEastAsia" w:hAnsiTheme="minorEastAsia"/>
          <w:b w:val="0"/>
          <w:bCs w:val="0"/>
          <w:sz w:val="24"/>
          <w:szCs w:val="24"/>
        </w:rPr>
        <w:t>特此说明。</w:t>
      </w:r>
    </w:p>
    <w:p>
      <w:pPr>
        <w:spacing w:line="360" w:lineRule="auto"/>
        <w:jc w:val="left"/>
        <w:rPr>
          <w:rFonts w:asciiTheme="minorEastAsia" w:hAnsiTheme="minorEastAsia"/>
          <w:b/>
          <w:sz w:val="32"/>
          <w:szCs w:val="32"/>
        </w:rPr>
      </w:pPr>
    </w:p>
    <w:p>
      <w:pPr>
        <w:spacing w:line="360" w:lineRule="auto"/>
        <w:ind w:firstLine="630" w:firstLineChars="196"/>
        <w:jc w:val="right"/>
        <w:rPr>
          <w:rFonts w:asciiTheme="minorEastAsia" w:hAnsiTheme="minorEastAsia"/>
          <w:b/>
          <w:sz w:val="32"/>
          <w:szCs w:val="32"/>
        </w:rPr>
      </w:pPr>
      <w:r>
        <w:rPr>
          <w:rFonts w:hint="eastAsia" w:asciiTheme="minorEastAsia" w:hAnsiTheme="minorEastAsia" w:eastAsiaTheme="minorEastAsia" w:cstheme="minorEastAsia"/>
          <w:b/>
          <w:bCs/>
          <w:color w:val="auto"/>
          <w:sz w:val="32"/>
          <w:szCs w:val="32"/>
          <w:shd w:val="clear" w:color="auto" w:fill="auto"/>
        </w:rPr>
        <w:t>北京</w:t>
      </w:r>
      <w:r>
        <w:rPr>
          <w:rFonts w:hint="eastAsia" w:asciiTheme="minorEastAsia" w:hAnsiTheme="minorEastAsia" w:cstheme="minorEastAsia"/>
          <w:b/>
          <w:bCs/>
          <w:color w:val="auto"/>
          <w:sz w:val="32"/>
          <w:szCs w:val="32"/>
          <w:shd w:val="clear" w:color="auto" w:fill="auto"/>
          <w:lang w:eastAsia="zh-CN"/>
        </w:rPr>
        <w:t>***</w:t>
      </w:r>
      <w:r>
        <w:rPr>
          <w:rFonts w:hint="eastAsia" w:asciiTheme="minorEastAsia" w:hAnsiTheme="minorEastAsia" w:eastAsiaTheme="minorEastAsia" w:cstheme="minorEastAsia"/>
          <w:b/>
          <w:bCs/>
          <w:color w:val="auto"/>
          <w:sz w:val="32"/>
          <w:szCs w:val="32"/>
          <w:shd w:val="clear" w:color="auto" w:fill="auto"/>
        </w:rPr>
        <w:t>网络科技股份有限公司</w:t>
      </w:r>
    </w:p>
    <w:p>
      <w:pPr>
        <w:spacing w:line="360" w:lineRule="auto"/>
        <w:rPr>
          <w:rFonts w:hint="eastAsia" w:asciiTheme="minorEastAsia" w:hAnsiTheme="minorEastAsia"/>
          <w:b/>
          <w:sz w:val="32"/>
          <w:szCs w:val="32"/>
        </w:rPr>
      </w:pPr>
      <w:r>
        <w:rPr>
          <w:rFonts w:hint="eastAsia" w:asciiTheme="minorEastAsia" w:hAnsiTheme="minorEastAsia"/>
          <w:b/>
          <w:sz w:val="32"/>
          <w:szCs w:val="32"/>
          <w:lang w:val="en-US" w:eastAsia="zh-CN"/>
        </w:rPr>
        <w:t xml:space="preserve">                                  </w:t>
      </w:r>
      <w:r>
        <w:rPr>
          <w:rFonts w:hint="eastAsia" w:asciiTheme="minorEastAsia" w:hAnsiTheme="minorEastAsia"/>
          <w:b/>
          <w:sz w:val="32"/>
          <w:szCs w:val="32"/>
        </w:rPr>
        <w:t>2016年</w:t>
      </w:r>
      <w:r>
        <w:rPr>
          <w:rFonts w:hint="eastAsia" w:asciiTheme="minorEastAsia" w:hAnsiTheme="minorEastAsia"/>
          <w:b/>
          <w:sz w:val="32"/>
          <w:szCs w:val="32"/>
          <w:lang w:val="en-US" w:eastAsia="zh-CN"/>
        </w:rPr>
        <w:t>10</w:t>
      </w:r>
      <w:r>
        <w:rPr>
          <w:rFonts w:hint="eastAsia" w:asciiTheme="minorEastAsia" w:hAnsiTheme="minorEastAsia"/>
          <w:b/>
          <w:sz w:val="32"/>
          <w:szCs w:val="32"/>
        </w:rPr>
        <w:t>月</w:t>
      </w:r>
    </w:p>
    <w:p>
      <w:pPr>
        <w:rPr>
          <w:rFonts w:hint="eastAsia"/>
        </w:rPr>
      </w:pPr>
      <w:r>
        <w:rPr>
          <w:rFonts w:hint="eastAsia"/>
        </w:rPr>
        <w:br w:type="page"/>
      </w:r>
    </w:p>
    <w:p>
      <w:pPr>
        <w:rPr>
          <w:rFonts w:hint="eastAsia"/>
        </w:rPr>
      </w:pPr>
    </w:p>
    <w:p>
      <w:pPr>
        <w:pStyle w:val="4"/>
        <w:numPr>
          <w:ilvl w:val="2"/>
          <w:numId w:val="3"/>
        </w:numPr>
        <w:spacing w:before="0" w:after="0" w:line="360" w:lineRule="auto"/>
        <w:ind w:left="0" w:leftChars="0" w:firstLine="402" w:firstLineChars="0"/>
        <w:rPr>
          <w:rFonts w:hint="eastAsia"/>
          <w:lang w:val="en-US" w:eastAsia="zh-CN"/>
        </w:rPr>
      </w:pPr>
      <w:bookmarkStart w:id="18" w:name="_Toc24556"/>
      <w:r>
        <w:rPr>
          <w:rFonts w:hint="eastAsia" w:asciiTheme="minorEastAsia" w:hAnsiTheme="minorEastAsia" w:eastAsiaTheme="minorEastAsia" w:cstheme="minorEastAsia"/>
          <w:b/>
          <w:bCs/>
          <w:color w:val="auto"/>
          <w:sz w:val="32"/>
          <w:szCs w:val="32"/>
          <w:shd w:val="clear" w:color="auto" w:fill="auto"/>
        </w:rPr>
        <w:t>北京</w:t>
      </w:r>
      <w:r>
        <w:rPr>
          <w:rFonts w:hint="eastAsia" w:asciiTheme="minorEastAsia" w:hAnsiTheme="minorEastAsia" w:cstheme="minorEastAsia"/>
          <w:b/>
          <w:bCs/>
          <w:color w:val="auto"/>
          <w:sz w:val="32"/>
          <w:szCs w:val="32"/>
          <w:shd w:val="clear" w:color="auto" w:fill="auto"/>
          <w:lang w:eastAsia="zh-CN"/>
        </w:rPr>
        <w:t>***</w:t>
      </w:r>
      <w:r>
        <w:rPr>
          <w:rFonts w:hint="eastAsia" w:asciiTheme="minorEastAsia" w:hAnsiTheme="minorEastAsia" w:eastAsiaTheme="minorEastAsia" w:cstheme="minorEastAsia"/>
          <w:b/>
          <w:bCs/>
          <w:color w:val="auto"/>
          <w:sz w:val="32"/>
          <w:szCs w:val="32"/>
          <w:shd w:val="clear" w:color="auto" w:fill="auto"/>
        </w:rPr>
        <w:t>网络科技股份有限公司</w:t>
      </w:r>
      <w:r>
        <w:rPr>
          <w:rFonts w:hint="eastAsia"/>
          <w:lang w:val="en-US" w:eastAsia="zh-CN"/>
        </w:rPr>
        <w:t>资质</w:t>
      </w:r>
      <w:bookmarkEnd w:id="18"/>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2"/>
        <w:pageBreakBefore/>
        <w:numPr>
          <w:ilvl w:val="0"/>
          <w:numId w:val="3"/>
        </w:numPr>
        <w:spacing w:before="0" w:after="0" w:line="360" w:lineRule="auto"/>
        <w:ind w:left="0" w:leftChars="0" w:firstLine="402" w:firstLineChars="0"/>
        <w:jc w:val="left"/>
      </w:pPr>
      <w:r>
        <w:rPr>
          <w:rFonts w:hint="eastAsia"/>
        </w:rPr>
        <w:t xml:space="preserve"> </w:t>
      </w:r>
      <w:bookmarkStart w:id="19" w:name="_Toc6755"/>
      <w:r>
        <w:rPr>
          <w:rFonts w:hint="eastAsia"/>
        </w:rPr>
        <w:t>项目背景</w:t>
      </w:r>
      <w:r>
        <w:rPr>
          <w:rFonts w:hint="eastAsia"/>
          <w:lang w:val="en-US" w:eastAsia="zh-CN"/>
        </w:rPr>
        <w:t>与总体目标</w:t>
      </w:r>
      <w:bookmarkEnd w:id="19"/>
    </w:p>
    <w:p>
      <w:pPr>
        <w:pStyle w:val="63"/>
        <w:widowControl/>
        <w:spacing w:line="360" w:lineRule="auto"/>
        <w:ind w:firstLine="480" w:firstLineChars="200"/>
        <w:jc w:val="left"/>
        <w:rPr>
          <w:rFonts w:asciiTheme="minorEastAsia" w:hAnsiTheme="minorEastAsia" w:eastAsiaTheme="minorEastAsia"/>
          <w:sz w:val="24"/>
          <w:szCs w:val="24"/>
        </w:rPr>
      </w:pPr>
      <w:r>
        <w:rPr>
          <w:rFonts w:asciiTheme="minorEastAsia" w:hAnsiTheme="minorEastAsia" w:eastAsiaTheme="minorEastAsia"/>
          <w:sz w:val="24"/>
          <w:szCs w:val="24"/>
        </w:rPr>
        <w:t>2016</w:t>
      </w:r>
      <w:r>
        <w:rPr>
          <w:rFonts w:hint="eastAsia" w:asciiTheme="minorEastAsia" w:hAnsiTheme="minorEastAsia" w:eastAsiaTheme="minorEastAsia"/>
          <w:sz w:val="24"/>
          <w:szCs w:val="24"/>
        </w:rPr>
        <w:t>年</w:t>
      </w:r>
      <w:r>
        <w:rPr>
          <w:rFonts w:asciiTheme="minorEastAsia" w:hAnsiTheme="minorEastAsia" w:eastAsiaTheme="minorEastAsia"/>
          <w:sz w:val="24"/>
          <w:szCs w:val="24"/>
        </w:rPr>
        <w:t>7</w:t>
      </w:r>
      <w:r>
        <w:rPr>
          <w:rFonts w:hint="eastAsia" w:asciiTheme="minorEastAsia" w:hAnsiTheme="minorEastAsia" w:eastAsiaTheme="minorEastAsia"/>
          <w:sz w:val="24"/>
          <w:szCs w:val="24"/>
        </w:rPr>
        <w:t>月</w:t>
      </w:r>
      <w:r>
        <w:rPr>
          <w:rFonts w:asciiTheme="minorEastAsia" w:hAnsiTheme="minorEastAsia" w:eastAsiaTheme="minorEastAsia"/>
          <w:sz w:val="24"/>
          <w:szCs w:val="24"/>
        </w:rPr>
        <w:t>1</w:t>
      </w:r>
      <w:r>
        <w:rPr>
          <w:rFonts w:hint="eastAsia" w:asciiTheme="minorEastAsia" w:hAnsiTheme="minorEastAsia" w:eastAsiaTheme="minorEastAsia"/>
          <w:sz w:val="24"/>
          <w:szCs w:val="24"/>
        </w:rPr>
        <w:t>日，</w:t>
      </w:r>
      <w:r>
        <w:rPr>
          <w:rFonts w:hint="eastAsia" w:asciiTheme="minorEastAsia" w:hAnsiTheme="minorEastAsia" w:eastAsiaTheme="minorEastAsia"/>
          <w:sz w:val="24"/>
          <w:szCs w:val="24"/>
          <w:lang w:eastAsia="zh-CN"/>
        </w:rPr>
        <w:t>xx</w:t>
      </w:r>
      <w:r>
        <w:rPr>
          <w:rFonts w:hint="eastAsia" w:asciiTheme="minorEastAsia" w:hAnsiTheme="minorEastAsia" w:eastAsiaTheme="minorEastAsia"/>
          <w:sz w:val="24"/>
          <w:szCs w:val="24"/>
        </w:rPr>
        <w:t>集团有限公司的电子收费业务发票统一更换为增值税普通发票。为加强发票管理工作，根据国家税务局“推行通过增值税</w:t>
      </w:r>
      <w:bookmarkStart w:id="20" w:name="baidusnap0"/>
      <w:bookmarkEnd w:id="20"/>
      <w:r>
        <w:rPr>
          <w:rFonts w:hint="eastAsia" w:asciiTheme="minorEastAsia" w:hAnsiTheme="minorEastAsia" w:eastAsiaTheme="minorEastAsia"/>
          <w:sz w:val="24"/>
          <w:szCs w:val="24"/>
        </w:rPr>
        <w:t>电子发票系统开具的增值税电子普通发票”的相关要求，开发建设电子发票管理系统。电子发票管理系统需要</w:t>
      </w:r>
      <w:r>
        <w:rPr>
          <w:rFonts w:hint="eastAsia" w:asciiTheme="minorEastAsia" w:hAnsiTheme="minorEastAsia" w:eastAsiaTheme="minorEastAsia"/>
          <w:sz w:val="24"/>
          <w:szCs w:val="24"/>
          <w:lang w:eastAsia="zh-CN"/>
        </w:rPr>
        <w:t>xx省</w:t>
      </w:r>
      <w:r>
        <w:rPr>
          <w:rFonts w:hint="eastAsia" w:asciiTheme="minorEastAsia" w:hAnsiTheme="minorEastAsia" w:eastAsiaTheme="minorEastAsia"/>
          <w:sz w:val="24"/>
          <w:szCs w:val="24"/>
        </w:rPr>
        <w:t>交通运输厅</w:t>
      </w:r>
      <w:r>
        <w:rPr>
          <w:rFonts w:hint="eastAsia" w:asciiTheme="minorEastAsia" w:hAnsiTheme="minorEastAsia" w:eastAsiaTheme="minorEastAsia"/>
          <w:sz w:val="24"/>
          <w:szCs w:val="24"/>
          <w:lang w:eastAsia="zh-CN"/>
        </w:rPr>
        <w:t>xx卡</w:t>
      </w:r>
      <w:r>
        <w:rPr>
          <w:rFonts w:hint="eastAsia" w:asciiTheme="minorEastAsia" w:hAnsiTheme="minorEastAsia" w:eastAsiaTheme="minorEastAsia"/>
          <w:sz w:val="24"/>
          <w:szCs w:val="24"/>
        </w:rPr>
        <w:t>运营平台进行的对接，使</w:t>
      </w:r>
      <w:r>
        <w:rPr>
          <w:rFonts w:hint="eastAsia" w:asciiTheme="minorEastAsia" w:hAnsiTheme="minorEastAsia" w:eastAsiaTheme="minorEastAsia"/>
          <w:sz w:val="24"/>
          <w:szCs w:val="24"/>
          <w:lang w:eastAsia="zh-CN"/>
        </w:rPr>
        <w:t>xx</w:t>
      </w:r>
      <w:r>
        <w:rPr>
          <w:rFonts w:hint="eastAsia" w:asciiTheme="minorEastAsia" w:hAnsiTheme="minorEastAsia" w:eastAsiaTheme="minorEastAsia"/>
          <w:sz w:val="24"/>
          <w:szCs w:val="24"/>
        </w:rPr>
        <w:t>集团有限公司及合作银行的电子收费业务能够实现增值税电子发票的开具、实现同省国税局增值税发票系统的对接及上传等功能。根据各地市公司实际情况，同时实现纸质发票的集中管理、分散开具、统一上传、实时查验等不同需求。</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本项目旨在满足电子发票、纸质发票的业务需求，保证</w:t>
      </w:r>
      <w:r>
        <w:rPr>
          <w:rFonts w:hint="eastAsia" w:asciiTheme="minorEastAsia" w:hAnsiTheme="minorEastAsia"/>
          <w:sz w:val="24"/>
          <w:szCs w:val="24"/>
          <w:lang w:val="en-US" w:eastAsia="zh-CN"/>
        </w:rPr>
        <w:t>xx交通</w:t>
      </w:r>
      <w:r>
        <w:rPr>
          <w:rFonts w:hint="eastAsia" w:asciiTheme="minorEastAsia" w:hAnsiTheme="minorEastAsia"/>
          <w:sz w:val="24"/>
          <w:szCs w:val="24"/>
        </w:rPr>
        <w:t>各个业务场景下实现个人用户、单位用户和集团内单位间业务纸质发票和电子发票的各项功能，并完善纸质发票和电子发票从领购入库、开具、红冲与换票、查询统计等管理要求。</w:t>
      </w:r>
    </w:p>
    <w:p>
      <w:pPr>
        <w:pStyle w:val="3"/>
        <w:numPr>
          <w:ilvl w:val="1"/>
          <w:numId w:val="3"/>
        </w:numPr>
        <w:ind w:left="0" w:leftChars="0" w:firstLine="402" w:firstLineChars="0"/>
        <w:rPr>
          <w:rFonts w:hint="eastAsia"/>
          <w:sz w:val="24"/>
          <w:szCs w:val="24"/>
          <w:lang w:val="en-US" w:eastAsia="zh-CN"/>
        </w:rPr>
      </w:pPr>
      <w:bookmarkStart w:id="21" w:name="_Toc2622"/>
      <w:r>
        <w:rPr>
          <w:rFonts w:hint="eastAsia"/>
          <w:sz w:val="24"/>
          <w:szCs w:val="24"/>
          <w:lang w:val="en-US" w:eastAsia="zh-CN"/>
        </w:rPr>
        <w:t>建设目标</w:t>
      </w:r>
      <w:bookmarkEnd w:id="21"/>
    </w:p>
    <w:p>
      <w:pPr>
        <w:pStyle w:val="16"/>
        <w:keepNext w:val="0"/>
        <w:keepLines w:val="0"/>
        <w:pageBreakBefore w:val="0"/>
        <w:widowControl w:val="0"/>
        <w:kinsoku/>
        <w:wordWrap/>
        <w:overflowPunct/>
        <w:topLinePunct w:val="0"/>
        <w:autoSpaceDE/>
        <w:autoSpaceDN/>
        <w:bidi w:val="0"/>
        <w:adjustRightInd/>
        <w:snapToGrid/>
        <w:spacing w:before="0" w:beforeLines="100" w:after="0" w:afterLines="50" w:line="360" w:lineRule="auto"/>
        <w:ind w:left="48" w:leftChars="23" w:right="0" w:rightChars="0" w:firstLine="480" w:firstLineChars="200"/>
        <w:jc w:val="both"/>
        <w:textAlignment w:val="auto"/>
        <w:outlineLvl w:val="9"/>
        <w:rPr>
          <w:rFonts w:asciiTheme="minorEastAsia" w:hAnsiTheme="minorEastAsia" w:eastAsiaTheme="minorEastAsia"/>
          <w:sz w:val="24"/>
          <w:szCs w:val="24"/>
        </w:rPr>
      </w:pPr>
      <w:r>
        <w:rPr>
          <w:rFonts w:hint="eastAsia" w:asciiTheme="minorEastAsia" w:hAnsiTheme="minorEastAsia" w:eastAsiaTheme="minorEastAsia"/>
          <w:sz w:val="24"/>
          <w:szCs w:val="24"/>
        </w:rPr>
        <w:t>系统应该具有先进的系统设计理念、优化的系统架构、强大的技术平台支撑、以及便捷的应用开发支持，按照实际业务需求进行开发。新系统建成运行后，应能实现以下几个目标：</w:t>
      </w:r>
    </w:p>
    <w:p>
      <w:pPr>
        <w:pStyle w:val="16"/>
        <w:numPr>
          <w:ilvl w:val="0"/>
          <w:numId w:val="4"/>
        </w:numPr>
        <w:spacing w:beforeLines="100" w:afterLines="50"/>
        <w:ind w:left="48" w:leftChars="23"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解决未来</w:t>
      </w:r>
      <w:r>
        <w:rPr>
          <w:rFonts w:asciiTheme="minorEastAsia" w:hAnsiTheme="minorEastAsia" w:eastAsiaTheme="minorEastAsia"/>
          <w:sz w:val="24"/>
          <w:szCs w:val="24"/>
        </w:rPr>
        <w:t>5-10</w:t>
      </w:r>
      <w:r>
        <w:rPr>
          <w:rFonts w:hint="eastAsia" w:asciiTheme="minorEastAsia" w:hAnsiTheme="minorEastAsia" w:eastAsiaTheme="minorEastAsia"/>
          <w:sz w:val="24"/>
          <w:szCs w:val="24"/>
        </w:rPr>
        <w:t>年企业业务发展对开票及发票管理的需求。</w:t>
      </w:r>
    </w:p>
    <w:p>
      <w:pPr>
        <w:pStyle w:val="16"/>
        <w:numPr>
          <w:ilvl w:val="0"/>
          <w:numId w:val="4"/>
        </w:numPr>
        <w:spacing w:beforeLines="100" w:afterLines="50"/>
        <w:ind w:left="48" w:leftChars="23"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能够支持对电子发票的开具的需求。</w:t>
      </w:r>
    </w:p>
    <w:p>
      <w:pPr>
        <w:pStyle w:val="16"/>
        <w:numPr>
          <w:ilvl w:val="0"/>
          <w:numId w:val="4"/>
        </w:numPr>
        <w:spacing w:beforeLines="100" w:afterLines="50"/>
        <w:ind w:left="48" w:leftChars="23"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能够实现集中管控，满足集团公司下约</w:t>
      </w:r>
      <w:r>
        <w:rPr>
          <w:rFonts w:asciiTheme="minorEastAsia" w:hAnsiTheme="minorEastAsia" w:eastAsiaTheme="minorEastAsia"/>
          <w:sz w:val="24"/>
          <w:szCs w:val="24"/>
        </w:rPr>
        <w:t>300</w:t>
      </w:r>
      <w:r>
        <w:rPr>
          <w:rFonts w:hint="eastAsia" w:asciiTheme="minorEastAsia" w:hAnsiTheme="minorEastAsia" w:eastAsiaTheme="minorEastAsia"/>
          <w:sz w:val="24"/>
          <w:szCs w:val="24"/>
        </w:rPr>
        <w:t>余个营业网点的发票数据的统一管理，包括柜台充值业务、手机充值业务、网上充值业务、自助终端充值业务、合作银行充值业务等，并能实时掌控各网点的销售数据、开票数据、财务数据。</w:t>
      </w:r>
    </w:p>
    <w:p>
      <w:pPr>
        <w:pStyle w:val="16"/>
        <w:numPr>
          <w:ilvl w:val="0"/>
          <w:numId w:val="4"/>
        </w:numPr>
        <w:spacing w:beforeLines="100" w:afterLines="50"/>
        <w:ind w:left="48" w:leftChars="23"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与国税局相关外围系统无缝对接。</w:t>
      </w:r>
    </w:p>
    <w:p>
      <w:pPr>
        <w:pStyle w:val="16"/>
        <w:numPr>
          <w:ilvl w:val="0"/>
          <w:numId w:val="4"/>
        </w:numPr>
        <w:spacing w:beforeLines="100" w:afterLines="50"/>
        <w:ind w:left="48" w:leftChars="23"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提供与</w:t>
      </w:r>
      <w:r>
        <w:rPr>
          <w:rFonts w:hint="eastAsia" w:asciiTheme="minorEastAsia" w:hAnsiTheme="minorEastAsia"/>
          <w:sz w:val="24"/>
          <w:szCs w:val="24"/>
          <w:lang w:eastAsia="zh-CN"/>
        </w:rPr>
        <w:t>xx省</w:t>
      </w:r>
      <w:r>
        <w:rPr>
          <w:rFonts w:hint="eastAsia" w:asciiTheme="minorEastAsia" w:hAnsiTheme="minorEastAsia" w:eastAsiaTheme="minorEastAsia"/>
          <w:sz w:val="24"/>
          <w:szCs w:val="24"/>
        </w:rPr>
        <w:t>交通运输厅</w:t>
      </w:r>
      <w:r>
        <w:rPr>
          <w:rFonts w:hint="eastAsia" w:asciiTheme="minorEastAsia" w:hAnsiTheme="minorEastAsia"/>
          <w:sz w:val="24"/>
          <w:szCs w:val="24"/>
          <w:lang w:eastAsia="zh-CN"/>
        </w:rPr>
        <w:t>xx卡</w:t>
      </w:r>
      <w:r>
        <w:rPr>
          <w:rFonts w:hint="eastAsia" w:asciiTheme="minorEastAsia" w:hAnsiTheme="minorEastAsia" w:eastAsiaTheme="minorEastAsia"/>
          <w:sz w:val="24"/>
          <w:szCs w:val="24"/>
        </w:rPr>
        <w:t>运营平台无缝对接的接口，实现发票的实时查验，尽量减少各网点营业员工作量，简化</w:t>
      </w:r>
      <w:bookmarkStart w:id="533" w:name="_GoBack"/>
      <w:bookmarkEnd w:id="533"/>
      <w:r>
        <w:rPr>
          <w:rFonts w:hint="eastAsia" w:asciiTheme="minorEastAsia" w:hAnsiTheme="minorEastAsia" w:eastAsiaTheme="minorEastAsia"/>
          <w:sz w:val="24"/>
          <w:szCs w:val="24"/>
        </w:rPr>
        <w:t>网上终端和移动终端的开票流程。</w:t>
      </w:r>
    </w:p>
    <w:p>
      <w:pPr>
        <w:spacing w:line="360" w:lineRule="auto"/>
        <w:ind w:firstLine="420" w:firstLineChars="0"/>
        <w:rPr>
          <w:rFonts w:hint="eastAsia" w:ascii="仿宋" w:hAnsi="仿宋" w:eastAsia="仿宋"/>
          <w:sz w:val="24"/>
          <w:szCs w:val="24"/>
          <w:lang w:val="en-US" w:eastAsia="zh-CN"/>
        </w:rPr>
      </w:pPr>
      <w:r>
        <w:rPr>
          <w:rFonts w:hint="eastAsia" w:asciiTheme="minorEastAsia" w:hAnsiTheme="minorEastAsia" w:eastAsiaTheme="minorEastAsia"/>
          <w:sz w:val="24"/>
          <w:szCs w:val="24"/>
        </w:rPr>
        <w:t>实现发票开具、作废、冲红、部分冲红、汇总发票、权限控制、发票分类统计、查询等功能。</w:t>
      </w:r>
    </w:p>
    <w:p>
      <w:pPr>
        <w:pStyle w:val="3"/>
        <w:numPr>
          <w:ilvl w:val="1"/>
          <w:numId w:val="3"/>
        </w:numPr>
        <w:ind w:left="0" w:leftChars="0" w:firstLine="402" w:firstLineChars="0"/>
        <w:rPr>
          <w:sz w:val="24"/>
          <w:szCs w:val="24"/>
        </w:rPr>
      </w:pPr>
      <w:bookmarkStart w:id="22" w:name="_Toc19066"/>
      <w:r>
        <w:rPr>
          <w:rFonts w:hint="eastAsia"/>
          <w:sz w:val="24"/>
          <w:szCs w:val="24"/>
        </w:rPr>
        <w:t>建设原则</w:t>
      </w:r>
      <w:bookmarkEnd w:id="22"/>
    </w:p>
    <w:p>
      <w:pPr>
        <w:pStyle w:val="16"/>
        <w:keepNext w:val="0"/>
        <w:keepLines w:val="0"/>
        <w:pageBreakBefore w:val="0"/>
        <w:widowControl w:val="0"/>
        <w:numPr>
          <w:ilvl w:val="0"/>
          <w:numId w:val="0"/>
        </w:numPr>
        <w:kinsoku/>
        <w:wordWrap/>
        <w:overflowPunct/>
        <w:topLinePunct w:val="0"/>
        <w:autoSpaceDE/>
        <w:autoSpaceDN/>
        <w:bidi w:val="0"/>
        <w:adjustRightInd/>
        <w:snapToGrid/>
        <w:spacing w:before="0" w:beforeLines="100" w:after="0" w:afterLines="50" w:line="360" w:lineRule="auto"/>
        <w:ind w:leftChars="223" w:right="0" w:rightChars="0" w:firstLine="0" w:firstLineChars="0"/>
        <w:jc w:val="both"/>
        <w:textAlignment w:val="auto"/>
        <w:outlineLvl w:val="9"/>
        <w:rPr>
          <w:rFonts w:asciiTheme="minorEastAsia" w:hAnsiTheme="minorEastAsia" w:eastAsiaTheme="minorEastAsia"/>
          <w:sz w:val="24"/>
          <w:szCs w:val="24"/>
        </w:rPr>
      </w:pPr>
      <w:r>
        <w:rPr>
          <w:rFonts w:hint="eastAsia" w:asciiTheme="minorEastAsia" w:hAnsiTheme="minorEastAsia" w:eastAsiaTheme="minorEastAsia"/>
          <w:b/>
          <w:sz w:val="24"/>
          <w:szCs w:val="24"/>
        </w:rPr>
        <w:t>安全性：</w:t>
      </w:r>
      <w:r>
        <w:rPr>
          <w:rFonts w:hint="eastAsia" w:asciiTheme="minorEastAsia" w:hAnsiTheme="minorEastAsia" w:eastAsiaTheme="minorEastAsia"/>
          <w:sz w:val="24"/>
          <w:szCs w:val="24"/>
        </w:rPr>
        <w:t>系统的数据安全至关重要，提高应用系统中用户身份认证和数据传输的安全性，实现业务环节的责任认定。</w:t>
      </w:r>
    </w:p>
    <w:p>
      <w:pPr>
        <w:pStyle w:val="16"/>
        <w:keepNext w:val="0"/>
        <w:keepLines w:val="0"/>
        <w:pageBreakBefore w:val="0"/>
        <w:widowControl w:val="0"/>
        <w:numPr>
          <w:ilvl w:val="0"/>
          <w:numId w:val="0"/>
        </w:numPr>
        <w:kinsoku/>
        <w:wordWrap/>
        <w:overflowPunct/>
        <w:topLinePunct w:val="0"/>
        <w:autoSpaceDE/>
        <w:autoSpaceDN/>
        <w:bidi w:val="0"/>
        <w:adjustRightInd/>
        <w:snapToGrid/>
        <w:spacing w:before="0" w:beforeLines="100" w:after="0" w:afterLines="50" w:line="360" w:lineRule="auto"/>
        <w:ind w:leftChars="223" w:right="0" w:rightChars="0" w:firstLine="0" w:firstLineChars="0"/>
        <w:jc w:val="both"/>
        <w:textAlignment w:val="auto"/>
        <w:outlineLvl w:val="9"/>
        <w:rPr>
          <w:rFonts w:asciiTheme="minorEastAsia" w:hAnsiTheme="minorEastAsia" w:eastAsiaTheme="minorEastAsia"/>
          <w:sz w:val="24"/>
          <w:szCs w:val="24"/>
        </w:rPr>
      </w:pPr>
      <w:r>
        <w:rPr>
          <w:rFonts w:hint="eastAsia" w:asciiTheme="minorEastAsia" w:hAnsiTheme="minorEastAsia" w:eastAsiaTheme="minorEastAsia"/>
          <w:b/>
          <w:sz w:val="24"/>
          <w:szCs w:val="24"/>
        </w:rPr>
        <w:t>稳定性：</w:t>
      </w:r>
      <w:r>
        <w:rPr>
          <w:rFonts w:hint="eastAsia" w:asciiTheme="minorEastAsia" w:hAnsiTheme="minorEastAsia" w:eastAsiaTheme="minorEastAsia"/>
          <w:sz w:val="24"/>
          <w:szCs w:val="24"/>
        </w:rPr>
        <w:t>要求系统在网络正常的情况下必须满足足够的稳定性和健壮性。提供数据备份和数据紧急恢复功能，满足系统在数据库崩溃或其它异常情况下数据信息的正确性。</w:t>
      </w:r>
    </w:p>
    <w:p>
      <w:pPr>
        <w:pStyle w:val="16"/>
        <w:keepNext w:val="0"/>
        <w:keepLines w:val="0"/>
        <w:pageBreakBefore w:val="0"/>
        <w:widowControl w:val="0"/>
        <w:numPr>
          <w:ilvl w:val="0"/>
          <w:numId w:val="0"/>
        </w:numPr>
        <w:kinsoku/>
        <w:wordWrap/>
        <w:overflowPunct/>
        <w:topLinePunct w:val="0"/>
        <w:autoSpaceDE/>
        <w:autoSpaceDN/>
        <w:bidi w:val="0"/>
        <w:adjustRightInd/>
        <w:snapToGrid/>
        <w:spacing w:before="0" w:beforeLines="100" w:after="0" w:afterLines="50" w:line="360" w:lineRule="auto"/>
        <w:ind w:left="420" w:leftChars="200" w:right="0" w:rightChars="0" w:firstLine="0" w:firstLineChars="0"/>
        <w:jc w:val="both"/>
        <w:textAlignment w:val="auto"/>
        <w:outlineLvl w:val="9"/>
        <w:rPr>
          <w:rFonts w:asciiTheme="minorEastAsia" w:hAnsiTheme="minorEastAsia" w:eastAsiaTheme="minorEastAsia"/>
          <w:sz w:val="24"/>
          <w:szCs w:val="24"/>
          <w:highlight w:val="yellow"/>
        </w:rPr>
      </w:pPr>
      <w:r>
        <w:rPr>
          <w:rFonts w:hint="eastAsia" w:asciiTheme="minorEastAsia" w:hAnsiTheme="minorEastAsia" w:eastAsiaTheme="minorEastAsia"/>
          <w:b/>
          <w:sz w:val="24"/>
          <w:szCs w:val="24"/>
        </w:rPr>
        <w:t>分步性：</w:t>
      </w:r>
      <w:r>
        <w:rPr>
          <w:rFonts w:hint="eastAsia" w:asciiTheme="minorEastAsia" w:hAnsiTheme="minorEastAsia" w:eastAsiaTheme="minorEastAsia"/>
          <w:sz w:val="24"/>
          <w:szCs w:val="24"/>
        </w:rPr>
        <w:t>因时间过紧，整个系统对数据的安全性和稳定性要求比较高，而且国家税务总局对高速公路通行费增值税发票开具的实施细则尚未出台，所以本项目采取分步实施的原则，先按照目前发票开具的相关规定进行开发建设电子收费发票管理系统，再进行集团电子发票管理系统的开发，最后在高速公路通行费增值税发票开具实施细则出台后，再对电子收费发票管理系统进行升级改造。</w:t>
      </w:r>
    </w:p>
    <w:p>
      <w:pPr>
        <w:pStyle w:val="3"/>
        <w:numPr>
          <w:ilvl w:val="1"/>
          <w:numId w:val="3"/>
        </w:numPr>
        <w:ind w:left="0" w:leftChars="0" w:firstLine="402" w:firstLineChars="0"/>
      </w:pPr>
      <w:bookmarkStart w:id="23" w:name="_Toc27409"/>
      <w:r>
        <w:rPr>
          <w:rFonts w:hint="eastAsia"/>
        </w:rPr>
        <w:t>建设方案总体要求</w:t>
      </w:r>
      <w:bookmarkEnd w:id="23"/>
    </w:p>
    <w:p>
      <w:pPr>
        <w:pStyle w:val="16"/>
        <w:keepNext w:val="0"/>
        <w:keepLines w:val="0"/>
        <w:pageBreakBefore w:val="0"/>
        <w:widowControl w:val="0"/>
        <w:kinsoku/>
        <w:wordWrap/>
        <w:overflowPunct/>
        <w:topLinePunct w:val="0"/>
        <w:autoSpaceDE/>
        <w:autoSpaceDN/>
        <w:bidi w:val="0"/>
        <w:adjustRightInd/>
        <w:snapToGrid/>
        <w:spacing w:before="0" w:beforeLines="100" w:after="0" w:afterLines="50" w:line="360" w:lineRule="auto"/>
        <w:ind w:left="0" w:leftChars="0" w:right="0" w:rightChars="0" w:firstLine="480" w:firstLineChars="200"/>
        <w:jc w:val="both"/>
        <w:textAlignment w:val="auto"/>
        <w:outlineLvl w:val="9"/>
        <w:rPr>
          <w:rFonts w:hint="eastAsia" w:asciiTheme="minorEastAsia" w:hAnsiTheme="minorEastAsia"/>
          <w:sz w:val="24"/>
          <w:szCs w:val="24"/>
          <w:lang w:eastAsia="zh-CN"/>
        </w:rPr>
      </w:pPr>
      <w:r>
        <w:rPr>
          <w:rFonts w:hint="eastAsia" w:asciiTheme="minorEastAsia" w:hAnsiTheme="minorEastAsia" w:eastAsiaTheme="minorEastAsia"/>
          <w:sz w:val="24"/>
          <w:szCs w:val="24"/>
        </w:rPr>
        <w:t>根据集团公司现行的管理模式，本项目将按照现行管理模式，分别实现集中分配管理、分散开具、统一上传的管理模式，实现与</w:t>
      </w:r>
      <w:r>
        <w:rPr>
          <w:rFonts w:hint="eastAsia" w:asciiTheme="minorEastAsia" w:hAnsiTheme="minorEastAsia"/>
          <w:sz w:val="24"/>
          <w:szCs w:val="24"/>
          <w:lang w:eastAsia="zh-CN"/>
        </w:rPr>
        <w:t>xx卡</w:t>
      </w:r>
      <w:r>
        <w:rPr>
          <w:rFonts w:hint="eastAsia" w:asciiTheme="minorEastAsia" w:hAnsiTheme="minorEastAsia" w:eastAsiaTheme="minorEastAsia"/>
          <w:sz w:val="24"/>
          <w:szCs w:val="24"/>
        </w:rPr>
        <w:t>运营平台的对接，建设方案要能够兼顾现实与未来，要能够自动适应省国税局平台的技术规范标准，满足可操作性、可监控性、可拓展性</w:t>
      </w:r>
      <w:r>
        <w:rPr>
          <w:rFonts w:hint="eastAsia" w:asciiTheme="minorEastAsia" w:hAnsiTheme="minorEastAsia"/>
          <w:sz w:val="24"/>
          <w:szCs w:val="24"/>
          <w:lang w:eastAsia="zh-CN"/>
        </w:rPr>
        <w:t>。</w:t>
      </w:r>
    </w:p>
    <w:p>
      <w:pPr>
        <w:pStyle w:val="4"/>
        <w:numPr>
          <w:ilvl w:val="2"/>
          <w:numId w:val="0"/>
        </w:numPr>
        <w:ind w:leftChars="0" w:firstLine="420" w:firstLineChars="0"/>
      </w:pPr>
      <w:bookmarkStart w:id="24" w:name="_Toc29532"/>
      <w:r>
        <w:rPr>
          <w:rFonts w:hint="eastAsia"/>
          <w:lang w:val="en-US" w:eastAsia="zh-CN"/>
        </w:rPr>
        <w:t>1. 方案需求</w:t>
      </w:r>
      <w:bookmarkEnd w:id="24"/>
    </w:p>
    <w:p>
      <w:pPr>
        <w:pStyle w:val="5"/>
        <w:numPr>
          <w:ilvl w:val="3"/>
          <w:numId w:val="0"/>
        </w:numPr>
        <w:ind w:leftChars="0" w:firstLine="420" w:firstLineChars="0"/>
      </w:pPr>
      <w:bookmarkStart w:id="25" w:name="_Toc12922"/>
      <w:r>
        <w:rPr>
          <w:rFonts w:hint="eastAsia"/>
          <w:lang w:val="en-US" w:eastAsia="zh-CN"/>
        </w:rPr>
        <w:t>1.1</w:t>
      </w:r>
      <w:r>
        <w:rPr>
          <w:rFonts w:hint="eastAsia"/>
          <w:lang w:eastAsia="zh-CN"/>
        </w:rPr>
        <w:t>xx</w:t>
      </w:r>
      <w:r>
        <w:rPr>
          <w:rFonts w:hint="eastAsia"/>
        </w:rPr>
        <w:t>集团有限公司电子发票管理系统：</w:t>
      </w:r>
      <w:bookmarkEnd w:id="25"/>
    </w:p>
    <w:p>
      <w:pPr>
        <w:pStyle w:val="30"/>
        <w:keepNext w:val="0"/>
        <w:keepLines w:val="0"/>
        <w:pageBreakBefore w:val="0"/>
        <w:widowControl/>
        <w:kinsoku/>
        <w:wordWrap/>
        <w:overflowPunct/>
        <w:topLinePunct w:val="0"/>
        <w:autoSpaceDE/>
        <w:autoSpaceDN/>
        <w:bidi w:val="0"/>
        <w:adjustRightInd/>
        <w:snapToGrid/>
        <w:spacing w:after="150" w:line="360" w:lineRule="auto"/>
        <w:ind w:left="76" w:leftChars="0" w:right="76" w:rightChars="0" w:firstLine="560" w:firstLineChars="0"/>
        <w:jc w:val="both"/>
        <w:textAlignment w:val="auto"/>
        <w:outlineLvl w:val="9"/>
        <w:rPr>
          <w:rFonts w:asciiTheme="minorEastAsia" w:hAnsiTheme="minorEastAsia" w:eastAsiaTheme="minorEastAsia"/>
          <w:sz w:val="24"/>
          <w:szCs w:val="24"/>
        </w:rPr>
      </w:pPr>
      <w:r>
        <w:rPr>
          <w:rFonts w:hint="eastAsia" w:asciiTheme="minorEastAsia" w:hAnsiTheme="minorEastAsia" w:eastAsiaTheme="minorEastAsia"/>
          <w:sz w:val="24"/>
          <w:szCs w:val="24"/>
        </w:rPr>
        <w:t>（</w:t>
      </w:r>
      <w:r>
        <w:rPr>
          <w:rFonts w:asciiTheme="minorEastAsia" w:hAnsiTheme="minorEastAsia" w:eastAsiaTheme="minorEastAsia"/>
          <w:sz w:val="24"/>
          <w:szCs w:val="24"/>
        </w:rPr>
        <w:t>1</w:t>
      </w:r>
      <w:r>
        <w:rPr>
          <w:rFonts w:hint="eastAsia" w:asciiTheme="minorEastAsia" w:hAnsiTheme="minorEastAsia" w:eastAsiaTheme="minorEastAsia"/>
          <w:sz w:val="24"/>
          <w:szCs w:val="24"/>
        </w:rPr>
        <w:t>）实现基于集团各项业务的交易信息，校验传入的开票数据合法性，成功开具蓝字发票、红字发票；</w:t>
      </w:r>
    </w:p>
    <w:p>
      <w:pPr>
        <w:pStyle w:val="30"/>
        <w:keepNext w:val="0"/>
        <w:keepLines w:val="0"/>
        <w:pageBreakBefore w:val="0"/>
        <w:widowControl/>
        <w:kinsoku/>
        <w:wordWrap/>
        <w:overflowPunct/>
        <w:topLinePunct w:val="0"/>
        <w:autoSpaceDE/>
        <w:autoSpaceDN/>
        <w:bidi w:val="0"/>
        <w:adjustRightInd/>
        <w:snapToGrid/>
        <w:spacing w:after="150" w:line="360" w:lineRule="auto"/>
        <w:ind w:left="76" w:leftChars="0" w:right="76" w:rightChars="0" w:firstLine="560" w:firstLineChars="0"/>
        <w:jc w:val="both"/>
        <w:textAlignment w:val="auto"/>
        <w:outlineLvl w:val="9"/>
        <w:rPr>
          <w:rFonts w:asciiTheme="minorEastAsia" w:hAnsiTheme="minorEastAsia" w:eastAsiaTheme="minorEastAsia"/>
          <w:sz w:val="24"/>
          <w:szCs w:val="24"/>
        </w:rPr>
      </w:pPr>
      <w:r>
        <w:rPr>
          <w:rFonts w:hint="eastAsia" w:asciiTheme="minorEastAsia" w:hAnsiTheme="minorEastAsia" w:eastAsiaTheme="minorEastAsia"/>
          <w:sz w:val="24"/>
          <w:szCs w:val="24"/>
        </w:rPr>
        <w:t>（</w:t>
      </w:r>
      <w:r>
        <w:rPr>
          <w:rFonts w:asciiTheme="minorEastAsia" w:hAnsiTheme="minorEastAsia" w:eastAsiaTheme="minorEastAsia"/>
          <w:sz w:val="24"/>
          <w:szCs w:val="24"/>
        </w:rPr>
        <w:t>2</w:t>
      </w:r>
      <w:r>
        <w:rPr>
          <w:rFonts w:hint="eastAsia" w:asciiTheme="minorEastAsia" w:hAnsiTheme="minorEastAsia" w:eastAsiaTheme="minorEastAsia"/>
          <w:sz w:val="24"/>
          <w:szCs w:val="24"/>
        </w:rPr>
        <w:t>）实现电子发票多种方式向消费者的推送与通知、电子发票</w:t>
      </w:r>
      <w:r>
        <w:rPr>
          <w:rFonts w:asciiTheme="minorEastAsia" w:hAnsiTheme="minorEastAsia" w:eastAsiaTheme="minorEastAsia"/>
          <w:sz w:val="24"/>
          <w:szCs w:val="24"/>
        </w:rPr>
        <w:t>PDF</w:t>
      </w:r>
      <w:r>
        <w:rPr>
          <w:rFonts w:hint="eastAsia" w:asciiTheme="minorEastAsia" w:hAnsiTheme="minorEastAsia" w:eastAsiaTheme="minorEastAsia"/>
          <w:sz w:val="24"/>
          <w:szCs w:val="24"/>
        </w:rPr>
        <w:t>版式文件的生成并签章、电子发票数据存储管理、电子发票真伪查验等功能。</w:t>
      </w:r>
    </w:p>
    <w:p>
      <w:pPr>
        <w:pStyle w:val="30"/>
        <w:keepNext w:val="0"/>
        <w:keepLines w:val="0"/>
        <w:pageBreakBefore w:val="0"/>
        <w:widowControl/>
        <w:kinsoku/>
        <w:wordWrap/>
        <w:overflowPunct/>
        <w:topLinePunct w:val="0"/>
        <w:autoSpaceDE/>
        <w:autoSpaceDN/>
        <w:bidi w:val="0"/>
        <w:adjustRightInd/>
        <w:snapToGrid/>
        <w:spacing w:after="150" w:line="360" w:lineRule="auto"/>
        <w:ind w:left="76" w:leftChars="0" w:right="76" w:rightChars="0" w:firstLine="560" w:firstLineChars="0"/>
        <w:jc w:val="both"/>
        <w:textAlignment w:val="auto"/>
        <w:outlineLvl w:val="9"/>
        <w:rPr>
          <w:rFonts w:asciiTheme="minorEastAsia" w:hAnsiTheme="minorEastAsia" w:eastAsiaTheme="minorEastAsia"/>
          <w:sz w:val="24"/>
          <w:szCs w:val="24"/>
        </w:rPr>
      </w:pPr>
      <w:r>
        <w:rPr>
          <w:rFonts w:hint="eastAsia" w:asciiTheme="minorEastAsia" w:hAnsiTheme="minorEastAsia" w:eastAsiaTheme="minorEastAsia"/>
          <w:sz w:val="24"/>
          <w:szCs w:val="24"/>
        </w:rPr>
        <w:t>（</w:t>
      </w:r>
      <w:r>
        <w:rPr>
          <w:rFonts w:asciiTheme="minorEastAsia" w:hAnsiTheme="minorEastAsia" w:eastAsiaTheme="minorEastAsia"/>
          <w:sz w:val="24"/>
          <w:szCs w:val="24"/>
        </w:rPr>
        <w:t>3</w:t>
      </w:r>
      <w:r>
        <w:rPr>
          <w:rFonts w:hint="eastAsia" w:asciiTheme="minorEastAsia" w:hAnsiTheme="minorEastAsia" w:eastAsiaTheme="minorEastAsia"/>
          <w:sz w:val="24"/>
          <w:szCs w:val="24"/>
        </w:rPr>
        <w:t>）为向消费者提供电子发票的查询、验证、下载等相关服务。</w:t>
      </w:r>
    </w:p>
    <w:p>
      <w:pPr>
        <w:pStyle w:val="30"/>
        <w:keepNext w:val="0"/>
        <w:keepLines w:val="0"/>
        <w:pageBreakBefore w:val="0"/>
        <w:widowControl/>
        <w:kinsoku/>
        <w:wordWrap/>
        <w:overflowPunct/>
        <w:topLinePunct w:val="0"/>
        <w:autoSpaceDE/>
        <w:autoSpaceDN/>
        <w:bidi w:val="0"/>
        <w:adjustRightInd/>
        <w:snapToGrid/>
        <w:spacing w:after="0" w:line="360" w:lineRule="auto"/>
        <w:ind w:left="76" w:leftChars="0" w:right="76" w:rightChars="0" w:firstLine="560" w:firstLineChars="0"/>
        <w:jc w:val="both"/>
        <w:textAlignment w:val="auto"/>
        <w:outlineLvl w:val="9"/>
        <w:rPr>
          <w:rFonts w:asciiTheme="minorEastAsia" w:hAnsiTheme="minorEastAsia" w:eastAsiaTheme="minorEastAsia"/>
          <w:sz w:val="24"/>
          <w:szCs w:val="24"/>
        </w:rPr>
      </w:pPr>
      <w:r>
        <w:rPr>
          <w:rFonts w:hint="eastAsia" w:asciiTheme="minorEastAsia" w:hAnsiTheme="minorEastAsia" w:eastAsiaTheme="minorEastAsia"/>
          <w:sz w:val="24"/>
          <w:szCs w:val="24"/>
        </w:rPr>
        <w:t>（</w:t>
      </w:r>
      <w:r>
        <w:rPr>
          <w:rFonts w:asciiTheme="minorEastAsia" w:hAnsiTheme="minorEastAsia" w:eastAsiaTheme="minorEastAsia"/>
          <w:sz w:val="24"/>
          <w:szCs w:val="24"/>
        </w:rPr>
        <w:t>4</w:t>
      </w:r>
      <w:r>
        <w:rPr>
          <w:rFonts w:hint="eastAsia" w:asciiTheme="minorEastAsia" w:hAnsiTheme="minorEastAsia" w:eastAsiaTheme="minorEastAsia"/>
          <w:sz w:val="24"/>
          <w:szCs w:val="24"/>
        </w:rPr>
        <w:t>）实现面向采购人管理端的电子发票多维度查询与统计。</w:t>
      </w:r>
    </w:p>
    <w:p>
      <w:pPr>
        <w:pStyle w:val="5"/>
        <w:pageBreakBefore w:val="0"/>
        <w:numPr>
          <w:ilvl w:val="3"/>
          <w:numId w:val="0"/>
        </w:numPr>
        <w:kinsoku/>
        <w:wordWrap/>
        <w:overflowPunct/>
        <w:topLinePunct w:val="0"/>
        <w:autoSpaceDE/>
        <w:autoSpaceDN/>
        <w:bidi w:val="0"/>
        <w:adjustRightInd/>
        <w:snapToGrid/>
        <w:spacing w:before="0" w:after="0" w:line="360" w:lineRule="auto"/>
        <w:ind w:leftChars="0" w:firstLine="420" w:firstLineChars="0"/>
        <w:jc w:val="both"/>
        <w:textAlignment w:val="auto"/>
      </w:pPr>
      <w:bookmarkStart w:id="26" w:name="_Toc27278"/>
      <w:r>
        <w:rPr>
          <w:rFonts w:hint="eastAsia"/>
          <w:lang w:val="en-US" w:eastAsia="zh-CN"/>
        </w:rPr>
        <w:t>1.2</w:t>
      </w:r>
      <w:r>
        <w:rPr>
          <w:rFonts w:hint="eastAsia"/>
          <w:lang w:eastAsia="zh-CN"/>
        </w:rPr>
        <w:t>xx</w:t>
      </w:r>
      <w:r>
        <w:rPr>
          <w:rFonts w:hint="eastAsia"/>
        </w:rPr>
        <w:t>集团有限公司电子收费分公司发票管理系统：</w:t>
      </w:r>
      <w:bookmarkEnd w:id="26"/>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w:t>
      </w:r>
      <w:r>
        <w:rPr>
          <w:rFonts w:asciiTheme="minorEastAsia" w:hAnsiTheme="minorEastAsia" w:eastAsiaTheme="minorEastAsia"/>
          <w:sz w:val="24"/>
          <w:szCs w:val="24"/>
        </w:rPr>
        <w:t>1</w:t>
      </w:r>
      <w:r>
        <w:rPr>
          <w:rFonts w:hint="eastAsia" w:asciiTheme="minorEastAsia" w:hAnsiTheme="minorEastAsia" w:eastAsiaTheme="minorEastAsia"/>
          <w:sz w:val="24"/>
          <w:szCs w:val="24"/>
        </w:rPr>
        <w:t>）实现基于高速公路电子收费业务柜台缴费、手机缴费、自助设备缴费的交易信息，校验传入的开票数据合法性，成功开具蓝字发票、红字发票；</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w:t>
      </w:r>
      <w:r>
        <w:rPr>
          <w:rFonts w:asciiTheme="minorEastAsia" w:hAnsiTheme="minorEastAsia" w:eastAsiaTheme="minorEastAsia"/>
          <w:sz w:val="24"/>
          <w:szCs w:val="24"/>
        </w:rPr>
        <w:t>2</w:t>
      </w:r>
      <w:r>
        <w:rPr>
          <w:rFonts w:hint="eastAsia" w:asciiTheme="minorEastAsia" w:hAnsiTheme="minorEastAsia" w:eastAsiaTheme="minorEastAsia"/>
          <w:sz w:val="24"/>
          <w:szCs w:val="24"/>
        </w:rPr>
        <w:t>）实现电子发票多种方式向消费者的推送与通知、电子发票</w:t>
      </w:r>
      <w:r>
        <w:rPr>
          <w:rFonts w:asciiTheme="minorEastAsia" w:hAnsiTheme="minorEastAsia" w:eastAsiaTheme="minorEastAsia"/>
          <w:sz w:val="24"/>
          <w:szCs w:val="24"/>
        </w:rPr>
        <w:t>PDF</w:t>
      </w:r>
      <w:r>
        <w:rPr>
          <w:rFonts w:hint="eastAsia" w:asciiTheme="minorEastAsia" w:hAnsiTheme="minorEastAsia" w:eastAsiaTheme="minorEastAsia"/>
          <w:sz w:val="24"/>
          <w:szCs w:val="24"/>
        </w:rPr>
        <w:t>版式文件的生成并签章、电子发票数据存储管理、电子发票真伪查验等功能。</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w:t>
      </w:r>
      <w:r>
        <w:rPr>
          <w:rFonts w:asciiTheme="minorEastAsia" w:hAnsiTheme="minorEastAsia" w:eastAsiaTheme="minorEastAsia"/>
          <w:sz w:val="24"/>
          <w:szCs w:val="24"/>
        </w:rPr>
        <w:t>3</w:t>
      </w:r>
      <w:r>
        <w:rPr>
          <w:rFonts w:hint="eastAsia" w:asciiTheme="minorEastAsia" w:hAnsiTheme="minorEastAsia" w:eastAsiaTheme="minorEastAsia"/>
          <w:sz w:val="24"/>
          <w:szCs w:val="24"/>
        </w:rPr>
        <w:t>）为向消费者提供电子发票的查询、验证、下载等相关服务。</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w:t>
      </w:r>
      <w:r>
        <w:rPr>
          <w:rFonts w:asciiTheme="minorEastAsia" w:hAnsiTheme="minorEastAsia" w:eastAsiaTheme="minorEastAsia"/>
          <w:sz w:val="24"/>
          <w:szCs w:val="24"/>
        </w:rPr>
        <w:t>4</w:t>
      </w:r>
      <w:r>
        <w:rPr>
          <w:rFonts w:hint="eastAsia" w:asciiTheme="minorEastAsia" w:hAnsiTheme="minorEastAsia" w:eastAsiaTheme="minorEastAsia"/>
          <w:sz w:val="24"/>
          <w:szCs w:val="24"/>
        </w:rPr>
        <w:t>）实现面向采购人管理端的电子发票多维度查询与统计。</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w:t>
      </w:r>
      <w:r>
        <w:rPr>
          <w:rFonts w:asciiTheme="minorEastAsia" w:hAnsiTheme="minorEastAsia" w:eastAsiaTheme="minorEastAsia"/>
          <w:sz w:val="24"/>
          <w:szCs w:val="24"/>
        </w:rPr>
        <w:t>5</w:t>
      </w:r>
      <w:r>
        <w:rPr>
          <w:rFonts w:hint="eastAsia" w:asciiTheme="minorEastAsia" w:hAnsiTheme="minorEastAsia" w:eastAsiaTheme="minorEastAsia"/>
          <w:sz w:val="24"/>
          <w:szCs w:val="24"/>
        </w:rPr>
        <w:t>）国家税务总局出台有关高速公路电子收费业务发票开具的具体实施细则后，须按照税务部门的相关要求对系统进行升级、改造。</w:t>
      </w:r>
    </w:p>
    <w:p>
      <w:pPr>
        <w:pStyle w:val="4"/>
        <w:pageBreakBefore w:val="0"/>
        <w:numPr>
          <w:ilvl w:val="2"/>
          <w:numId w:val="0"/>
        </w:numPr>
        <w:kinsoku/>
        <w:wordWrap/>
        <w:overflowPunct/>
        <w:topLinePunct w:val="0"/>
        <w:autoSpaceDE/>
        <w:autoSpaceDN/>
        <w:bidi w:val="0"/>
        <w:adjustRightInd/>
        <w:snapToGrid/>
        <w:spacing w:before="0" w:after="0" w:line="360" w:lineRule="auto"/>
        <w:ind w:left="402" w:leftChars="0"/>
        <w:jc w:val="both"/>
        <w:textAlignment w:val="auto"/>
        <w:rPr>
          <w:rFonts w:asciiTheme="minorEastAsia" w:hAnsiTheme="minorEastAsia" w:eastAsiaTheme="minorEastAsia"/>
          <w:b/>
          <w:bCs/>
          <w:sz w:val="24"/>
          <w:szCs w:val="24"/>
        </w:rPr>
      </w:pPr>
      <w:bookmarkStart w:id="27" w:name="_Toc10681"/>
      <w:r>
        <w:rPr>
          <w:rFonts w:hint="eastAsia"/>
          <w:sz w:val="24"/>
          <w:szCs w:val="24"/>
          <w:lang w:val="en-US" w:eastAsia="zh-CN"/>
        </w:rPr>
        <w:t xml:space="preserve">2. </w:t>
      </w:r>
      <w:r>
        <w:rPr>
          <w:rFonts w:hint="eastAsia" w:asciiTheme="minorEastAsia" w:hAnsiTheme="minorEastAsia" w:eastAsiaTheme="minorEastAsia"/>
          <w:b/>
          <w:bCs/>
          <w:sz w:val="24"/>
          <w:szCs w:val="24"/>
        </w:rPr>
        <w:t>系统要求</w:t>
      </w:r>
      <w:bookmarkEnd w:id="27"/>
    </w:p>
    <w:p>
      <w:pPr>
        <w:pStyle w:val="5"/>
        <w:pageBreakBefore w:val="0"/>
        <w:numPr>
          <w:ilvl w:val="3"/>
          <w:numId w:val="0"/>
        </w:numPr>
        <w:tabs>
          <w:tab w:val="left" w:pos="0"/>
        </w:tabs>
        <w:kinsoku/>
        <w:wordWrap/>
        <w:overflowPunct/>
        <w:topLinePunct w:val="0"/>
        <w:autoSpaceDE/>
        <w:autoSpaceDN/>
        <w:bidi w:val="0"/>
        <w:adjustRightInd/>
        <w:snapToGrid/>
        <w:spacing w:before="0" w:after="0" w:line="360" w:lineRule="auto"/>
        <w:ind w:left="402" w:leftChars="0"/>
        <w:jc w:val="both"/>
        <w:textAlignment w:val="auto"/>
        <w:rPr>
          <w:sz w:val="24"/>
          <w:szCs w:val="24"/>
        </w:rPr>
      </w:pPr>
      <w:bookmarkStart w:id="28" w:name="_Toc7926"/>
      <w:r>
        <w:rPr>
          <w:rFonts w:hint="eastAsia"/>
          <w:sz w:val="24"/>
          <w:szCs w:val="24"/>
          <w:lang w:val="en-US" w:eastAsia="zh-CN"/>
        </w:rPr>
        <w:t xml:space="preserve">2.1 </w:t>
      </w:r>
      <w:r>
        <w:rPr>
          <w:rFonts w:hint="eastAsia"/>
          <w:sz w:val="24"/>
          <w:szCs w:val="24"/>
        </w:rPr>
        <w:t>实现公司可以开具增值税电子普通发票，达到节约成本、加强风险控制能力、提高工作效率和提升客户体验的目的。</w:t>
      </w:r>
      <w:bookmarkEnd w:id="28"/>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）电子发票管理系统支持开具的电子发票应适用于增值税普通发票（蓝字、红字）、全业务、全渠道。</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）电子发票管理系统通过实时获取中间库的业务数据，为业务人员、客户提供开票服务，在进行开票服务请求后，电子发票管理系统能够实时生成电子发票版式文件，并进行签名及签章操作；</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）中间库的数据来源于省厅业务系统数据库，数据内容为网上营业厅、手机</w:t>
      </w:r>
      <w:r>
        <w:rPr>
          <w:rFonts w:asciiTheme="minorEastAsia" w:hAnsiTheme="minorEastAsia" w:eastAsiaTheme="minorEastAsia"/>
          <w:sz w:val="24"/>
          <w:szCs w:val="24"/>
        </w:rPr>
        <w:t>APP</w:t>
      </w:r>
      <w:r>
        <w:rPr>
          <w:rFonts w:hint="eastAsia" w:asciiTheme="minorEastAsia" w:hAnsiTheme="minorEastAsia" w:eastAsiaTheme="minorEastAsia"/>
          <w:sz w:val="24"/>
          <w:szCs w:val="24"/>
        </w:rPr>
        <w:t>、线下网点产生的业务明细数据，业务类型主要分为申请记账卡、记账卡变更、申请储值卡、储值卡变更、申请电子标签、电子标签变更、记账卡缴费、储值卡充值等。服务商应规划设计电子发票中间库数据库模型，并在物理化之后进行初始化配置。</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电子发票管理系统应能够实时的、稳定的、准确的对中间库数据进行抽取，并通过对业务数据进行有效的数据分析，对业务数据进行整理、归集，熟知各业务场景下涉及到的金额的含义，准确的开具用户实际需求的电子发票。</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asciiTheme="minorEastAsia" w:hAnsiTheme="minorEastAsia" w:eastAsiaTheme="minorEastAsia"/>
          <w:sz w:val="24"/>
          <w:szCs w:val="24"/>
        </w:rPr>
        <w:t>(5</w:t>
      </w:r>
      <w:r>
        <w:rPr>
          <w:rFonts w:hint="eastAsia" w:asciiTheme="minorEastAsia" w:hAnsiTheme="minorEastAsia" w:eastAsiaTheme="minorEastAsia"/>
          <w:sz w:val="24"/>
          <w:szCs w:val="24"/>
        </w:rPr>
        <w:t>）数据抽取应采用高效的、安全的、可控的数据抽取工具，应符合国家颁布的相关软件产品安全条例的要求。数据抽取时应确保数据源的安全，确保所有数据不会泄漏，确保数据实时有效。</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asciiTheme="minorEastAsia" w:hAnsiTheme="minorEastAsia" w:eastAsiaTheme="minorEastAsia"/>
          <w:sz w:val="24"/>
          <w:szCs w:val="24"/>
        </w:rPr>
        <w:t>(6</w:t>
      </w:r>
      <w:r>
        <w:rPr>
          <w:rFonts w:hint="eastAsia" w:asciiTheme="minorEastAsia" w:hAnsiTheme="minorEastAsia" w:eastAsiaTheme="minorEastAsia"/>
          <w:sz w:val="24"/>
          <w:szCs w:val="24"/>
        </w:rPr>
        <w:t>）电子发票管理系统应支持在</w:t>
      </w:r>
      <w:r>
        <w:rPr>
          <w:rFonts w:asciiTheme="minorEastAsia" w:hAnsiTheme="minorEastAsia" w:eastAsiaTheme="minorEastAsia"/>
          <w:sz w:val="24"/>
          <w:szCs w:val="24"/>
        </w:rPr>
        <w:t>10</w:t>
      </w:r>
      <w:r>
        <w:rPr>
          <w:rFonts w:hint="eastAsia" w:asciiTheme="minorEastAsia" w:hAnsiTheme="minorEastAsia" w:eastAsiaTheme="minorEastAsia"/>
          <w:sz w:val="24"/>
          <w:szCs w:val="24"/>
        </w:rPr>
        <w:t>秒内把完成电子发票数据生成相应的发票版式文件，并提供用户查看和下载。</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asciiTheme="minorEastAsia" w:hAnsiTheme="minorEastAsia" w:eastAsiaTheme="minorEastAsia"/>
          <w:sz w:val="24"/>
          <w:szCs w:val="24"/>
        </w:rPr>
        <w:t>(7</w:t>
      </w:r>
      <w:r>
        <w:rPr>
          <w:rFonts w:hint="eastAsia" w:asciiTheme="minorEastAsia" w:hAnsiTheme="minorEastAsia" w:eastAsiaTheme="minorEastAsia"/>
          <w:sz w:val="24"/>
          <w:szCs w:val="24"/>
        </w:rPr>
        <w:t>）电子发票管理系统应满足财政部、国家档案局《会计档案管理办法》等规章制度对会计电子档案年限及归档的相关要求，支持公司内外部用户随时进行查阅、下载等操作；</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asciiTheme="minorEastAsia" w:hAnsiTheme="minorEastAsia" w:eastAsiaTheme="minorEastAsia"/>
          <w:sz w:val="24"/>
          <w:szCs w:val="24"/>
        </w:rPr>
        <w:t>(8</w:t>
      </w:r>
      <w:r>
        <w:rPr>
          <w:rFonts w:hint="eastAsia" w:asciiTheme="minorEastAsia" w:hAnsiTheme="minorEastAsia" w:eastAsiaTheme="minorEastAsia"/>
          <w:sz w:val="24"/>
          <w:szCs w:val="24"/>
        </w:rPr>
        <w:t>）电子发票管理系统应支持向各渠道业务系统提供电子发票查看下载的加密链接地址及发票版式文件的获取接口。电子发票管理系统应支持通过短信、邮件、微信、</w:t>
      </w:r>
      <w:r>
        <w:rPr>
          <w:rFonts w:asciiTheme="minorEastAsia" w:hAnsiTheme="minorEastAsia" w:eastAsiaTheme="minorEastAsia"/>
          <w:sz w:val="24"/>
          <w:szCs w:val="24"/>
        </w:rPr>
        <w:t>APP</w:t>
      </w:r>
      <w:r>
        <w:rPr>
          <w:rFonts w:hint="eastAsia" w:asciiTheme="minorEastAsia" w:hAnsiTheme="minorEastAsia" w:eastAsiaTheme="minorEastAsia"/>
          <w:sz w:val="24"/>
          <w:szCs w:val="24"/>
        </w:rPr>
        <w:t>等方式推送电子发票主要信息及查验、下载链接至客户；支持客户在国税局官方网站等经过国家认证的渠道通过发票信息查询并下载电子发票；</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asciiTheme="minorEastAsia" w:hAnsiTheme="minorEastAsia" w:eastAsiaTheme="minorEastAsia"/>
          <w:sz w:val="24"/>
          <w:szCs w:val="24"/>
        </w:rPr>
        <w:t>(9</w:t>
      </w:r>
      <w:r>
        <w:rPr>
          <w:rFonts w:hint="eastAsia" w:asciiTheme="minorEastAsia" w:hAnsiTheme="minorEastAsia" w:eastAsiaTheme="minorEastAsia"/>
          <w:sz w:val="24"/>
          <w:szCs w:val="24"/>
        </w:rPr>
        <w:t>）电子发票管理系统应能够对电子发票进行归集，提供数据对账服务。</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asciiTheme="minorEastAsia" w:hAnsiTheme="minorEastAsia" w:eastAsiaTheme="minorEastAsia"/>
          <w:sz w:val="24"/>
          <w:szCs w:val="24"/>
        </w:rPr>
        <w:t>(10</w:t>
      </w:r>
      <w:r>
        <w:rPr>
          <w:rFonts w:hint="eastAsia" w:asciiTheme="minorEastAsia" w:hAnsiTheme="minorEastAsia" w:eastAsiaTheme="minorEastAsia"/>
          <w:sz w:val="24"/>
          <w:szCs w:val="24"/>
        </w:rPr>
        <w:t>）对于红冲发票，需支持和原来的蓝字发票进行关联；索取时将红字和蓝字发票同时发送给客户。</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asciiTheme="minorEastAsia" w:hAnsiTheme="minorEastAsia" w:eastAsiaTheme="minorEastAsia"/>
          <w:sz w:val="24"/>
          <w:szCs w:val="24"/>
        </w:rPr>
        <w:t>(11</w:t>
      </w:r>
      <w:r>
        <w:rPr>
          <w:rFonts w:hint="eastAsia" w:asciiTheme="minorEastAsia" w:hAnsiTheme="minorEastAsia" w:eastAsiaTheme="minorEastAsia"/>
          <w:sz w:val="24"/>
          <w:szCs w:val="24"/>
        </w:rPr>
        <w:t>）电子发票管理系统应提供权限管理模块，分部门，分角色，可维护网点权限。包含但不仅限于以下统计分析功能：分网点开具情况统计分析、分渠道开具情况统计分析、分时段开具情况统计分析。</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asciiTheme="minorEastAsia" w:hAnsiTheme="minorEastAsia" w:eastAsiaTheme="minorEastAsia"/>
          <w:sz w:val="24"/>
          <w:szCs w:val="24"/>
        </w:rPr>
        <w:t>(12</w:t>
      </w:r>
      <w:r>
        <w:rPr>
          <w:rFonts w:hint="eastAsia" w:asciiTheme="minorEastAsia" w:hAnsiTheme="minorEastAsia" w:eastAsiaTheme="minorEastAsia"/>
          <w:sz w:val="24"/>
          <w:szCs w:val="24"/>
        </w:rPr>
        <w:t>）电子发票管理系统服务商应按照国家规定免费提供</w:t>
      </w:r>
      <w:r>
        <w:rPr>
          <w:rFonts w:hint="eastAsia" w:asciiTheme="minorEastAsia" w:hAnsiTheme="minorEastAsia"/>
          <w:sz w:val="24"/>
          <w:szCs w:val="24"/>
          <w:lang w:eastAsia="zh-CN"/>
        </w:rPr>
        <w:t>xx</w:t>
      </w:r>
      <w:r>
        <w:rPr>
          <w:rFonts w:hint="eastAsia" w:asciiTheme="minorEastAsia" w:hAnsiTheme="minorEastAsia" w:eastAsiaTheme="minorEastAsia"/>
          <w:sz w:val="24"/>
          <w:szCs w:val="24"/>
        </w:rPr>
        <w:t>交通电子发票版式文件及数据传输使用的相关国家认可的第三方数字证书，承担相关数字证书的年度使用费，并确保</w:t>
      </w:r>
      <w:r>
        <w:rPr>
          <w:rFonts w:hint="eastAsia" w:asciiTheme="minorEastAsia" w:hAnsiTheme="minorEastAsia"/>
          <w:sz w:val="24"/>
          <w:szCs w:val="24"/>
          <w:lang w:eastAsia="zh-CN"/>
        </w:rPr>
        <w:t>xx</w:t>
      </w:r>
      <w:r>
        <w:rPr>
          <w:rFonts w:hint="eastAsia" w:asciiTheme="minorEastAsia" w:hAnsiTheme="minorEastAsia" w:eastAsiaTheme="minorEastAsia"/>
          <w:sz w:val="24"/>
          <w:szCs w:val="24"/>
        </w:rPr>
        <w:t>交通数字证书的安全妥善保管。</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asciiTheme="minorEastAsia" w:hAnsiTheme="minorEastAsia" w:eastAsiaTheme="minorEastAsia"/>
          <w:sz w:val="24"/>
          <w:szCs w:val="24"/>
        </w:rPr>
        <w:t>(13</w:t>
      </w:r>
      <w:r>
        <w:rPr>
          <w:rFonts w:hint="eastAsia" w:asciiTheme="minorEastAsia" w:hAnsiTheme="minorEastAsia" w:eastAsiaTheme="minorEastAsia"/>
          <w:sz w:val="24"/>
          <w:szCs w:val="24"/>
        </w:rPr>
        <w:t>）电子发票开具服务平台服务商应保障电子发票开具服务平台</w:t>
      </w:r>
      <w:r>
        <w:rPr>
          <w:rFonts w:asciiTheme="minorEastAsia" w:hAnsiTheme="minorEastAsia" w:eastAsiaTheme="minorEastAsia"/>
          <w:sz w:val="24"/>
          <w:szCs w:val="24"/>
        </w:rPr>
        <w:t>7*24</w:t>
      </w:r>
      <w:r>
        <w:rPr>
          <w:rFonts w:hint="eastAsia" w:asciiTheme="minorEastAsia" w:hAnsiTheme="minorEastAsia" w:eastAsiaTheme="minorEastAsia"/>
          <w:sz w:val="24"/>
          <w:szCs w:val="24"/>
        </w:rPr>
        <w:t>小时不间断运行，支持对我公司随时进行电子发票开具及下载，并提供技术支持服务。</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asciiTheme="minorEastAsia" w:hAnsiTheme="minorEastAsia" w:eastAsiaTheme="minorEastAsia"/>
          <w:sz w:val="24"/>
          <w:szCs w:val="24"/>
        </w:rPr>
        <w:t>(14</w:t>
      </w:r>
      <w:r>
        <w:rPr>
          <w:rFonts w:hint="eastAsia" w:asciiTheme="minorEastAsia" w:hAnsiTheme="minorEastAsia" w:eastAsiaTheme="minorEastAsia"/>
          <w:sz w:val="24"/>
          <w:szCs w:val="24"/>
        </w:rPr>
        <w:t>）需免费提供合作期间开具的所有电子发票的数据迁移工作。</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asciiTheme="minorEastAsia" w:hAnsiTheme="minorEastAsia" w:eastAsiaTheme="minorEastAsia"/>
          <w:sz w:val="24"/>
          <w:szCs w:val="24"/>
        </w:rPr>
        <w:t>(15</w:t>
      </w:r>
      <w:r>
        <w:rPr>
          <w:rFonts w:hint="eastAsia" w:asciiTheme="minorEastAsia" w:hAnsiTheme="minorEastAsia" w:eastAsiaTheme="minorEastAsia"/>
          <w:sz w:val="24"/>
          <w:szCs w:val="24"/>
        </w:rPr>
        <w:t>）需全面支持电子发票管理系统建设过程中的开发和调试工作及其他合理的技术支持。</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asciiTheme="minorEastAsia" w:hAnsiTheme="minorEastAsia" w:eastAsiaTheme="minorEastAsia"/>
          <w:sz w:val="24"/>
          <w:szCs w:val="24"/>
        </w:rPr>
        <w:t>(16</w:t>
      </w:r>
      <w:r>
        <w:rPr>
          <w:rFonts w:hint="eastAsia" w:asciiTheme="minorEastAsia" w:hAnsiTheme="minorEastAsia" w:eastAsiaTheme="minorEastAsia"/>
          <w:sz w:val="24"/>
          <w:szCs w:val="24"/>
        </w:rPr>
        <w:t>）在国家税务总局出台高速公路电子发票实施细则后，服务商应免费对电子发票管理系统进行升级改造。</w:t>
      </w:r>
    </w:p>
    <w:p>
      <w:pPr>
        <w:pStyle w:val="5"/>
        <w:pageBreakBefore w:val="0"/>
        <w:numPr>
          <w:ilvl w:val="3"/>
          <w:numId w:val="0"/>
        </w:numPr>
        <w:tabs>
          <w:tab w:val="left" w:pos="0"/>
        </w:tabs>
        <w:kinsoku/>
        <w:wordWrap/>
        <w:overflowPunct/>
        <w:topLinePunct w:val="0"/>
        <w:autoSpaceDE/>
        <w:autoSpaceDN/>
        <w:bidi w:val="0"/>
        <w:adjustRightInd/>
        <w:snapToGrid/>
        <w:spacing w:before="0" w:after="0" w:line="360" w:lineRule="auto"/>
        <w:ind w:left="402" w:leftChars="0"/>
        <w:jc w:val="both"/>
        <w:textAlignment w:val="auto"/>
      </w:pPr>
      <w:bookmarkStart w:id="29" w:name="_Toc11314"/>
      <w:r>
        <w:rPr>
          <w:rFonts w:hint="eastAsia"/>
          <w:lang w:val="en-US" w:eastAsia="zh-CN"/>
        </w:rPr>
        <w:t xml:space="preserve">2.2 </w:t>
      </w:r>
      <w:r>
        <w:rPr>
          <w:rFonts w:hint="eastAsia"/>
        </w:rPr>
        <w:t>实现与外部发票查验平台对接，准确记录查验结果，达到控制假票风险、减少重复低价值劳动、提高工作效率的目的。</w:t>
      </w:r>
      <w:bookmarkEnd w:id="29"/>
    </w:p>
    <w:p>
      <w:pPr>
        <w:pStyle w:val="30"/>
        <w:keepNext w:val="0"/>
        <w:keepLines w:val="0"/>
        <w:pageBreakBefore w:val="0"/>
        <w:widowControl/>
        <w:kinsoku/>
        <w:wordWrap/>
        <w:overflowPunct/>
        <w:topLinePunct w:val="0"/>
        <w:autoSpaceDE/>
        <w:autoSpaceDN/>
        <w:bidi w:val="0"/>
        <w:adjustRightInd/>
        <w:snapToGrid/>
        <w:spacing w:after="0" w:line="360" w:lineRule="auto"/>
        <w:ind w:left="76" w:leftChars="0" w:right="76" w:rightChars="0" w:firstLine="560" w:firstLineChars="0"/>
        <w:jc w:val="both"/>
        <w:textAlignment w:val="auto"/>
        <w:outlineLvl w:val="9"/>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）发票查验平台可查验的发票范围应包括：（</w:t>
      </w:r>
      <w:r>
        <w:rPr>
          <w:rFonts w:asciiTheme="minorEastAsia" w:hAnsiTheme="minorEastAsia" w:eastAsiaTheme="minorEastAsia"/>
          <w:sz w:val="24"/>
          <w:szCs w:val="24"/>
        </w:rPr>
        <w:t>a</w:t>
      </w:r>
      <w:r>
        <w:rPr>
          <w:rFonts w:hint="eastAsia" w:asciiTheme="minorEastAsia" w:hAnsiTheme="minorEastAsia" w:eastAsiaTheme="minorEastAsia"/>
          <w:sz w:val="24"/>
          <w:szCs w:val="24"/>
        </w:rPr>
        <w:t>）不限发票载体，含纸质和电子发票；（</w:t>
      </w:r>
      <w:r>
        <w:rPr>
          <w:rFonts w:asciiTheme="minorEastAsia" w:hAnsiTheme="minorEastAsia" w:eastAsiaTheme="minorEastAsia"/>
          <w:sz w:val="24"/>
          <w:szCs w:val="24"/>
        </w:rPr>
        <w:t>b</w:t>
      </w:r>
      <w:r>
        <w:rPr>
          <w:rFonts w:hint="eastAsia" w:asciiTheme="minorEastAsia" w:hAnsiTheme="minorEastAsia" w:eastAsiaTheme="minorEastAsia"/>
          <w:sz w:val="24"/>
          <w:szCs w:val="24"/>
        </w:rPr>
        <w:t>）国税网站提供查验功能的增值税专用发票、增值税普通发票等；</w:t>
      </w:r>
    </w:p>
    <w:p>
      <w:pPr>
        <w:pStyle w:val="30"/>
        <w:keepNext w:val="0"/>
        <w:keepLines w:val="0"/>
        <w:pageBreakBefore w:val="0"/>
        <w:widowControl/>
        <w:kinsoku/>
        <w:wordWrap/>
        <w:overflowPunct/>
        <w:topLinePunct w:val="0"/>
        <w:autoSpaceDE/>
        <w:autoSpaceDN/>
        <w:bidi w:val="0"/>
        <w:adjustRightInd/>
        <w:snapToGrid/>
        <w:spacing w:after="0" w:line="360" w:lineRule="auto"/>
        <w:ind w:left="76" w:leftChars="0" w:right="76" w:rightChars="0" w:firstLine="560" w:firstLineChars="0"/>
        <w:jc w:val="both"/>
        <w:textAlignment w:val="auto"/>
        <w:outlineLvl w:val="9"/>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）发票查验平台返回的查验结果应确保与税局网站查验结果完全一致，若因发票查验结果与税务查验系统不一致，导致在税务检查中发现异常</w:t>
      </w:r>
      <w:r>
        <w:rPr>
          <w:rFonts w:asciiTheme="minorEastAsia" w:hAnsiTheme="minorEastAsia" w:eastAsiaTheme="minorEastAsia"/>
          <w:sz w:val="24"/>
          <w:szCs w:val="24"/>
        </w:rPr>
        <w:t>,</w:t>
      </w:r>
      <w:r>
        <w:rPr>
          <w:rFonts w:hint="eastAsia" w:asciiTheme="minorEastAsia" w:hAnsiTheme="minorEastAsia" w:eastAsiaTheme="minorEastAsia"/>
          <w:sz w:val="24"/>
          <w:szCs w:val="24"/>
        </w:rPr>
        <w:t>所带来的风险与税务处罚由服务商全额承担；</w:t>
      </w:r>
    </w:p>
    <w:p>
      <w:pPr>
        <w:pStyle w:val="30"/>
        <w:keepNext w:val="0"/>
        <w:keepLines w:val="0"/>
        <w:pageBreakBefore w:val="0"/>
        <w:widowControl/>
        <w:kinsoku/>
        <w:wordWrap/>
        <w:overflowPunct/>
        <w:topLinePunct w:val="0"/>
        <w:autoSpaceDE/>
        <w:autoSpaceDN/>
        <w:bidi w:val="0"/>
        <w:adjustRightInd/>
        <w:snapToGrid/>
        <w:spacing w:after="0" w:line="360" w:lineRule="auto"/>
        <w:ind w:left="76" w:leftChars="0" w:right="76" w:rightChars="0" w:firstLine="560" w:firstLineChars="0"/>
        <w:jc w:val="both"/>
        <w:textAlignment w:val="auto"/>
        <w:outlineLvl w:val="9"/>
        <w:rPr>
          <w:rFonts w:asciiTheme="minorEastAsia" w:hAnsiTheme="minorEastAsia" w:eastAsiaTheme="minorEastAsia"/>
          <w:sz w:val="24"/>
          <w:szCs w:val="24"/>
        </w:rPr>
      </w:pPr>
      <w:r>
        <w:rPr>
          <w:rFonts w:asciiTheme="minorEastAsia" w:hAnsiTheme="minorEastAsia" w:eastAsiaTheme="minorEastAsia"/>
          <w:sz w:val="24"/>
          <w:szCs w:val="24"/>
        </w:rPr>
        <w:t xml:space="preserve"> (3</w:t>
      </w:r>
      <w:r>
        <w:rPr>
          <w:rFonts w:hint="eastAsia" w:asciiTheme="minorEastAsia" w:hAnsiTheme="minorEastAsia" w:eastAsiaTheme="minorEastAsia"/>
          <w:sz w:val="24"/>
          <w:szCs w:val="24"/>
        </w:rPr>
        <w:t>）发票查验平台应保证</w:t>
      </w:r>
      <w:r>
        <w:rPr>
          <w:rFonts w:asciiTheme="minorEastAsia" w:hAnsiTheme="minorEastAsia" w:eastAsiaTheme="minorEastAsia"/>
          <w:sz w:val="24"/>
          <w:szCs w:val="24"/>
        </w:rPr>
        <w:t>7*24</w:t>
      </w:r>
      <w:r>
        <w:rPr>
          <w:rFonts w:hint="eastAsia" w:asciiTheme="minorEastAsia" w:hAnsiTheme="minorEastAsia" w:eastAsiaTheme="minorEastAsia"/>
          <w:sz w:val="24"/>
          <w:szCs w:val="24"/>
        </w:rPr>
        <w:t>小时不间断提供服务，并提供对</w:t>
      </w:r>
      <w:r>
        <w:rPr>
          <w:rFonts w:hint="eastAsia" w:asciiTheme="minorEastAsia" w:hAnsiTheme="minorEastAsia"/>
          <w:sz w:val="24"/>
          <w:szCs w:val="24"/>
          <w:lang w:eastAsia="zh-CN"/>
        </w:rPr>
        <w:t>xx</w:t>
      </w:r>
      <w:r>
        <w:rPr>
          <w:rFonts w:hint="eastAsia" w:asciiTheme="minorEastAsia" w:hAnsiTheme="minorEastAsia" w:eastAsiaTheme="minorEastAsia"/>
          <w:sz w:val="24"/>
          <w:szCs w:val="24"/>
        </w:rPr>
        <w:t>交通的技术支持服务。</w:t>
      </w:r>
    </w:p>
    <w:p>
      <w:pPr>
        <w:pStyle w:val="4"/>
        <w:pageBreakBefore w:val="0"/>
        <w:numPr>
          <w:ilvl w:val="2"/>
          <w:numId w:val="0"/>
        </w:numPr>
        <w:kinsoku/>
        <w:wordWrap/>
        <w:overflowPunct/>
        <w:topLinePunct w:val="0"/>
        <w:autoSpaceDE/>
        <w:autoSpaceDN/>
        <w:bidi w:val="0"/>
        <w:adjustRightInd/>
        <w:snapToGrid/>
        <w:spacing w:before="0" w:after="0" w:line="360" w:lineRule="auto"/>
        <w:ind w:leftChars="0"/>
        <w:jc w:val="both"/>
        <w:textAlignment w:val="auto"/>
      </w:pPr>
      <w:bookmarkStart w:id="30" w:name="_Toc28186"/>
      <w:r>
        <w:rPr>
          <w:rFonts w:hint="eastAsia"/>
          <w:lang w:val="en-US" w:eastAsia="zh-CN"/>
        </w:rPr>
        <w:t>3.</w:t>
      </w:r>
      <w:r>
        <w:rPr>
          <w:rFonts w:hint="eastAsia"/>
        </w:rPr>
        <w:t>技术指标</w:t>
      </w:r>
      <w:bookmarkEnd w:id="30"/>
    </w:p>
    <w:p>
      <w:pPr>
        <w:pStyle w:val="5"/>
        <w:pageBreakBefore w:val="0"/>
        <w:numPr>
          <w:ilvl w:val="3"/>
          <w:numId w:val="0"/>
        </w:numPr>
        <w:kinsoku/>
        <w:wordWrap/>
        <w:overflowPunct/>
        <w:topLinePunct w:val="0"/>
        <w:autoSpaceDE/>
        <w:autoSpaceDN/>
        <w:bidi w:val="0"/>
        <w:adjustRightInd/>
        <w:snapToGrid/>
        <w:spacing w:before="0" w:after="0" w:line="360" w:lineRule="auto"/>
        <w:ind w:leftChars="0" w:firstLine="420" w:firstLineChars="0"/>
        <w:jc w:val="both"/>
        <w:textAlignment w:val="auto"/>
        <w:rPr>
          <w:rFonts w:asciiTheme="minorEastAsia" w:hAnsiTheme="minorEastAsia" w:eastAsiaTheme="minorEastAsia"/>
          <w:sz w:val="24"/>
          <w:szCs w:val="24"/>
        </w:rPr>
      </w:pPr>
      <w:bookmarkStart w:id="31" w:name="_Toc6718"/>
      <w:r>
        <w:rPr>
          <w:rStyle w:val="44"/>
          <w:rFonts w:hint="eastAsia" w:eastAsiaTheme="minorEastAsia"/>
          <w:b/>
          <w:bCs/>
          <w:lang w:val="en-US" w:eastAsia="zh-CN"/>
        </w:rPr>
        <w:t>3.1</w:t>
      </w:r>
      <w:r>
        <w:rPr>
          <w:rFonts w:hint="eastAsia" w:asciiTheme="minorEastAsia" w:hAnsiTheme="minorEastAsia" w:eastAsiaTheme="minorEastAsia"/>
          <w:sz w:val="24"/>
          <w:szCs w:val="24"/>
        </w:rPr>
        <w:t>产品质量要求</w:t>
      </w:r>
      <w:bookmarkEnd w:id="31"/>
    </w:p>
    <w:p>
      <w:pPr>
        <w:pStyle w:val="30"/>
        <w:keepNext w:val="0"/>
        <w:keepLines w:val="0"/>
        <w:pageBreakBefore w:val="0"/>
        <w:widowControl/>
        <w:kinsoku/>
        <w:wordWrap/>
        <w:overflowPunct/>
        <w:topLinePunct w:val="0"/>
        <w:autoSpaceDE/>
        <w:autoSpaceDN/>
        <w:bidi w:val="0"/>
        <w:adjustRightInd/>
        <w:snapToGrid/>
        <w:spacing w:after="0" w:line="360" w:lineRule="auto"/>
        <w:ind w:left="76" w:leftChars="0" w:right="76" w:rightChars="0" w:firstLine="560" w:firstLineChars="0"/>
        <w:jc w:val="both"/>
        <w:textAlignment w:val="auto"/>
        <w:outlineLvl w:val="9"/>
        <w:rPr>
          <w:rFonts w:asciiTheme="minorEastAsia" w:hAnsiTheme="minorEastAsia" w:eastAsiaTheme="minorEastAsia"/>
          <w:sz w:val="24"/>
          <w:szCs w:val="24"/>
        </w:rPr>
      </w:pPr>
      <w:r>
        <w:rPr>
          <w:rFonts w:hint="eastAsia" w:asciiTheme="minorEastAsia" w:hAnsiTheme="minorEastAsia" w:eastAsiaTheme="minorEastAsia"/>
          <w:sz w:val="24"/>
          <w:szCs w:val="24"/>
        </w:rPr>
        <w:t>要求服务商对其提供的软件具有合法版权。</w:t>
      </w:r>
    </w:p>
    <w:p>
      <w:pPr>
        <w:pStyle w:val="30"/>
        <w:keepNext w:val="0"/>
        <w:keepLines w:val="0"/>
        <w:pageBreakBefore w:val="0"/>
        <w:widowControl/>
        <w:kinsoku/>
        <w:wordWrap/>
        <w:overflowPunct/>
        <w:topLinePunct w:val="0"/>
        <w:autoSpaceDE/>
        <w:autoSpaceDN/>
        <w:bidi w:val="0"/>
        <w:adjustRightInd/>
        <w:snapToGrid/>
        <w:spacing w:after="0" w:line="360" w:lineRule="auto"/>
        <w:ind w:left="76" w:leftChars="0" w:right="76" w:rightChars="0" w:firstLine="560" w:firstLineChars="0"/>
        <w:jc w:val="both"/>
        <w:textAlignment w:val="auto"/>
        <w:outlineLvl w:val="9"/>
        <w:rPr>
          <w:rFonts w:asciiTheme="minorEastAsia" w:hAnsiTheme="minorEastAsia" w:eastAsiaTheme="minorEastAsia"/>
          <w:sz w:val="24"/>
          <w:szCs w:val="24"/>
        </w:rPr>
      </w:pPr>
      <w:r>
        <w:rPr>
          <w:rFonts w:hint="eastAsia" w:asciiTheme="minorEastAsia" w:hAnsiTheme="minorEastAsia" w:eastAsiaTheme="minorEastAsia"/>
          <w:sz w:val="24"/>
          <w:szCs w:val="24"/>
        </w:rPr>
        <w:t>服务商需确保产品各项功能执行结果正确，按照合同承担因产品功能缺陷所导致的损失。</w:t>
      </w:r>
    </w:p>
    <w:p>
      <w:pPr>
        <w:pStyle w:val="30"/>
        <w:keepNext w:val="0"/>
        <w:keepLines w:val="0"/>
        <w:pageBreakBefore w:val="0"/>
        <w:widowControl/>
        <w:kinsoku/>
        <w:wordWrap/>
        <w:overflowPunct/>
        <w:topLinePunct w:val="0"/>
        <w:autoSpaceDE/>
        <w:autoSpaceDN/>
        <w:bidi w:val="0"/>
        <w:adjustRightInd/>
        <w:snapToGrid/>
        <w:spacing w:after="0" w:line="360" w:lineRule="auto"/>
        <w:ind w:left="76" w:leftChars="0" w:right="76" w:rightChars="0" w:firstLine="560" w:firstLineChars="0"/>
        <w:jc w:val="both"/>
        <w:textAlignment w:val="auto"/>
        <w:outlineLvl w:val="9"/>
        <w:rPr>
          <w:rFonts w:asciiTheme="minorEastAsia" w:hAnsiTheme="minorEastAsia" w:eastAsiaTheme="minorEastAsia"/>
          <w:sz w:val="24"/>
          <w:szCs w:val="24"/>
        </w:rPr>
      </w:pPr>
      <w:r>
        <w:rPr>
          <w:rFonts w:hint="eastAsia" w:asciiTheme="minorEastAsia" w:hAnsiTheme="minorEastAsia" w:eastAsiaTheme="minorEastAsia"/>
          <w:sz w:val="24"/>
          <w:szCs w:val="24"/>
        </w:rPr>
        <w:t>服务商产品可支持电子发票开具服务及发票查验服务不间断运营开票，且设备在长时间持续开机情况下运行稳定。</w:t>
      </w:r>
    </w:p>
    <w:p>
      <w:pPr>
        <w:pStyle w:val="30"/>
        <w:keepNext w:val="0"/>
        <w:keepLines w:val="0"/>
        <w:pageBreakBefore w:val="0"/>
        <w:widowControl/>
        <w:kinsoku/>
        <w:wordWrap/>
        <w:overflowPunct/>
        <w:topLinePunct w:val="0"/>
        <w:autoSpaceDE/>
        <w:autoSpaceDN/>
        <w:bidi w:val="0"/>
        <w:adjustRightInd/>
        <w:snapToGrid/>
        <w:spacing w:after="0" w:line="360" w:lineRule="auto"/>
        <w:ind w:left="76" w:leftChars="0" w:right="76" w:rightChars="0" w:firstLine="560" w:firstLineChars="0"/>
        <w:jc w:val="both"/>
        <w:textAlignment w:val="auto"/>
        <w:outlineLvl w:val="9"/>
        <w:rPr>
          <w:rFonts w:asciiTheme="minorEastAsia" w:hAnsiTheme="minorEastAsia" w:eastAsiaTheme="minorEastAsia"/>
          <w:sz w:val="24"/>
          <w:szCs w:val="24"/>
        </w:rPr>
      </w:pPr>
      <w:r>
        <w:rPr>
          <w:rFonts w:hint="eastAsia" w:asciiTheme="minorEastAsia" w:hAnsiTheme="minorEastAsia" w:eastAsiaTheme="minorEastAsia"/>
          <w:sz w:val="24"/>
          <w:szCs w:val="24"/>
        </w:rPr>
        <w:t>服务商产品可支持我公司开具的电子发票长期安全保管，并在保管期内向我公司及我公司客户提供便捷高效的查询获取服务</w:t>
      </w:r>
      <w:r>
        <w:rPr>
          <w:rFonts w:asciiTheme="minorEastAsia" w:hAnsiTheme="minorEastAsia" w:eastAsiaTheme="minorEastAsia"/>
          <w:sz w:val="24"/>
          <w:szCs w:val="24"/>
        </w:rPr>
        <w:t>.</w:t>
      </w:r>
    </w:p>
    <w:p>
      <w:pPr>
        <w:pStyle w:val="30"/>
        <w:keepNext w:val="0"/>
        <w:keepLines w:val="0"/>
        <w:pageBreakBefore w:val="0"/>
        <w:widowControl/>
        <w:kinsoku/>
        <w:wordWrap/>
        <w:overflowPunct/>
        <w:topLinePunct w:val="0"/>
        <w:autoSpaceDE/>
        <w:autoSpaceDN/>
        <w:bidi w:val="0"/>
        <w:adjustRightInd/>
        <w:snapToGrid/>
        <w:spacing w:after="0" w:line="360" w:lineRule="auto"/>
        <w:ind w:left="76" w:leftChars="0" w:right="76" w:rightChars="0" w:firstLine="560" w:firstLineChars="0"/>
        <w:jc w:val="both"/>
        <w:textAlignment w:val="auto"/>
        <w:outlineLvl w:val="9"/>
        <w:rPr>
          <w:rFonts w:asciiTheme="minorEastAsia" w:hAnsiTheme="minorEastAsia" w:eastAsiaTheme="minorEastAsia"/>
          <w:sz w:val="24"/>
          <w:szCs w:val="24"/>
        </w:rPr>
      </w:pPr>
      <w:r>
        <w:rPr>
          <w:rFonts w:hint="eastAsia" w:asciiTheme="minorEastAsia" w:hAnsiTheme="minorEastAsia" w:eastAsiaTheme="minorEastAsia"/>
          <w:sz w:val="24"/>
          <w:szCs w:val="24"/>
        </w:rPr>
        <w:t>服务商产品在设备断电重启后可保证运行稳定性，系统断电重启后能正常进入工作程序。</w:t>
      </w:r>
    </w:p>
    <w:p>
      <w:pPr>
        <w:pStyle w:val="5"/>
        <w:pageBreakBefore w:val="0"/>
        <w:numPr>
          <w:ilvl w:val="3"/>
          <w:numId w:val="0"/>
        </w:numPr>
        <w:kinsoku/>
        <w:wordWrap/>
        <w:overflowPunct/>
        <w:topLinePunct w:val="0"/>
        <w:autoSpaceDE/>
        <w:autoSpaceDN/>
        <w:bidi w:val="0"/>
        <w:adjustRightInd/>
        <w:snapToGrid/>
        <w:spacing w:before="0" w:after="0" w:line="360" w:lineRule="auto"/>
        <w:ind w:leftChars="0" w:firstLine="420" w:firstLineChars="0"/>
        <w:jc w:val="both"/>
        <w:textAlignment w:val="auto"/>
      </w:pPr>
      <w:bookmarkStart w:id="32" w:name="_Toc29740"/>
      <w:r>
        <w:rPr>
          <w:rFonts w:hint="eastAsia"/>
          <w:lang w:val="en-US" w:eastAsia="zh-CN"/>
        </w:rPr>
        <w:t>3.</w:t>
      </w:r>
      <w:r>
        <w:t>2</w:t>
      </w:r>
      <w:r>
        <w:rPr>
          <w:rFonts w:hint="eastAsia"/>
        </w:rPr>
        <w:t>安装实施</w:t>
      </w:r>
      <w:bookmarkEnd w:id="32"/>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项目投产上线期间，服务商要保证上述相关软件产品的供货数量满足我方项目整体需求。服务商应完成相关软件产品在我方的部署调试，安排技术服务支持人员配合我方完成相关产品的初始化和配置，确保项目成功上线。</w:t>
      </w:r>
    </w:p>
    <w:p>
      <w:pPr>
        <w:pStyle w:val="5"/>
        <w:pageBreakBefore w:val="0"/>
        <w:numPr>
          <w:ilvl w:val="3"/>
          <w:numId w:val="0"/>
        </w:numPr>
        <w:kinsoku/>
        <w:wordWrap/>
        <w:overflowPunct/>
        <w:topLinePunct w:val="0"/>
        <w:autoSpaceDE/>
        <w:autoSpaceDN/>
        <w:bidi w:val="0"/>
        <w:adjustRightInd/>
        <w:snapToGrid/>
        <w:spacing w:before="0" w:after="0" w:line="360" w:lineRule="auto"/>
        <w:ind w:leftChars="0" w:firstLine="420" w:firstLineChars="0"/>
        <w:jc w:val="both"/>
        <w:textAlignment w:val="auto"/>
      </w:pPr>
      <w:bookmarkStart w:id="33" w:name="_Toc28544"/>
      <w:r>
        <w:rPr>
          <w:rFonts w:hint="eastAsia"/>
          <w:lang w:val="en-US" w:eastAsia="zh-CN"/>
        </w:rPr>
        <w:t>3.</w:t>
      </w:r>
      <w:r>
        <w:t>3</w:t>
      </w:r>
      <w:r>
        <w:rPr>
          <w:rFonts w:hint="eastAsia"/>
        </w:rPr>
        <w:t>电子发票开具及发票查验相关软件的维保服务</w:t>
      </w:r>
      <w:bookmarkEnd w:id="33"/>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合同签署后的软件升级保护服务。具体包括：服务商在合同签署后为全公司提供软件产品的日常运维支持服务，包括但不限于为我方提供软件产品补丁升级、定期安全巡检、技术维保等服务，确保我方相关系统运行稳定。</w:t>
      </w:r>
    </w:p>
    <w:p>
      <w:pPr>
        <w:pStyle w:val="5"/>
        <w:pageBreakBefore w:val="0"/>
        <w:numPr>
          <w:ilvl w:val="3"/>
          <w:numId w:val="0"/>
        </w:numPr>
        <w:kinsoku/>
        <w:wordWrap/>
        <w:overflowPunct/>
        <w:topLinePunct w:val="0"/>
        <w:autoSpaceDE/>
        <w:autoSpaceDN/>
        <w:bidi w:val="0"/>
        <w:adjustRightInd/>
        <w:snapToGrid/>
        <w:spacing w:before="0" w:after="0" w:line="360" w:lineRule="auto"/>
        <w:ind w:leftChars="0" w:firstLine="420" w:firstLineChars="0"/>
        <w:jc w:val="both"/>
        <w:textAlignment w:val="auto"/>
      </w:pPr>
      <w:bookmarkStart w:id="34" w:name="_Toc13722"/>
      <w:r>
        <w:rPr>
          <w:rFonts w:hint="eastAsia"/>
          <w:lang w:val="en-US" w:eastAsia="zh-CN"/>
        </w:rPr>
        <w:t>3.4</w:t>
      </w:r>
      <w:r>
        <w:rPr>
          <w:rFonts w:hint="eastAsia"/>
        </w:rPr>
        <w:t>服务商责任</w:t>
      </w:r>
      <w:bookmarkEnd w:id="34"/>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服务商提供产品及相应的顾问咨询、测试支持、投产支持等工作。</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服务商提供的文档和交付件，除经双方特别约定外，将使用中文。交付件为一式一份纸质拷贝以及电子文档。</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服务商提供我方各机构日常及突发事件处理的对口联系人及联系方式。</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服务商有责任按照技术服务时间范围及内容、专业技术服务规范要求提供相应服务，保障我方系统运行稳定，保证系统升级、维护服务的质量。</w:t>
      </w:r>
    </w:p>
    <w:p>
      <w:pPr>
        <w:pStyle w:val="5"/>
        <w:pageBreakBefore w:val="0"/>
        <w:numPr>
          <w:ilvl w:val="3"/>
          <w:numId w:val="0"/>
        </w:numPr>
        <w:kinsoku/>
        <w:wordWrap/>
        <w:overflowPunct/>
        <w:topLinePunct w:val="0"/>
        <w:autoSpaceDE/>
        <w:autoSpaceDN/>
        <w:bidi w:val="0"/>
        <w:adjustRightInd/>
        <w:snapToGrid/>
        <w:spacing w:before="0" w:after="0" w:line="360" w:lineRule="auto"/>
        <w:ind w:leftChars="0" w:firstLine="420" w:firstLineChars="0"/>
        <w:jc w:val="both"/>
        <w:textAlignment w:val="auto"/>
      </w:pPr>
      <w:bookmarkStart w:id="35" w:name="_Toc187"/>
      <w:r>
        <w:rPr>
          <w:rFonts w:hint="eastAsia"/>
          <w:lang w:val="en-US" w:eastAsia="zh-CN"/>
        </w:rPr>
        <w:t>3.</w:t>
      </w:r>
      <w:r>
        <w:t>5</w:t>
      </w:r>
      <w:r>
        <w:rPr>
          <w:rFonts w:hint="eastAsia"/>
        </w:rPr>
        <w:t>研发服务具体要求</w:t>
      </w:r>
      <w:bookmarkEnd w:id="35"/>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sz w:val="24"/>
          <w:szCs w:val="24"/>
          <w:lang w:val="en-US" w:eastAsia="zh-CN"/>
        </w:rPr>
        <w:t>1）</w:t>
      </w:r>
      <w:r>
        <w:rPr>
          <w:rFonts w:hint="eastAsia" w:asciiTheme="minorEastAsia" w:hAnsiTheme="minorEastAsia" w:eastAsiaTheme="minorEastAsia"/>
          <w:sz w:val="24"/>
          <w:szCs w:val="24"/>
        </w:rPr>
        <w:t>服务商为我方提供相关业务、技术咨询服务，根据我方需求与我方进行合作分析共同完成项目方案设计。</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sz w:val="24"/>
          <w:szCs w:val="24"/>
          <w:lang w:eastAsia="zh-CN"/>
        </w:rPr>
        <w:t>）</w:t>
      </w:r>
      <w:r>
        <w:rPr>
          <w:rFonts w:hint="eastAsia" w:asciiTheme="minorEastAsia" w:hAnsiTheme="minorEastAsia" w:eastAsiaTheme="minorEastAsia"/>
          <w:sz w:val="24"/>
          <w:szCs w:val="24"/>
        </w:rPr>
        <w:t>服务商根据设计方案，为我方提供产品接口，根据我方需求配合完成产品的个性化改造。</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sz w:val="24"/>
          <w:szCs w:val="24"/>
          <w:lang w:val="en-US" w:eastAsia="zh-CN"/>
        </w:rPr>
        <w:t>3）</w:t>
      </w:r>
      <w:r>
        <w:rPr>
          <w:rFonts w:hint="eastAsia" w:asciiTheme="minorEastAsia" w:hAnsiTheme="minorEastAsia" w:eastAsiaTheme="minorEastAsia"/>
          <w:sz w:val="24"/>
          <w:szCs w:val="24"/>
        </w:rPr>
        <w:t>在项目的开发编码阶段、系统测试阶段、用户测试阶段，服务商安排专业技术人员赴我方信息技术部参与项目支持，提供部署、调试、开发、测试支持，解决各类软件相关的开发测试问题。</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sz w:val="24"/>
          <w:szCs w:val="24"/>
          <w:lang w:val="en-US" w:eastAsia="zh-CN"/>
        </w:rPr>
        <w:t>4）</w:t>
      </w:r>
      <w:r>
        <w:rPr>
          <w:rFonts w:hint="eastAsia" w:asciiTheme="minorEastAsia" w:hAnsiTheme="minorEastAsia" w:eastAsiaTheme="minorEastAsia"/>
          <w:sz w:val="24"/>
          <w:szCs w:val="24"/>
        </w:rPr>
        <w:t>研发阶段，服务商需要保证人力的投入满足我方项目实施计划的要求，各层级服务人员需掌握项目开发所需的计算机技能，能按照项目要求完成需求功能实现和项目相关文档编写，确保我方相关定制客户化功能的研发进度和质量。</w:t>
      </w:r>
    </w:p>
    <w:p>
      <w:pPr>
        <w:pStyle w:val="5"/>
        <w:pageBreakBefore w:val="0"/>
        <w:numPr>
          <w:ilvl w:val="3"/>
          <w:numId w:val="0"/>
        </w:numPr>
        <w:kinsoku/>
        <w:wordWrap/>
        <w:overflowPunct/>
        <w:topLinePunct w:val="0"/>
        <w:autoSpaceDE/>
        <w:autoSpaceDN/>
        <w:bidi w:val="0"/>
        <w:adjustRightInd/>
        <w:snapToGrid/>
        <w:spacing w:before="0" w:after="0" w:line="360" w:lineRule="auto"/>
        <w:ind w:leftChars="0" w:firstLine="420" w:firstLineChars="0"/>
        <w:jc w:val="both"/>
        <w:textAlignment w:val="auto"/>
      </w:pPr>
      <w:bookmarkStart w:id="36" w:name="_Toc13821"/>
      <w:r>
        <w:rPr>
          <w:rFonts w:hint="eastAsia"/>
          <w:lang w:val="en-US" w:eastAsia="zh-CN"/>
        </w:rPr>
        <w:t>3</w:t>
      </w:r>
      <w:r>
        <w:t>.6</w:t>
      </w:r>
      <w:r>
        <w:rPr>
          <w:rFonts w:hint="eastAsia"/>
        </w:rPr>
        <w:t>安装及实施服务具体要求</w:t>
      </w:r>
      <w:bookmarkEnd w:id="36"/>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sz w:val="24"/>
          <w:szCs w:val="24"/>
          <w:lang w:val="en-US" w:eastAsia="zh-CN"/>
        </w:rPr>
        <w:t>1）</w:t>
      </w:r>
      <w:r>
        <w:rPr>
          <w:rFonts w:hint="eastAsia" w:asciiTheme="minorEastAsia" w:hAnsiTheme="minorEastAsia" w:eastAsiaTheme="minorEastAsia"/>
          <w:sz w:val="24"/>
          <w:szCs w:val="24"/>
        </w:rPr>
        <w:t>在系统上线两周前，服务商需向我方提供投产期间公司为我方提供技术服务支持的公司人员名单及联系方式，确保服务商现场服务。</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sz w:val="24"/>
          <w:szCs w:val="24"/>
          <w:lang w:val="en-US" w:eastAsia="zh-CN"/>
        </w:rPr>
        <w:t>2）</w:t>
      </w:r>
      <w:r>
        <w:rPr>
          <w:rFonts w:hint="eastAsia" w:asciiTheme="minorEastAsia" w:hAnsiTheme="minorEastAsia" w:eastAsiaTheme="minorEastAsia"/>
          <w:sz w:val="24"/>
          <w:szCs w:val="24"/>
        </w:rPr>
        <w:t>在测试软件产品安装实施期间，服务商应提供联调的模拟环境，或提供联调的联络、协调及技术支持，并协助测试。如涉及后续软件更新及测试，服务商应协助提供模拟测试环境。在软件上线前期，服务商应提供进行联调测试的环境。服务商应安排技术服务支持人员赴我方信息技术部进行现场支持，协助完成测试产品的安装、调试。在系统上线期间，服务商安排技术服务支持人员进行现场支持，协助完成生产灾备系统软件的部署、调试。</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sz w:val="24"/>
          <w:szCs w:val="24"/>
          <w:lang w:val="en-US" w:eastAsia="zh-CN"/>
        </w:rPr>
        <w:t>3）</w:t>
      </w:r>
      <w:r>
        <w:rPr>
          <w:rFonts w:hint="eastAsia" w:asciiTheme="minorEastAsia" w:hAnsiTheme="minorEastAsia" w:eastAsiaTheme="minorEastAsia"/>
          <w:sz w:val="24"/>
          <w:szCs w:val="24"/>
        </w:rPr>
        <w:t>在系统上线期间，服务商需就近安排技术服务支持人员，现场协助我方人员进行安装和调试，确保服务商相关产品在我方部署到位，可顺利实现系统上线。</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sz w:val="24"/>
          <w:szCs w:val="24"/>
          <w:lang w:val="en-US" w:eastAsia="zh-CN"/>
        </w:rPr>
        <w:t>4）</w:t>
      </w:r>
      <w:r>
        <w:rPr>
          <w:rFonts w:hint="eastAsia" w:asciiTheme="minorEastAsia" w:hAnsiTheme="minorEastAsia" w:eastAsiaTheme="minorEastAsia"/>
          <w:sz w:val="24"/>
          <w:szCs w:val="24"/>
        </w:rPr>
        <w:t>服务商需及时向我方提供有效的技术支持及相关技术文件，确保我方可按照项目计划完成相关系统安装部署和投产上线。</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sz w:val="24"/>
          <w:szCs w:val="24"/>
          <w:lang w:val="en-US" w:eastAsia="zh-CN"/>
        </w:rPr>
        <w:t>5）</w:t>
      </w:r>
      <w:r>
        <w:rPr>
          <w:rFonts w:hint="eastAsia" w:asciiTheme="minorEastAsia" w:hAnsiTheme="minorEastAsia" w:eastAsiaTheme="minorEastAsia"/>
          <w:sz w:val="24"/>
          <w:szCs w:val="24"/>
        </w:rPr>
        <w:t>服务商需按照我方指定位置及要求进行软件部署。</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sz w:val="24"/>
          <w:szCs w:val="24"/>
          <w:lang w:val="en-US" w:eastAsia="zh-CN"/>
        </w:rPr>
        <w:t>6）</w:t>
      </w:r>
      <w:r>
        <w:rPr>
          <w:rFonts w:hint="eastAsia" w:asciiTheme="minorEastAsia" w:hAnsiTheme="minorEastAsia" w:eastAsiaTheme="minorEastAsia"/>
          <w:sz w:val="24"/>
          <w:szCs w:val="24"/>
        </w:rPr>
        <w:t>服务商每次在我方完成软件产品安装部署和调试之后，都应签署（或盖章）相关文档形成服务备案。</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sz w:val="24"/>
          <w:szCs w:val="24"/>
          <w:lang w:val="en-US" w:eastAsia="zh-CN"/>
        </w:rPr>
        <w:t>7）</w:t>
      </w:r>
      <w:r>
        <w:rPr>
          <w:rFonts w:hint="eastAsia" w:asciiTheme="minorEastAsia" w:hAnsiTheme="minorEastAsia" w:eastAsiaTheme="minorEastAsia"/>
          <w:sz w:val="24"/>
          <w:szCs w:val="24"/>
        </w:rPr>
        <w:t>系统开发前，服务商应对该项目进行调研，调研后确定的工作任务书，做为验收标准的组成部分。</w:t>
      </w:r>
    </w:p>
    <w:p>
      <w:pPr>
        <w:pStyle w:val="5"/>
        <w:pageBreakBefore w:val="0"/>
        <w:numPr>
          <w:ilvl w:val="3"/>
          <w:numId w:val="0"/>
        </w:numPr>
        <w:kinsoku/>
        <w:wordWrap/>
        <w:overflowPunct/>
        <w:topLinePunct w:val="0"/>
        <w:autoSpaceDE/>
        <w:autoSpaceDN/>
        <w:bidi w:val="0"/>
        <w:adjustRightInd/>
        <w:snapToGrid/>
        <w:spacing w:before="0" w:after="0" w:line="360" w:lineRule="auto"/>
        <w:ind w:leftChars="0" w:firstLine="420" w:firstLineChars="0"/>
        <w:jc w:val="both"/>
        <w:textAlignment w:val="auto"/>
      </w:pPr>
      <w:bookmarkStart w:id="37" w:name="_Toc17789"/>
      <w:r>
        <w:rPr>
          <w:rFonts w:hint="eastAsia"/>
          <w:lang w:val="en-US" w:eastAsia="zh-CN"/>
        </w:rPr>
        <w:t>3.7</w:t>
      </w:r>
      <w:r>
        <w:rPr>
          <w:rFonts w:hint="eastAsia"/>
        </w:rPr>
        <w:t>软件维护服务要求</w:t>
      </w:r>
      <w:bookmarkEnd w:id="37"/>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sz w:val="24"/>
          <w:szCs w:val="24"/>
          <w:lang w:val="en-US" w:eastAsia="zh-CN"/>
        </w:rPr>
        <w:t>1）</w:t>
      </w:r>
      <w:r>
        <w:rPr>
          <w:rFonts w:hint="eastAsia" w:asciiTheme="minorEastAsia" w:hAnsiTheme="minorEastAsia" w:eastAsiaTheme="minorEastAsia"/>
          <w:sz w:val="24"/>
          <w:szCs w:val="24"/>
        </w:rPr>
        <w:t>软件产品升级保护服务范围和内容</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因国家或地方政策要求变化、产品缺陷等原因需对产品现有功能进行改造优化的，服务商免费提供软件版本升级、补丁升级等软件升级保护服务。提供每季度一次的软件系统巡检。提供日常系统维护支持，通过现场、远程支持等方式及时分析解决我方所使用相关产品在开发测试与生产环境上的问题等。</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sz w:val="24"/>
          <w:szCs w:val="24"/>
          <w:lang w:val="en-US" w:eastAsia="zh-CN"/>
        </w:rPr>
        <w:t>2）</w:t>
      </w:r>
      <w:r>
        <w:rPr>
          <w:rFonts w:hint="eastAsia" w:asciiTheme="minorEastAsia" w:hAnsiTheme="minorEastAsia" w:eastAsiaTheme="minorEastAsia"/>
          <w:sz w:val="24"/>
          <w:szCs w:val="24"/>
        </w:rPr>
        <w:t>软件维护服务具体要求</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服务时间要求</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远程支持服务：服务商向我方提供</w:t>
      </w:r>
      <w:r>
        <w:rPr>
          <w:rFonts w:asciiTheme="minorEastAsia" w:hAnsiTheme="minorEastAsia" w:eastAsiaTheme="minorEastAsia"/>
          <w:sz w:val="24"/>
          <w:szCs w:val="24"/>
        </w:rPr>
        <w:t>7</w:t>
      </w:r>
      <w:r>
        <w:rPr>
          <w:rFonts w:hint="eastAsia" w:asciiTheme="minorEastAsia" w:hAnsiTheme="minorEastAsia" w:eastAsiaTheme="minorEastAsia"/>
          <w:sz w:val="24"/>
          <w:szCs w:val="24"/>
        </w:rPr>
        <w:t>×</w:t>
      </w:r>
      <w:r>
        <w:rPr>
          <w:rFonts w:asciiTheme="minorEastAsia" w:hAnsiTheme="minorEastAsia" w:eastAsiaTheme="minorEastAsia"/>
          <w:sz w:val="24"/>
          <w:szCs w:val="24"/>
        </w:rPr>
        <w:t>24</w:t>
      </w:r>
      <w:r>
        <w:rPr>
          <w:rFonts w:hint="eastAsia" w:asciiTheme="minorEastAsia" w:hAnsiTheme="minorEastAsia" w:eastAsiaTheme="minorEastAsia"/>
          <w:sz w:val="24"/>
          <w:szCs w:val="24"/>
        </w:rPr>
        <w:t>小时电话、网络等日常的远程热线技术支持和咨询服务。</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现场维护服务响应时间为</w:t>
      </w:r>
      <w:r>
        <w:rPr>
          <w:rFonts w:asciiTheme="minorEastAsia" w:hAnsiTheme="minorEastAsia" w:eastAsiaTheme="minorEastAsia"/>
          <w:sz w:val="24"/>
          <w:szCs w:val="24"/>
        </w:rPr>
        <w:t>7</w:t>
      </w:r>
      <w:r>
        <w:rPr>
          <w:rFonts w:hint="eastAsia" w:asciiTheme="minorEastAsia" w:hAnsiTheme="minorEastAsia" w:eastAsiaTheme="minorEastAsia"/>
          <w:sz w:val="24"/>
          <w:szCs w:val="24"/>
        </w:rPr>
        <w:t>×</w:t>
      </w:r>
      <w:r>
        <w:rPr>
          <w:rFonts w:asciiTheme="minorEastAsia" w:hAnsiTheme="minorEastAsia" w:eastAsiaTheme="minorEastAsia"/>
          <w:sz w:val="24"/>
          <w:szCs w:val="24"/>
        </w:rPr>
        <w:t>24</w:t>
      </w:r>
      <w:r>
        <w:rPr>
          <w:rFonts w:hint="eastAsia" w:asciiTheme="minorEastAsia" w:hAnsiTheme="minorEastAsia" w:eastAsiaTheme="minorEastAsia"/>
          <w:sz w:val="24"/>
          <w:szCs w:val="24"/>
        </w:rPr>
        <w:t>小时，在接到现场服务需求6小时之内抵达用户现场。</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服务能力要求</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协助最终用户进行产品的安装部署，要求服务商提供设备安装安全规范。</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针对我方提出的产品应用过程中的软件问题，按照上述服务时间承诺要求及时响应并解决。</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及时向我方提供有效的技术支持及相关技术文件，做好相关新技术及信息的沟通。</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提供技术支持队伍人员名单和联系方式，以便保持联系，并尽量确保人员稳定，如有人员变化，至少应提前</w:t>
      </w:r>
      <w:r>
        <w:rPr>
          <w:rFonts w:asciiTheme="minorEastAsia" w:hAnsiTheme="minorEastAsia" w:eastAsiaTheme="minorEastAsia"/>
          <w:sz w:val="24"/>
          <w:szCs w:val="24"/>
        </w:rPr>
        <w:t>2</w:t>
      </w:r>
      <w:r>
        <w:rPr>
          <w:rFonts w:hint="eastAsia" w:asciiTheme="minorEastAsia" w:hAnsiTheme="minorEastAsia" w:eastAsiaTheme="minorEastAsia"/>
          <w:sz w:val="24"/>
          <w:szCs w:val="24"/>
        </w:rPr>
        <w:t>周联系我方提示更新。</w:t>
      </w:r>
    </w:p>
    <w:p>
      <w:pPr>
        <w:pStyle w:val="5"/>
        <w:pageBreakBefore w:val="0"/>
        <w:numPr>
          <w:ilvl w:val="3"/>
          <w:numId w:val="0"/>
        </w:numPr>
        <w:kinsoku/>
        <w:wordWrap/>
        <w:overflowPunct/>
        <w:topLinePunct w:val="0"/>
        <w:autoSpaceDE/>
        <w:autoSpaceDN/>
        <w:bidi w:val="0"/>
        <w:adjustRightInd/>
        <w:snapToGrid/>
        <w:spacing w:before="0" w:after="0" w:line="360" w:lineRule="auto"/>
        <w:ind w:leftChars="0" w:firstLine="420" w:firstLineChars="0"/>
        <w:jc w:val="both"/>
        <w:textAlignment w:val="auto"/>
      </w:pPr>
      <w:bookmarkStart w:id="38" w:name="_Toc28567"/>
      <w:r>
        <w:rPr>
          <w:rFonts w:hint="eastAsia"/>
          <w:lang w:val="en-US" w:eastAsia="zh-CN"/>
        </w:rPr>
        <w:t>3</w:t>
      </w:r>
      <w:r>
        <w:t>.8</w:t>
      </w:r>
      <w:r>
        <w:rPr>
          <w:rFonts w:hint="eastAsia"/>
        </w:rPr>
        <w:t>培训要求</w:t>
      </w:r>
      <w:bookmarkEnd w:id="38"/>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sz w:val="24"/>
          <w:szCs w:val="24"/>
          <w:lang w:val="en-US" w:eastAsia="zh-CN"/>
        </w:rPr>
        <w:t>1）</w:t>
      </w:r>
      <w:r>
        <w:rPr>
          <w:rFonts w:hint="eastAsia" w:asciiTheme="minorEastAsia" w:hAnsiTheme="minorEastAsia" w:eastAsiaTheme="minorEastAsia"/>
          <w:sz w:val="24"/>
          <w:szCs w:val="24"/>
        </w:rPr>
        <w:t>免费为全公司提供现场或远程视频会议培训，免费提供产品有关教材。培训的时间、地点、培训次数、培训方式以我方组织的培训通知为准。</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sz w:val="24"/>
          <w:szCs w:val="24"/>
          <w:lang w:val="en-US" w:eastAsia="zh-CN"/>
        </w:rPr>
        <w:t>2）</w:t>
      </w:r>
      <w:r>
        <w:rPr>
          <w:rFonts w:hint="eastAsia" w:asciiTheme="minorEastAsia" w:hAnsiTheme="minorEastAsia" w:eastAsiaTheme="minorEastAsia"/>
          <w:sz w:val="24"/>
          <w:szCs w:val="24"/>
        </w:rPr>
        <w:t>在项目实施阶段，免费为总分公司提供现场实施、日常运维方面的培训，完成系统软件产品的日常维护、终端配置管理向我方的知识转移，确保我方信息人员掌握服务商产品日常运维所需的基础知识技能；同时，服务商免费为总分公司业务人员提供产品使用方面的培训。</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sz w:val="24"/>
          <w:szCs w:val="24"/>
          <w:lang w:val="en-US" w:eastAsia="zh-CN"/>
        </w:rPr>
        <w:t>3）</w:t>
      </w:r>
      <w:r>
        <w:rPr>
          <w:rFonts w:hint="eastAsia" w:asciiTheme="minorEastAsia" w:hAnsiTheme="minorEastAsia" w:eastAsiaTheme="minorEastAsia"/>
          <w:sz w:val="24"/>
          <w:szCs w:val="24"/>
        </w:rPr>
        <w:t>服务商应为我方提供包括但不限于以下文档：《接口技术规范》、《项目实施方案》、《系统安装部署手册》、《用户操作手册》、《日常运维操作手册》等。</w:t>
      </w:r>
    </w:p>
    <w:p>
      <w:pPr>
        <w:pStyle w:val="5"/>
        <w:pageBreakBefore w:val="0"/>
        <w:numPr>
          <w:ilvl w:val="3"/>
          <w:numId w:val="0"/>
        </w:numPr>
        <w:kinsoku/>
        <w:wordWrap/>
        <w:overflowPunct/>
        <w:topLinePunct w:val="0"/>
        <w:autoSpaceDE/>
        <w:autoSpaceDN/>
        <w:bidi w:val="0"/>
        <w:adjustRightInd/>
        <w:snapToGrid/>
        <w:spacing w:before="0" w:after="0" w:line="360" w:lineRule="auto"/>
        <w:ind w:leftChars="0" w:firstLine="420" w:firstLineChars="0"/>
        <w:jc w:val="both"/>
        <w:textAlignment w:val="auto"/>
      </w:pPr>
      <w:bookmarkStart w:id="39" w:name="_Toc29736"/>
      <w:r>
        <w:rPr>
          <w:rFonts w:hint="eastAsia"/>
          <w:lang w:val="en-US" w:eastAsia="zh-CN"/>
        </w:rPr>
        <w:t>3.</w:t>
      </w:r>
      <w:r>
        <w:t>9</w:t>
      </w:r>
      <w:r>
        <w:rPr>
          <w:rFonts w:hint="eastAsia"/>
        </w:rPr>
        <w:t>其他要求</w:t>
      </w:r>
      <w:bookmarkEnd w:id="39"/>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sz w:val="24"/>
          <w:szCs w:val="24"/>
          <w:lang w:val="en-US" w:eastAsia="zh-CN"/>
        </w:rPr>
        <w:t>1）</w:t>
      </w:r>
      <w:r>
        <w:rPr>
          <w:rFonts w:hint="eastAsia" w:asciiTheme="minorEastAsia" w:hAnsiTheme="minorEastAsia" w:eastAsiaTheme="minorEastAsia"/>
          <w:sz w:val="24"/>
          <w:szCs w:val="24"/>
        </w:rPr>
        <w:t>服务商在发布产品新版本时，应及时通知我方，提供版本，介质及相关文档，协助提前规划版本升级工作。</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sz w:val="24"/>
          <w:szCs w:val="24"/>
          <w:lang w:val="en-US" w:eastAsia="zh-CN"/>
        </w:rPr>
        <w:t>2）</w:t>
      </w:r>
      <w:r>
        <w:rPr>
          <w:rFonts w:hint="eastAsia" w:asciiTheme="minorEastAsia" w:hAnsiTheme="minorEastAsia" w:eastAsiaTheme="minorEastAsia"/>
          <w:sz w:val="24"/>
          <w:szCs w:val="24"/>
        </w:rPr>
        <w:t>服务商提供给我方的设备，如果投入运行后发现设计缺陷或隐患，应免费提供有关技术改造方案，并承诺对我方存在缺陷或隐患的设备进行免费更换或改造升级。</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sz w:val="24"/>
          <w:szCs w:val="24"/>
          <w:lang w:val="en-US" w:eastAsia="zh-CN"/>
        </w:rPr>
        <w:t>3）</w:t>
      </w:r>
      <w:r>
        <w:rPr>
          <w:rFonts w:hint="eastAsia" w:asciiTheme="minorEastAsia" w:hAnsiTheme="minorEastAsia" w:eastAsiaTheme="minorEastAsia"/>
          <w:sz w:val="24"/>
          <w:szCs w:val="24"/>
        </w:rPr>
        <w:t>服务商须承诺后续提供服务需以合理价格提供（参照同行平均价格）。</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sz w:val="24"/>
          <w:szCs w:val="24"/>
          <w:lang w:val="en-US" w:eastAsia="zh-CN"/>
        </w:rPr>
        <w:t>4）</w:t>
      </w:r>
      <w:r>
        <w:rPr>
          <w:rFonts w:hint="eastAsia" w:asciiTheme="minorEastAsia" w:hAnsiTheme="minorEastAsia" w:eastAsiaTheme="minorEastAsia"/>
          <w:sz w:val="24"/>
          <w:szCs w:val="24"/>
        </w:rPr>
        <w:t>如因服务商产品缺陷、服务不到位给我方造成损失的，服务商应按照合同相关罚则条款向我方进行赔偿。</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sz w:val="24"/>
          <w:szCs w:val="24"/>
          <w:lang w:val="en-US" w:eastAsia="zh-CN"/>
        </w:rPr>
        <w:t>5）</w:t>
      </w:r>
      <w:r>
        <w:rPr>
          <w:rFonts w:hint="eastAsia" w:asciiTheme="minorEastAsia" w:hAnsiTheme="minorEastAsia" w:eastAsiaTheme="minorEastAsia"/>
          <w:sz w:val="24"/>
          <w:szCs w:val="24"/>
        </w:rPr>
        <w:t>服务商应按我方统一格式合同文本签署有关软件产品及服务购置合同。</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sz w:val="24"/>
          <w:szCs w:val="24"/>
          <w:lang w:val="en-US" w:eastAsia="zh-CN"/>
        </w:rPr>
        <w:t>6）</w:t>
      </w:r>
      <w:r>
        <w:rPr>
          <w:rFonts w:hint="eastAsia" w:asciiTheme="minorEastAsia" w:hAnsiTheme="minorEastAsia" w:eastAsiaTheme="minorEastAsia"/>
          <w:sz w:val="24"/>
          <w:szCs w:val="24"/>
        </w:rPr>
        <w:t>服务商应保证在采购过程中，向我方承诺的该项目有关技术、服务、商务（包括价格）等条款，均可适用于我方各分支机构。</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sz w:val="24"/>
          <w:szCs w:val="24"/>
          <w:lang w:val="en-US" w:eastAsia="zh-CN"/>
        </w:rPr>
        <w:t>7）</w:t>
      </w:r>
      <w:r>
        <w:rPr>
          <w:rFonts w:hint="eastAsia" w:asciiTheme="minorEastAsia" w:hAnsiTheme="minorEastAsia" w:eastAsiaTheme="minorEastAsia"/>
          <w:sz w:val="24"/>
          <w:szCs w:val="24"/>
        </w:rPr>
        <w:t>合同签署后，服务商要根据我方项目不同阶段的具体要求，安排具有相关资质的人员赴我方总部相关部门或分公司参与项目的设计与开发、实施等。</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sz w:val="24"/>
          <w:szCs w:val="24"/>
          <w:lang w:val="en-US" w:eastAsia="zh-CN"/>
        </w:rPr>
        <w:t>8）</w:t>
      </w:r>
      <w:r>
        <w:rPr>
          <w:rFonts w:hint="eastAsia" w:asciiTheme="minorEastAsia" w:hAnsiTheme="minorEastAsia" w:eastAsiaTheme="minorEastAsia"/>
          <w:sz w:val="24"/>
          <w:szCs w:val="24"/>
        </w:rPr>
        <w:t>在本项目执行过程中，乙方除按双方约定收取相关服务费用外，不得以任何理由要求甲方增加任何费用，并不得以项目时间延长或费用超出预期等任何其他理由终止、中断提供服务。</w:t>
      </w:r>
    </w:p>
    <w:p>
      <w:pPr>
        <w:pStyle w:val="4"/>
        <w:pageBreakBefore w:val="0"/>
        <w:numPr>
          <w:ilvl w:val="2"/>
          <w:numId w:val="0"/>
        </w:numPr>
        <w:kinsoku/>
        <w:wordWrap/>
        <w:overflowPunct/>
        <w:topLinePunct w:val="0"/>
        <w:autoSpaceDE/>
        <w:autoSpaceDN/>
        <w:bidi w:val="0"/>
        <w:adjustRightInd/>
        <w:snapToGrid/>
        <w:spacing w:before="0" w:after="0" w:line="360" w:lineRule="auto"/>
        <w:ind w:leftChars="0"/>
        <w:jc w:val="both"/>
        <w:textAlignment w:val="auto"/>
      </w:pPr>
      <w:bookmarkStart w:id="40" w:name="_Toc30665"/>
      <w:r>
        <w:rPr>
          <w:rFonts w:hint="eastAsia"/>
          <w:lang w:val="en-US" w:eastAsia="zh-CN"/>
        </w:rPr>
        <w:t>4</w:t>
      </w:r>
      <w:r>
        <w:t>.</w:t>
      </w:r>
      <w:r>
        <w:rPr>
          <w:rFonts w:hint="eastAsia"/>
        </w:rPr>
        <w:t>性能要求</w:t>
      </w:r>
      <w:bookmarkEnd w:id="40"/>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asciiTheme="minorEastAsia" w:hAnsiTheme="minorEastAsia" w:eastAsiaTheme="minorEastAsia"/>
          <w:sz w:val="24"/>
          <w:szCs w:val="24"/>
        </w:rPr>
        <w:t>4.1</w:t>
      </w:r>
      <w:r>
        <w:rPr>
          <w:rFonts w:hint="eastAsia" w:asciiTheme="minorEastAsia" w:hAnsiTheme="minorEastAsia" w:eastAsiaTheme="minorEastAsia"/>
          <w:sz w:val="24"/>
          <w:szCs w:val="24"/>
        </w:rPr>
        <w:t>业务操作型功能操作响应时间不应超过</w:t>
      </w:r>
      <w:r>
        <w:rPr>
          <w:rFonts w:asciiTheme="minorEastAsia" w:hAnsiTheme="minorEastAsia" w:eastAsiaTheme="minorEastAsia"/>
          <w:sz w:val="24"/>
          <w:szCs w:val="24"/>
        </w:rPr>
        <w:t>5</w:t>
      </w:r>
      <w:r>
        <w:rPr>
          <w:rFonts w:hint="eastAsia" w:asciiTheme="minorEastAsia" w:hAnsiTheme="minorEastAsia" w:eastAsiaTheme="minorEastAsia"/>
          <w:sz w:val="24"/>
          <w:szCs w:val="24"/>
        </w:rPr>
        <w:t>秒（</w:t>
      </w:r>
      <w:r>
        <w:rPr>
          <w:rFonts w:asciiTheme="minorEastAsia" w:hAnsiTheme="minorEastAsia" w:eastAsiaTheme="minorEastAsia"/>
          <w:sz w:val="24"/>
          <w:szCs w:val="24"/>
        </w:rPr>
        <w:t>TPS</w:t>
      </w:r>
      <w:r>
        <w:rPr>
          <w:rFonts w:hint="eastAsia" w:asciiTheme="minorEastAsia" w:hAnsiTheme="minorEastAsia" w:eastAsiaTheme="minorEastAsia"/>
          <w:sz w:val="24"/>
          <w:szCs w:val="24"/>
        </w:rPr>
        <w:t>值</w:t>
      </w:r>
      <w:r>
        <w:rPr>
          <w:rFonts w:asciiTheme="minorEastAsia" w:hAnsiTheme="minorEastAsia" w:eastAsiaTheme="minorEastAsia"/>
          <w:sz w:val="24"/>
          <w:szCs w:val="24"/>
        </w:rPr>
        <w:t>200</w:t>
      </w:r>
      <w:r>
        <w:rPr>
          <w:rFonts w:hint="eastAsia" w:asciiTheme="minorEastAsia" w:hAnsiTheme="minorEastAsia" w:eastAsiaTheme="minorEastAsia"/>
          <w:sz w:val="24"/>
          <w:szCs w:val="24"/>
        </w:rPr>
        <w:t>）。</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asciiTheme="minorEastAsia" w:hAnsiTheme="minorEastAsia" w:eastAsiaTheme="minorEastAsia"/>
          <w:sz w:val="24"/>
          <w:szCs w:val="24"/>
        </w:rPr>
        <w:t>4.2</w:t>
      </w:r>
      <w:r>
        <w:rPr>
          <w:rFonts w:hint="eastAsia" w:asciiTheme="minorEastAsia" w:hAnsiTheme="minorEastAsia" w:eastAsiaTheme="minorEastAsia"/>
          <w:sz w:val="24"/>
          <w:szCs w:val="24"/>
        </w:rPr>
        <w:t>统计分析型功能操作响应时间不应超过</w:t>
      </w:r>
      <w:r>
        <w:rPr>
          <w:rFonts w:asciiTheme="minorEastAsia" w:hAnsiTheme="minorEastAsia" w:eastAsiaTheme="minorEastAsia"/>
          <w:sz w:val="24"/>
          <w:szCs w:val="24"/>
        </w:rPr>
        <w:t>10</w:t>
      </w:r>
      <w:r>
        <w:rPr>
          <w:rFonts w:hint="eastAsia" w:asciiTheme="minorEastAsia" w:hAnsiTheme="minorEastAsia" w:eastAsiaTheme="minorEastAsia"/>
          <w:sz w:val="24"/>
          <w:szCs w:val="24"/>
        </w:rPr>
        <w:t>秒（</w:t>
      </w:r>
      <w:r>
        <w:rPr>
          <w:rFonts w:asciiTheme="minorEastAsia" w:hAnsiTheme="minorEastAsia" w:eastAsiaTheme="minorEastAsia"/>
          <w:sz w:val="24"/>
          <w:szCs w:val="24"/>
        </w:rPr>
        <w:t>TPS</w:t>
      </w:r>
      <w:r>
        <w:rPr>
          <w:rFonts w:hint="eastAsia" w:asciiTheme="minorEastAsia" w:hAnsiTheme="minorEastAsia" w:eastAsiaTheme="minorEastAsia"/>
          <w:sz w:val="24"/>
          <w:szCs w:val="24"/>
        </w:rPr>
        <w:t>值</w:t>
      </w:r>
      <w:r>
        <w:rPr>
          <w:rFonts w:asciiTheme="minorEastAsia" w:hAnsiTheme="minorEastAsia" w:eastAsiaTheme="minorEastAsia"/>
          <w:sz w:val="24"/>
          <w:szCs w:val="24"/>
        </w:rPr>
        <w:t>40</w:t>
      </w:r>
      <w:r>
        <w:rPr>
          <w:rFonts w:hint="eastAsia" w:asciiTheme="minorEastAsia" w:hAnsiTheme="minorEastAsia" w:eastAsiaTheme="minorEastAsia"/>
          <w:sz w:val="24"/>
          <w:szCs w:val="24"/>
        </w:rPr>
        <w:t>）。</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4.3电子发票系统并发量不低于每秒50笔业务。</w:t>
      </w:r>
    </w:p>
    <w:p>
      <w:pPr>
        <w:pStyle w:val="4"/>
        <w:pageBreakBefore w:val="0"/>
        <w:numPr>
          <w:ilvl w:val="2"/>
          <w:numId w:val="0"/>
        </w:numPr>
        <w:kinsoku/>
        <w:wordWrap/>
        <w:overflowPunct/>
        <w:topLinePunct w:val="0"/>
        <w:autoSpaceDE/>
        <w:autoSpaceDN/>
        <w:bidi w:val="0"/>
        <w:adjustRightInd/>
        <w:snapToGrid/>
        <w:spacing w:before="0" w:after="0" w:line="360" w:lineRule="auto"/>
        <w:ind w:leftChars="0"/>
        <w:jc w:val="both"/>
        <w:textAlignment w:val="auto"/>
      </w:pPr>
      <w:bookmarkStart w:id="41" w:name="_Toc11026"/>
      <w:r>
        <w:t>5.</w:t>
      </w:r>
      <w:r>
        <w:rPr>
          <w:rFonts w:hint="eastAsia"/>
        </w:rPr>
        <w:t>安全要求：</w:t>
      </w:r>
      <w:bookmarkEnd w:id="41"/>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asciiTheme="minorEastAsia" w:hAnsiTheme="minorEastAsia" w:eastAsiaTheme="minorEastAsia"/>
          <w:sz w:val="24"/>
          <w:szCs w:val="24"/>
        </w:rPr>
        <w:t>5.1</w:t>
      </w:r>
      <w:r>
        <w:rPr>
          <w:rFonts w:hint="eastAsia" w:asciiTheme="minorEastAsia" w:hAnsiTheme="minorEastAsia" w:eastAsiaTheme="minorEastAsia"/>
          <w:sz w:val="24"/>
          <w:szCs w:val="24"/>
        </w:rPr>
        <w:t>用户管理及权限控制</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严格用户管理及权限控制，保障不发生数据泄露。</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asciiTheme="minorEastAsia" w:hAnsiTheme="minorEastAsia" w:eastAsiaTheme="minorEastAsia"/>
          <w:sz w:val="24"/>
          <w:szCs w:val="24"/>
        </w:rPr>
        <w:t>5.2</w:t>
      </w:r>
      <w:r>
        <w:rPr>
          <w:rFonts w:hint="eastAsia" w:asciiTheme="minorEastAsia" w:hAnsiTheme="minorEastAsia" w:eastAsiaTheme="minorEastAsia"/>
          <w:sz w:val="24"/>
          <w:szCs w:val="24"/>
        </w:rPr>
        <w:t>日志记录与审计</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asciiTheme="minorEastAsia" w:hAnsiTheme="minorEastAsia" w:eastAsiaTheme="minorEastAsia"/>
          <w:sz w:val="24"/>
          <w:szCs w:val="24"/>
        </w:rPr>
        <w:tab/>
      </w:r>
      <w:r>
        <w:rPr>
          <w:rFonts w:hint="eastAsia" w:asciiTheme="minorEastAsia" w:hAnsiTheme="minorEastAsia" w:eastAsiaTheme="minorEastAsia"/>
          <w:sz w:val="24"/>
          <w:szCs w:val="24"/>
        </w:rPr>
        <w:t>需日志记录所有业务请求。</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asciiTheme="minorEastAsia" w:hAnsiTheme="minorEastAsia" w:eastAsiaTheme="minorEastAsia"/>
          <w:sz w:val="24"/>
          <w:szCs w:val="24"/>
        </w:rPr>
        <w:t>5.3</w:t>
      </w:r>
      <w:r>
        <w:rPr>
          <w:rFonts w:hint="eastAsia" w:asciiTheme="minorEastAsia" w:hAnsiTheme="minorEastAsia" w:eastAsiaTheme="minorEastAsia"/>
          <w:sz w:val="24"/>
          <w:szCs w:val="24"/>
        </w:rPr>
        <w:t>数据安全保护</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需采用多种备份方式，保障电子发票结构化数据及版式文件的数据安全。</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asciiTheme="minorEastAsia" w:hAnsiTheme="minorEastAsia" w:eastAsiaTheme="minorEastAsia"/>
          <w:sz w:val="24"/>
          <w:szCs w:val="24"/>
        </w:rPr>
      </w:pPr>
      <w:r>
        <w:rPr>
          <w:rFonts w:asciiTheme="minorEastAsia" w:hAnsiTheme="minorEastAsia" w:eastAsiaTheme="minorEastAsia"/>
          <w:sz w:val="24"/>
          <w:szCs w:val="24"/>
        </w:rPr>
        <w:t>5.4</w:t>
      </w:r>
      <w:r>
        <w:rPr>
          <w:rFonts w:hint="eastAsia" w:asciiTheme="minorEastAsia" w:hAnsiTheme="minorEastAsia" w:eastAsiaTheme="minorEastAsia"/>
          <w:sz w:val="24"/>
          <w:szCs w:val="24"/>
        </w:rPr>
        <w:t>密码算法要求</w:t>
      </w:r>
    </w:p>
    <w:p>
      <w:pPr>
        <w:pStyle w:val="30"/>
        <w:pageBreakBefore w:val="0"/>
        <w:kinsoku/>
        <w:wordWrap/>
        <w:overflowPunct/>
        <w:topLinePunct w:val="0"/>
        <w:autoSpaceDE/>
        <w:autoSpaceDN/>
        <w:bidi w:val="0"/>
        <w:adjustRightInd/>
        <w:snapToGrid/>
        <w:spacing w:after="0" w:line="360" w:lineRule="auto"/>
        <w:ind w:left="76" w:right="76" w:firstLine="560"/>
        <w:jc w:val="both"/>
        <w:textAlignment w:val="auto"/>
        <w:rPr>
          <w:rFonts w:cs="仿宋" w:asciiTheme="minorEastAsia" w:hAnsiTheme="minorEastAsia" w:eastAsiaTheme="minorEastAsia"/>
          <w:sz w:val="24"/>
          <w:szCs w:val="24"/>
        </w:rPr>
      </w:pPr>
      <w:r>
        <w:rPr>
          <w:rFonts w:hint="eastAsia" w:asciiTheme="minorEastAsia" w:hAnsiTheme="minorEastAsia" w:eastAsiaTheme="minorEastAsia"/>
          <w:sz w:val="24"/>
          <w:szCs w:val="24"/>
        </w:rPr>
        <w:t>如果涉及使用密码算法，须符合国家相关规定和标准，建议使用</w:t>
      </w:r>
      <w:r>
        <w:rPr>
          <w:rFonts w:asciiTheme="minorEastAsia" w:hAnsiTheme="minorEastAsia" w:eastAsiaTheme="minorEastAsia"/>
          <w:sz w:val="24"/>
          <w:szCs w:val="24"/>
        </w:rPr>
        <w:t>SM2</w:t>
      </w:r>
      <w:r>
        <w:rPr>
          <w:rFonts w:hint="eastAsia" w:asciiTheme="minorEastAsia" w:hAnsiTheme="minorEastAsia" w:eastAsiaTheme="minorEastAsia"/>
          <w:sz w:val="24"/>
          <w:szCs w:val="24"/>
        </w:rPr>
        <w:t>、</w:t>
      </w:r>
      <w:r>
        <w:rPr>
          <w:rFonts w:asciiTheme="minorEastAsia" w:hAnsiTheme="minorEastAsia" w:eastAsiaTheme="minorEastAsia"/>
          <w:sz w:val="24"/>
          <w:szCs w:val="24"/>
        </w:rPr>
        <w:t>SM3</w:t>
      </w:r>
      <w:r>
        <w:rPr>
          <w:rFonts w:hint="eastAsia" w:asciiTheme="minorEastAsia" w:hAnsiTheme="minorEastAsia" w:eastAsiaTheme="minorEastAsia"/>
          <w:sz w:val="24"/>
          <w:szCs w:val="24"/>
        </w:rPr>
        <w:t>、</w:t>
      </w:r>
      <w:r>
        <w:rPr>
          <w:rFonts w:asciiTheme="minorEastAsia" w:hAnsiTheme="minorEastAsia" w:eastAsiaTheme="minorEastAsia"/>
          <w:sz w:val="24"/>
          <w:szCs w:val="24"/>
        </w:rPr>
        <w:t>SM4</w:t>
      </w:r>
      <w:r>
        <w:rPr>
          <w:rFonts w:hint="eastAsia" w:asciiTheme="minorEastAsia" w:hAnsiTheme="minorEastAsia" w:eastAsiaTheme="minorEastAsia"/>
          <w:sz w:val="24"/>
          <w:szCs w:val="24"/>
        </w:rPr>
        <w:t>等国产密码算法。</w:t>
      </w:r>
    </w:p>
    <w:p>
      <w:pPr>
        <w:spacing w:line="360" w:lineRule="auto"/>
        <w:rPr>
          <w:rFonts w:asciiTheme="minorEastAsia" w:hAnsiTheme="minorEastAsia"/>
          <w:szCs w:val="21"/>
        </w:rPr>
      </w:pPr>
    </w:p>
    <w:p>
      <w:pPr>
        <w:pStyle w:val="2"/>
        <w:pageBreakBefore/>
        <w:numPr>
          <w:ilvl w:val="0"/>
          <w:numId w:val="3"/>
        </w:numPr>
        <w:spacing w:before="0" w:after="0" w:line="360" w:lineRule="auto"/>
        <w:ind w:left="0" w:leftChars="0" w:firstLine="402" w:firstLineChars="0"/>
        <w:jc w:val="left"/>
      </w:pPr>
      <w:r>
        <w:rPr>
          <w:rFonts w:hint="eastAsia"/>
        </w:rPr>
        <w:t xml:space="preserve"> </w:t>
      </w:r>
      <w:bookmarkStart w:id="42" w:name="_Toc16421"/>
      <w:r>
        <w:rPr>
          <w:rFonts w:hint="eastAsia"/>
        </w:rPr>
        <w:t>技术解决方案</w:t>
      </w:r>
      <w:bookmarkEnd w:id="42"/>
    </w:p>
    <w:p>
      <w:pPr>
        <w:pStyle w:val="3"/>
        <w:numPr>
          <w:ilvl w:val="1"/>
          <w:numId w:val="3"/>
        </w:numPr>
        <w:spacing w:before="0" w:after="0" w:line="360" w:lineRule="auto"/>
        <w:ind w:left="0" w:leftChars="0" w:firstLine="402" w:firstLineChars="0"/>
      </w:pPr>
      <w:r>
        <w:rPr>
          <w:rFonts w:hint="eastAsia"/>
        </w:rPr>
        <w:t xml:space="preserve"> </w:t>
      </w:r>
      <w:bookmarkStart w:id="43" w:name="_Toc30676"/>
      <w:r>
        <w:rPr>
          <w:rFonts w:hint="eastAsia"/>
        </w:rPr>
        <w:t>架构说明及建议（整体应用架构、技术架构、系统集成）</w:t>
      </w:r>
      <w:bookmarkEnd w:id="43"/>
    </w:p>
    <w:p>
      <w:pPr>
        <w:pStyle w:val="4"/>
        <w:numPr>
          <w:ilvl w:val="2"/>
          <w:numId w:val="3"/>
        </w:numPr>
        <w:spacing w:before="0" w:after="0" w:line="360" w:lineRule="auto"/>
        <w:ind w:left="0" w:leftChars="0" w:firstLine="402" w:firstLineChars="0"/>
      </w:pPr>
      <w:bookmarkStart w:id="44" w:name="_Toc8447"/>
      <w:r>
        <w:rPr>
          <w:rFonts w:hint="eastAsia"/>
        </w:rPr>
        <w:t>总体框架</w:t>
      </w:r>
      <w:bookmarkEnd w:id="44"/>
    </w:p>
    <w:p>
      <w:pPr>
        <w:spacing w:line="360" w:lineRule="auto"/>
        <w:sectPr>
          <w:headerReference r:id="rId3" w:type="default"/>
          <w:footerReference r:id="rId4" w:type="default"/>
          <w:pgSz w:w="11906" w:h="16838"/>
          <w:pgMar w:top="1440" w:right="1797" w:bottom="1440" w:left="1797" w:header="794" w:footer="794" w:gutter="0"/>
          <w:cols w:space="720" w:num="1"/>
        </w:sectPr>
      </w:pPr>
    </w:p>
    <w:p>
      <w:pPr>
        <w:pStyle w:val="5"/>
        <w:pageBreakBefore/>
        <w:numPr>
          <w:ilvl w:val="3"/>
          <w:numId w:val="0"/>
        </w:numPr>
        <w:spacing w:before="0" w:after="0" w:line="360" w:lineRule="auto"/>
      </w:pPr>
      <w:bookmarkStart w:id="45" w:name="_Toc22027"/>
      <w:r>
        <w:rPr>
          <w:rFonts w:hint="eastAsia"/>
        </w:rPr>
        <w:t>1.1总体架构图</w:t>
      </w:r>
      <w:bookmarkEnd w:id="45"/>
    </w:p>
    <w:p>
      <w:pPr>
        <w:spacing w:line="360" w:lineRule="auto"/>
        <w:rPr>
          <w:rFonts w:hint="eastAsia" w:eastAsiaTheme="minorEastAsia"/>
          <w:lang w:eastAsia="zh-CN"/>
        </w:rPr>
      </w:pPr>
      <w:r>
        <w:rPr>
          <w:rFonts w:hint="eastAsia" w:eastAsiaTheme="minorEastAsia"/>
          <w:lang w:eastAsia="zh-CN"/>
        </w:rPr>
        <w:drawing>
          <wp:inline distT="0" distB="0" distL="114300" distR="114300">
            <wp:extent cx="8857615" cy="4253230"/>
            <wp:effectExtent l="0" t="0" r="12065" b="13970"/>
            <wp:docPr id="7" name="图片 7" descr="齐鲁系统架构图-总架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齐鲁系统架构图-总架构图"/>
                    <pic:cNvPicPr>
                      <a:picLocks noChangeAspect="1"/>
                    </pic:cNvPicPr>
                  </pic:nvPicPr>
                  <pic:blipFill>
                    <a:blip r:embed="rId8"/>
                    <a:stretch>
                      <a:fillRect/>
                    </a:stretch>
                  </pic:blipFill>
                  <pic:spPr>
                    <a:xfrm>
                      <a:off x="0" y="0"/>
                      <a:ext cx="8857615" cy="4253230"/>
                    </a:xfrm>
                    <a:prstGeom prst="rect">
                      <a:avLst/>
                    </a:prstGeom>
                  </pic:spPr>
                </pic:pic>
              </a:graphicData>
            </a:graphic>
          </wp:inline>
        </w:drawing>
      </w:r>
    </w:p>
    <w:p>
      <w:pPr>
        <w:spacing w:line="360" w:lineRule="auto"/>
        <w:sectPr>
          <w:pgSz w:w="16838" w:h="11906" w:orient="landscape"/>
          <w:pgMar w:top="1797" w:right="1440" w:bottom="1797" w:left="1440" w:header="794" w:footer="794" w:gutter="0"/>
          <w:cols w:space="720" w:num="1"/>
          <w:docGrid w:linePitch="286" w:charSpace="0"/>
        </w:sectPr>
      </w:pPr>
    </w:p>
    <w:p>
      <w:pPr>
        <w:pStyle w:val="5"/>
        <w:pageBreakBefore/>
        <w:numPr>
          <w:ilvl w:val="3"/>
          <w:numId w:val="0"/>
        </w:numPr>
        <w:spacing w:before="0" w:after="0" w:line="360" w:lineRule="auto"/>
      </w:pPr>
      <w:bookmarkStart w:id="46" w:name="_Toc433"/>
      <w:r>
        <w:rPr>
          <w:rFonts w:hint="eastAsia"/>
        </w:rPr>
        <w:t>1.2系统组成</w:t>
      </w:r>
      <w:bookmarkEnd w:id="46"/>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xx</w:t>
      </w:r>
      <w:r>
        <w:rPr>
          <w:rFonts w:hint="eastAsia" w:asciiTheme="minorEastAsia" w:hAnsiTheme="minorEastAsia" w:eastAsiaTheme="minorEastAsia"/>
          <w:sz w:val="24"/>
          <w:szCs w:val="24"/>
        </w:rPr>
        <w:t>交通电子发票管理系统为总部/</w:t>
      </w:r>
      <w:r>
        <w:rPr>
          <w:rFonts w:hint="eastAsia" w:asciiTheme="minorEastAsia" w:hAnsiTheme="minorEastAsia" w:eastAsiaTheme="minorEastAsia"/>
          <w:sz w:val="24"/>
          <w:szCs w:val="24"/>
          <w:lang w:val="en-US" w:eastAsia="zh-CN"/>
        </w:rPr>
        <w:t>分公司</w:t>
      </w:r>
      <w:r>
        <w:rPr>
          <w:rFonts w:hint="eastAsia" w:asciiTheme="minorEastAsia" w:hAnsiTheme="minorEastAsia" w:eastAsiaTheme="minorEastAsia"/>
          <w:sz w:val="24"/>
          <w:szCs w:val="24"/>
        </w:rPr>
        <w:t>发布部署方式，系统包括发票</w:t>
      </w:r>
      <w:r>
        <w:rPr>
          <w:rFonts w:hint="eastAsia" w:asciiTheme="minorEastAsia" w:hAnsiTheme="minorEastAsia" w:eastAsiaTheme="minorEastAsia"/>
          <w:sz w:val="24"/>
          <w:szCs w:val="24"/>
          <w:lang w:eastAsia="zh-CN"/>
        </w:rPr>
        <w:t>接口系统</w:t>
      </w:r>
      <w:r>
        <w:rPr>
          <w:rFonts w:hint="eastAsia" w:asciiTheme="minorEastAsia" w:hAnsiTheme="minorEastAsia" w:eastAsiaTheme="minorEastAsia"/>
          <w:sz w:val="24"/>
          <w:szCs w:val="24"/>
        </w:rPr>
        <w:t>、</w:t>
      </w:r>
      <w:r>
        <w:rPr>
          <w:rFonts w:hint="eastAsia" w:asciiTheme="minorEastAsia" w:hAnsiTheme="minorEastAsia" w:eastAsiaTheme="minorEastAsia"/>
          <w:sz w:val="24"/>
          <w:szCs w:val="24"/>
          <w:lang w:eastAsia="zh-CN"/>
        </w:rPr>
        <w:t>发票管理系统</w:t>
      </w:r>
      <w:r>
        <w:rPr>
          <w:rFonts w:hint="eastAsia" w:asciiTheme="minorEastAsia" w:hAnsiTheme="minorEastAsia" w:eastAsiaTheme="minorEastAsia"/>
          <w:sz w:val="24"/>
          <w:szCs w:val="24"/>
        </w:rPr>
        <w:t>、发票服务平台以及税务端系统（升级版）。发票</w:t>
      </w:r>
      <w:r>
        <w:rPr>
          <w:rFonts w:hint="eastAsia" w:asciiTheme="minorEastAsia" w:hAnsiTheme="minorEastAsia" w:eastAsiaTheme="minorEastAsia"/>
          <w:sz w:val="24"/>
          <w:szCs w:val="24"/>
          <w:lang w:eastAsia="zh-CN"/>
        </w:rPr>
        <w:t>接口系统</w:t>
      </w:r>
      <w:r>
        <w:rPr>
          <w:rFonts w:hint="eastAsia" w:asciiTheme="minorEastAsia" w:hAnsiTheme="minorEastAsia" w:eastAsiaTheme="minorEastAsia"/>
          <w:sz w:val="24"/>
          <w:szCs w:val="24"/>
        </w:rPr>
        <w:t>、发票服务平台部署在</w:t>
      </w:r>
      <w:r>
        <w:rPr>
          <w:rFonts w:hint="eastAsia" w:asciiTheme="minorEastAsia" w:hAnsiTheme="minorEastAsia" w:eastAsiaTheme="minorEastAsia"/>
          <w:sz w:val="24"/>
          <w:szCs w:val="24"/>
          <w:lang w:eastAsia="zh-CN"/>
        </w:rPr>
        <w:t>xx交通</w:t>
      </w:r>
      <w:r>
        <w:rPr>
          <w:rFonts w:hint="eastAsia" w:asciiTheme="minorEastAsia" w:hAnsiTheme="minorEastAsia" w:eastAsiaTheme="minorEastAsia"/>
          <w:sz w:val="24"/>
          <w:szCs w:val="24"/>
        </w:rPr>
        <w:t>总部，</w:t>
      </w:r>
      <w:r>
        <w:rPr>
          <w:rFonts w:hint="eastAsia" w:asciiTheme="minorEastAsia" w:hAnsiTheme="minorEastAsia" w:eastAsiaTheme="minorEastAsia"/>
          <w:sz w:val="24"/>
          <w:szCs w:val="24"/>
          <w:lang w:eastAsia="zh-CN"/>
        </w:rPr>
        <w:t>发票管理系统</w:t>
      </w:r>
      <w:r>
        <w:rPr>
          <w:rFonts w:hint="eastAsia" w:asciiTheme="minorEastAsia" w:hAnsiTheme="minorEastAsia" w:eastAsiaTheme="minorEastAsia"/>
          <w:sz w:val="24"/>
          <w:szCs w:val="24"/>
        </w:rPr>
        <w:t>部署在省级公司；电子发票服务平台与第三方电子发票服务平台对接，实现电子发票信上传第三方服务平台功能。发票</w:t>
      </w:r>
      <w:r>
        <w:rPr>
          <w:rFonts w:hint="eastAsia" w:asciiTheme="minorEastAsia" w:hAnsiTheme="minorEastAsia" w:eastAsiaTheme="minorEastAsia"/>
          <w:sz w:val="24"/>
          <w:szCs w:val="24"/>
          <w:lang w:eastAsia="zh-CN"/>
        </w:rPr>
        <w:t>接口系统</w:t>
      </w:r>
      <w:r>
        <w:rPr>
          <w:rFonts w:hint="eastAsia" w:asciiTheme="minorEastAsia" w:hAnsiTheme="minorEastAsia" w:eastAsiaTheme="minorEastAsia"/>
          <w:sz w:val="24"/>
          <w:szCs w:val="24"/>
        </w:rPr>
        <w:t>预留与第三方服务平台对接接口，后期将提供电子发票验证功能。上图中绿色框内的发票</w:t>
      </w:r>
      <w:r>
        <w:rPr>
          <w:rFonts w:hint="eastAsia" w:asciiTheme="minorEastAsia" w:hAnsiTheme="minorEastAsia" w:eastAsiaTheme="minorEastAsia"/>
          <w:sz w:val="24"/>
          <w:szCs w:val="24"/>
          <w:lang w:eastAsia="zh-CN"/>
        </w:rPr>
        <w:t>接口系统</w:t>
      </w:r>
      <w:r>
        <w:rPr>
          <w:rFonts w:hint="eastAsia" w:asciiTheme="minorEastAsia" w:hAnsiTheme="minorEastAsia" w:eastAsiaTheme="minorEastAsia"/>
          <w:sz w:val="24"/>
          <w:szCs w:val="24"/>
        </w:rPr>
        <w:t>、</w:t>
      </w:r>
      <w:r>
        <w:rPr>
          <w:rFonts w:hint="eastAsia" w:asciiTheme="minorEastAsia" w:hAnsiTheme="minorEastAsia" w:eastAsiaTheme="minorEastAsia"/>
          <w:sz w:val="24"/>
          <w:szCs w:val="24"/>
          <w:lang w:eastAsia="zh-CN"/>
        </w:rPr>
        <w:t>发票管理系统</w:t>
      </w:r>
      <w:r>
        <w:rPr>
          <w:rFonts w:hint="eastAsia" w:asciiTheme="minorEastAsia" w:hAnsiTheme="minorEastAsia" w:eastAsiaTheme="minorEastAsia"/>
          <w:sz w:val="24"/>
          <w:szCs w:val="24"/>
        </w:rPr>
        <w:t>、电子发票服务平台为本方案新建的系统。</w:t>
      </w:r>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xx</w:t>
      </w:r>
      <w:r>
        <w:rPr>
          <w:rFonts w:hint="eastAsia" w:asciiTheme="minorEastAsia" w:hAnsiTheme="minorEastAsia" w:eastAsiaTheme="minorEastAsia"/>
          <w:sz w:val="24"/>
          <w:szCs w:val="24"/>
        </w:rPr>
        <w:t>集团有限公司电子发票管理系统与发票</w:t>
      </w:r>
      <w:r>
        <w:rPr>
          <w:rFonts w:hint="eastAsia" w:asciiTheme="minorEastAsia" w:hAnsiTheme="minorEastAsia" w:eastAsiaTheme="minorEastAsia"/>
          <w:sz w:val="24"/>
          <w:szCs w:val="24"/>
          <w:lang w:eastAsia="zh-CN"/>
        </w:rPr>
        <w:t>接口系统</w:t>
      </w:r>
      <w:r>
        <w:rPr>
          <w:rFonts w:hint="eastAsia" w:asciiTheme="minorEastAsia" w:hAnsiTheme="minorEastAsia" w:eastAsiaTheme="minorEastAsia"/>
          <w:sz w:val="24"/>
          <w:szCs w:val="24"/>
        </w:rPr>
        <w:t>对接，当</w:t>
      </w:r>
      <w:r>
        <w:rPr>
          <w:rFonts w:hint="eastAsia" w:asciiTheme="minorEastAsia" w:hAnsiTheme="minorEastAsia" w:eastAsiaTheme="minorEastAsia"/>
          <w:sz w:val="24"/>
          <w:szCs w:val="24"/>
          <w:lang w:eastAsia="zh-CN"/>
        </w:rPr>
        <w:t>xx交通</w:t>
      </w:r>
      <w:r>
        <w:rPr>
          <w:rFonts w:hint="eastAsia" w:asciiTheme="minorEastAsia" w:hAnsiTheme="minorEastAsia" w:eastAsiaTheme="minorEastAsia"/>
          <w:sz w:val="24"/>
          <w:szCs w:val="24"/>
        </w:rPr>
        <w:t>的多个业务渠道需要开具发票时，接收各渠道提交的交易信息，请求总部发票</w:t>
      </w:r>
      <w:r>
        <w:rPr>
          <w:rFonts w:hint="eastAsia" w:asciiTheme="minorEastAsia" w:hAnsiTheme="minorEastAsia" w:eastAsiaTheme="minorEastAsia"/>
          <w:sz w:val="24"/>
          <w:szCs w:val="24"/>
          <w:lang w:eastAsia="zh-CN"/>
        </w:rPr>
        <w:t>接口系统</w:t>
      </w:r>
      <w:r>
        <w:rPr>
          <w:rFonts w:hint="eastAsia" w:asciiTheme="minorEastAsia" w:hAnsiTheme="minorEastAsia" w:eastAsiaTheme="minorEastAsia"/>
          <w:sz w:val="24"/>
          <w:szCs w:val="24"/>
        </w:rPr>
        <w:t>开具发票，发票开具成功后，从</w:t>
      </w:r>
      <w:r>
        <w:rPr>
          <w:rFonts w:hint="eastAsia" w:asciiTheme="minorEastAsia" w:hAnsiTheme="minorEastAsia" w:eastAsiaTheme="minorEastAsia"/>
          <w:sz w:val="24"/>
          <w:szCs w:val="24"/>
          <w:lang w:eastAsia="zh-CN"/>
        </w:rPr>
        <w:t>接口系统</w:t>
      </w:r>
      <w:r>
        <w:rPr>
          <w:rFonts w:hint="eastAsia" w:asciiTheme="minorEastAsia" w:hAnsiTheme="minorEastAsia" w:eastAsiaTheme="minorEastAsia"/>
          <w:sz w:val="24"/>
          <w:szCs w:val="24"/>
        </w:rPr>
        <w:t>接收电子发票信息和PDF文件或纸质发票开具信息，提供</w:t>
      </w:r>
      <w:r>
        <w:rPr>
          <w:rFonts w:hint="eastAsia" w:asciiTheme="minorEastAsia" w:hAnsiTheme="minorEastAsia" w:eastAsiaTheme="minorEastAsia"/>
          <w:sz w:val="24"/>
          <w:szCs w:val="24"/>
          <w:lang w:eastAsia="zh-CN"/>
        </w:rPr>
        <w:t>电子发票</w:t>
      </w:r>
      <w:r>
        <w:rPr>
          <w:rFonts w:hint="eastAsia" w:asciiTheme="minorEastAsia" w:hAnsiTheme="minorEastAsia" w:eastAsiaTheme="minorEastAsia"/>
          <w:sz w:val="24"/>
          <w:szCs w:val="24"/>
        </w:rPr>
        <w:t>打印、电子发票邮件发送等方式的发票交付功能。</w:t>
      </w:r>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电子发票</w:t>
      </w:r>
      <w:r>
        <w:rPr>
          <w:rFonts w:hint="eastAsia" w:asciiTheme="minorEastAsia" w:hAnsiTheme="minorEastAsia" w:eastAsiaTheme="minorEastAsia"/>
          <w:sz w:val="24"/>
          <w:szCs w:val="24"/>
          <w:lang w:eastAsia="zh-CN"/>
        </w:rPr>
        <w:t>接口系统</w:t>
      </w:r>
      <w:r>
        <w:rPr>
          <w:rFonts w:hint="eastAsia" w:asciiTheme="minorEastAsia" w:hAnsiTheme="minorEastAsia" w:eastAsiaTheme="minorEastAsia"/>
          <w:sz w:val="24"/>
          <w:szCs w:val="24"/>
        </w:rPr>
        <w:t>提供与</w:t>
      </w:r>
      <w:r>
        <w:rPr>
          <w:rFonts w:hint="eastAsia" w:asciiTheme="minorEastAsia" w:hAnsiTheme="minorEastAsia" w:eastAsiaTheme="minorEastAsia"/>
          <w:sz w:val="24"/>
          <w:szCs w:val="24"/>
          <w:lang w:eastAsia="zh-CN"/>
        </w:rPr>
        <w:t>xx交通xx卡</w:t>
      </w:r>
      <w:r>
        <w:rPr>
          <w:rFonts w:hint="eastAsia" w:asciiTheme="minorEastAsia" w:hAnsiTheme="minorEastAsia" w:eastAsiaTheme="minorEastAsia"/>
          <w:sz w:val="24"/>
          <w:szCs w:val="24"/>
        </w:rPr>
        <w:t>运营平台、合作银行的电子收费业务等业务系统的统一接口，接收业务系统提交的需要开票的交易信息，负责调用</w:t>
      </w:r>
      <w:r>
        <w:rPr>
          <w:rFonts w:hint="eastAsia" w:asciiTheme="minorEastAsia" w:hAnsiTheme="minorEastAsia" w:eastAsiaTheme="minorEastAsia"/>
          <w:sz w:val="24"/>
          <w:szCs w:val="24"/>
          <w:lang w:eastAsia="zh-CN"/>
        </w:rPr>
        <w:t>发票管理系统</w:t>
      </w:r>
      <w:r>
        <w:rPr>
          <w:rFonts w:hint="eastAsia" w:asciiTheme="minorEastAsia" w:hAnsiTheme="minorEastAsia" w:eastAsiaTheme="minorEastAsia"/>
          <w:sz w:val="24"/>
          <w:szCs w:val="24"/>
        </w:rPr>
        <w:t>生成发票信息和调用电子发票服务平台生成电子发票PDF并签章，同时将生成的电子发票信息和PDF返回</w:t>
      </w:r>
      <w:r>
        <w:rPr>
          <w:rFonts w:hint="eastAsia" w:asciiTheme="minorEastAsia" w:hAnsiTheme="minorEastAsia" w:eastAsiaTheme="minorEastAsia"/>
          <w:sz w:val="24"/>
          <w:szCs w:val="24"/>
          <w:lang w:eastAsia="zh-CN"/>
        </w:rPr>
        <w:t>xx交通</w:t>
      </w:r>
      <w:r>
        <w:rPr>
          <w:rFonts w:hint="eastAsia" w:asciiTheme="minorEastAsia" w:hAnsiTheme="minorEastAsia" w:eastAsiaTheme="minorEastAsia"/>
          <w:sz w:val="24"/>
          <w:szCs w:val="24"/>
        </w:rPr>
        <w:t>相关业务系统。另外，发票</w:t>
      </w:r>
      <w:r>
        <w:rPr>
          <w:rFonts w:hint="eastAsia" w:asciiTheme="minorEastAsia" w:hAnsiTheme="minorEastAsia" w:eastAsiaTheme="minorEastAsia"/>
          <w:sz w:val="24"/>
          <w:szCs w:val="24"/>
          <w:lang w:eastAsia="zh-CN"/>
        </w:rPr>
        <w:t>接口系统</w:t>
      </w:r>
      <w:r>
        <w:rPr>
          <w:rFonts w:hint="eastAsia" w:asciiTheme="minorEastAsia" w:hAnsiTheme="minorEastAsia" w:eastAsiaTheme="minorEastAsia"/>
          <w:sz w:val="24"/>
          <w:szCs w:val="24"/>
        </w:rPr>
        <w:t>对业务系统提交的需要开票的交易信息进行开票合法性校验。提供发票验证接口，接收</w:t>
      </w:r>
      <w:r>
        <w:rPr>
          <w:rFonts w:hint="eastAsia" w:asciiTheme="minorEastAsia" w:hAnsiTheme="minorEastAsia" w:eastAsiaTheme="minorEastAsia"/>
          <w:sz w:val="24"/>
          <w:szCs w:val="24"/>
          <w:lang w:eastAsia="zh-CN"/>
        </w:rPr>
        <w:t>xx交通</w:t>
      </w:r>
      <w:r>
        <w:rPr>
          <w:rFonts w:hint="eastAsia" w:asciiTheme="minorEastAsia" w:hAnsiTheme="minorEastAsia" w:eastAsiaTheme="minorEastAsia"/>
          <w:sz w:val="24"/>
          <w:szCs w:val="24"/>
        </w:rPr>
        <w:t>业务系统提交的电子发票版式文件验证请求，将验证请求转发第三方电子发票服务平台获取验证结果后，将验证结果返回业务系统。</w:t>
      </w:r>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省级</w:t>
      </w:r>
      <w:r>
        <w:rPr>
          <w:rFonts w:hint="eastAsia" w:asciiTheme="minorEastAsia" w:hAnsiTheme="minorEastAsia" w:eastAsiaTheme="minorEastAsia"/>
          <w:sz w:val="24"/>
          <w:szCs w:val="24"/>
          <w:lang w:eastAsia="zh-CN"/>
        </w:rPr>
        <w:t>发票管理系统</w:t>
      </w:r>
      <w:r>
        <w:rPr>
          <w:rFonts w:hint="eastAsia" w:asciiTheme="minorEastAsia" w:hAnsiTheme="minorEastAsia" w:eastAsiaTheme="minorEastAsia"/>
          <w:sz w:val="24"/>
          <w:szCs w:val="24"/>
        </w:rPr>
        <w:t>提供对全省开票的金税盘的管理，根据总部发票</w:t>
      </w:r>
      <w:r>
        <w:rPr>
          <w:rFonts w:hint="eastAsia" w:asciiTheme="minorEastAsia" w:hAnsiTheme="minorEastAsia" w:eastAsiaTheme="minorEastAsia"/>
          <w:sz w:val="24"/>
          <w:szCs w:val="24"/>
          <w:lang w:eastAsia="zh-CN"/>
        </w:rPr>
        <w:t>接口系统</w:t>
      </w:r>
      <w:r>
        <w:rPr>
          <w:rFonts w:hint="eastAsia" w:asciiTheme="minorEastAsia" w:hAnsiTheme="minorEastAsia" w:eastAsiaTheme="minorEastAsia"/>
          <w:sz w:val="24"/>
          <w:szCs w:val="24"/>
        </w:rPr>
        <w:t>发送的开票信息，调用高速开票模块开具电子发票，同时返回开票信息给发票</w:t>
      </w:r>
      <w:r>
        <w:rPr>
          <w:rFonts w:hint="eastAsia" w:asciiTheme="minorEastAsia" w:hAnsiTheme="minorEastAsia" w:eastAsiaTheme="minorEastAsia"/>
          <w:sz w:val="24"/>
          <w:szCs w:val="24"/>
          <w:lang w:eastAsia="zh-CN"/>
        </w:rPr>
        <w:t>接口系统</w:t>
      </w:r>
      <w:r>
        <w:rPr>
          <w:rFonts w:hint="eastAsia" w:asciiTheme="minorEastAsia" w:hAnsiTheme="minorEastAsia" w:eastAsiaTheme="minorEastAsia"/>
          <w:sz w:val="24"/>
          <w:szCs w:val="24"/>
        </w:rPr>
        <w:t>。另外省级</w:t>
      </w:r>
      <w:r>
        <w:rPr>
          <w:rFonts w:hint="eastAsia" w:asciiTheme="minorEastAsia" w:hAnsiTheme="minorEastAsia" w:eastAsiaTheme="minorEastAsia"/>
          <w:sz w:val="24"/>
          <w:szCs w:val="24"/>
          <w:lang w:eastAsia="zh-CN"/>
        </w:rPr>
        <w:t>发票管理系统</w:t>
      </w:r>
      <w:r>
        <w:rPr>
          <w:rFonts w:hint="eastAsia" w:asciiTheme="minorEastAsia" w:hAnsiTheme="minorEastAsia" w:eastAsiaTheme="minorEastAsia"/>
          <w:sz w:val="24"/>
          <w:szCs w:val="24"/>
        </w:rPr>
        <w:t>还提供电子发票申领、发票上传税局、开具发票信息查询统计以及金税盘状态管理等功能。</w:t>
      </w:r>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电子发票服务平台提供电子发票PDF生成以及电子发票签章功能，根据发票</w:t>
      </w:r>
      <w:r>
        <w:rPr>
          <w:rFonts w:hint="eastAsia" w:asciiTheme="minorEastAsia" w:hAnsiTheme="minorEastAsia" w:eastAsiaTheme="minorEastAsia"/>
          <w:sz w:val="24"/>
          <w:szCs w:val="24"/>
          <w:lang w:eastAsia="zh-CN"/>
        </w:rPr>
        <w:t>接口系统</w:t>
      </w:r>
      <w:r>
        <w:rPr>
          <w:rFonts w:hint="eastAsia" w:asciiTheme="minorEastAsia" w:hAnsiTheme="minorEastAsia" w:eastAsiaTheme="minorEastAsia"/>
          <w:sz w:val="24"/>
          <w:szCs w:val="24"/>
        </w:rPr>
        <w:t>发送的发票信息生成电子发票PDF并对电子发票PDF签章，同时将签章后的电子发票PDF和发票信息返回给发票</w:t>
      </w:r>
      <w:r>
        <w:rPr>
          <w:rFonts w:hint="eastAsia" w:asciiTheme="minorEastAsia" w:hAnsiTheme="minorEastAsia" w:eastAsiaTheme="minorEastAsia"/>
          <w:sz w:val="24"/>
          <w:szCs w:val="24"/>
          <w:lang w:eastAsia="zh-CN"/>
        </w:rPr>
        <w:t>接口系统</w:t>
      </w:r>
      <w:r>
        <w:rPr>
          <w:rFonts w:hint="eastAsia" w:asciiTheme="minorEastAsia" w:hAnsiTheme="minorEastAsia" w:eastAsiaTheme="minorEastAsia"/>
          <w:sz w:val="24"/>
          <w:szCs w:val="24"/>
        </w:rPr>
        <w:t>并将电子发票PDF和发票信息上传至第三方电子发票服务平台。另外发票服务平台还提供电子签章的制作管理等功能。</w:t>
      </w:r>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第三方电子发票服务平台接收电子发票服务平台发送的电子发票PDF和发票信息，为消费者提供电子发票归集、查验、下载、推送、入账报销以及电子发票PDF的验真等功能。</w:t>
      </w:r>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省局税务端系统为省级</w:t>
      </w:r>
      <w:r>
        <w:rPr>
          <w:rFonts w:hint="eastAsia" w:asciiTheme="minorEastAsia" w:hAnsiTheme="minorEastAsia" w:eastAsiaTheme="minorEastAsia"/>
          <w:sz w:val="24"/>
          <w:szCs w:val="24"/>
          <w:lang w:eastAsia="zh-CN"/>
        </w:rPr>
        <w:t>发票管理系统</w:t>
      </w:r>
      <w:r>
        <w:rPr>
          <w:rFonts w:hint="eastAsia" w:asciiTheme="minorEastAsia" w:hAnsiTheme="minorEastAsia" w:eastAsiaTheme="minorEastAsia"/>
          <w:sz w:val="24"/>
          <w:szCs w:val="24"/>
        </w:rPr>
        <w:t>提供票源下载、信息同步和发票上传等功能。</w:t>
      </w:r>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总局税务端系统接收省局税务端系统上传的发票信息，同时按购货方税号清分。</w:t>
      </w:r>
    </w:p>
    <w:p>
      <w:pPr>
        <w:pStyle w:val="4"/>
        <w:numPr>
          <w:ilvl w:val="2"/>
          <w:numId w:val="3"/>
        </w:numPr>
        <w:spacing w:before="0" w:after="0" w:line="360" w:lineRule="auto"/>
        <w:ind w:left="0" w:leftChars="0" w:firstLine="402" w:firstLineChars="0"/>
      </w:pPr>
      <w:bookmarkStart w:id="47" w:name="_Toc18703"/>
      <w:r>
        <w:rPr>
          <w:rFonts w:hint="eastAsia"/>
        </w:rPr>
        <w:t>应用架构</w:t>
      </w:r>
      <w:bookmarkEnd w:id="47"/>
    </w:p>
    <w:p>
      <w:pPr>
        <w:spacing w:line="360" w:lineRule="auto"/>
        <w:rPr>
          <w:rFonts w:hint="eastAsia" w:asciiTheme="minorEastAsia" w:hAnsiTheme="minorEastAsia" w:eastAsiaTheme="minorEastAsia"/>
          <w:szCs w:val="21"/>
          <w:lang w:eastAsia="zh-CN"/>
        </w:rPr>
      </w:pPr>
      <w:r>
        <w:rPr>
          <w:rFonts w:hint="eastAsia" w:asciiTheme="minorEastAsia" w:hAnsiTheme="minorEastAsia" w:eastAsiaTheme="minorEastAsia"/>
          <w:szCs w:val="21"/>
          <w:lang w:eastAsia="zh-CN"/>
        </w:rPr>
        <w:drawing>
          <wp:inline distT="0" distB="0" distL="114300" distR="114300">
            <wp:extent cx="5268595" cy="2732405"/>
            <wp:effectExtent l="0" t="0" r="4445" b="10795"/>
            <wp:docPr id="11" name="图片 11" descr="齐鲁系统架构图-应用架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齐鲁系统架构图-应用架构图"/>
                    <pic:cNvPicPr>
                      <a:picLocks noChangeAspect="1"/>
                    </pic:cNvPicPr>
                  </pic:nvPicPr>
                  <pic:blipFill>
                    <a:blip r:embed="rId9"/>
                    <a:stretch>
                      <a:fillRect/>
                    </a:stretch>
                  </pic:blipFill>
                  <pic:spPr>
                    <a:xfrm>
                      <a:off x="0" y="0"/>
                      <a:ext cx="5268595" cy="2732405"/>
                    </a:xfrm>
                    <a:prstGeom prst="rect">
                      <a:avLst/>
                    </a:prstGeom>
                  </pic:spPr>
                </pic:pic>
              </a:graphicData>
            </a:graphic>
          </wp:inline>
        </w:drawing>
      </w:r>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接口系统</w:t>
      </w:r>
      <w:r>
        <w:rPr>
          <w:rFonts w:hint="eastAsia" w:asciiTheme="minorEastAsia" w:hAnsiTheme="minorEastAsia" w:eastAsiaTheme="minorEastAsia"/>
          <w:sz w:val="24"/>
          <w:szCs w:val="24"/>
        </w:rPr>
        <w:t>向</w:t>
      </w:r>
      <w:r>
        <w:rPr>
          <w:rFonts w:hint="eastAsia" w:asciiTheme="minorEastAsia" w:hAnsiTheme="minorEastAsia" w:eastAsiaTheme="minorEastAsia"/>
          <w:sz w:val="24"/>
          <w:szCs w:val="24"/>
          <w:lang w:eastAsia="zh-CN"/>
        </w:rPr>
        <w:t>xx交通</w:t>
      </w:r>
      <w:r>
        <w:rPr>
          <w:rFonts w:hint="eastAsia" w:asciiTheme="minorEastAsia" w:hAnsiTheme="minorEastAsia" w:eastAsiaTheme="minorEastAsia"/>
          <w:sz w:val="24"/>
          <w:szCs w:val="24"/>
        </w:rPr>
        <w:t>的</w:t>
      </w:r>
      <w:r>
        <w:rPr>
          <w:rFonts w:hint="eastAsia" w:asciiTheme="minorEastAsia" w:hAnsiTheme="minorEastAsia" w:eastAsiaTheme="minorEastAsia"/>
          <w:sz w:val="24"/>
          <w:szCs w:val="24"/>
          <w:lang w:eastAsia="zh-CN"/>
        </w:rPr>
        <w:t>xx卡</w:t>
      </w:r>
      <w:r>
        <w:rPr>
          <w:rFonts w:hint="eastAsia" w:asciiTheme="minorEastAsia" w:hAnsiTheme="minorEastAsia" w:eastAsiaTheme="minorEastAsia"/>
          <w:sz w:val="24"/>
          <w:szCs w:val="24"/>
        </w:rPr>
        <w:t>运营平台、合作银行的电子收费业务等业务系统提供发票开具接口服务，将受理的开票请求转发至各省</w:t>
      </w:r>
      <w:r>
        <w:rPr>
          <w:rFonts w:hint="eastAsia" w:asciiTheme="minorEastAsia" w:hAnsiTheme="minorEastAsia" w:eastAsiaTheme="minorEastAsia"/>
          <w:sz w:val="24"/>
          <w:szCs w:val="24"/>
          <w:lang w:eastAsia="zh-CN"/>
        </w:rPr>
        <w:t>发票管理系统</w:t>
      </w:r>
      <w:r>
        <w:rPr>
          <w:rFonts w:hint="eastAsia" w:asciiTheme="minorEastAsia" w:hAnsiTheme="minorEastAsia" w:eastAsiaTheme="minorEastAsia"/>
          <w:sz w:val="24"/>
          <w:szCs w:val="24"/>
        </w:rPr>
        <w:t>进行发票开具，将开具结果推送至发票服务平台生成电子发票版式文件，最终将发票开具数据及版式文件推送回</w:t>
      </w:r>
      <w:r>
        <w:rPr>
          <w:rFonts w:hint="eastAsia" w:asciiTheme="minorEastAsia" w:hAnsiTheme="minorEastAsia" w:eastAsiaTheme="minorEastAsia"/>
          <w:sz w:val="24"/>
          <w:szCs w:val="24"/>
          <w:lang w:eastAsia="zh-CN"/>
        </w:rPr>
        <w:t>xx交通</w:t>
      </w:r>
      <w:r>
        <w:rPr>
          <w:rFonts w:hint="eastAsia" w:asciiTheme="minorEastAsia" w:hAnsiTheme="minorEastAsia" w:eastAsiaTheme="minorEastAsia"/>
          <w:sz w:val="24"/>
          <w:szCs w:val="24"/>
        </w:rPr>
        <w:t>业务系统。</w:t>
      </w:r>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省</w:t>
      </w:r>
      <w:r>
        <w:rPr>
          <w:rFonts w:hint="eastAsia" w:asciiTheme="minorEastAsia" w:hAnsiTheme="minorEastAsia" w:eastAsiaTheme="minorEastAsia"/>
          <w:sz w:val="24"/>
          <w:szCs w:val="24"/>
          <w:lang w:eastAsia="zh-CN"/>
        </w:rPr>
        <w:t>发票管理系统</w:t>
      </w:r>
      <w:r>
        <w:rPr>
          <w:rFonts w:hint="eastAsia" w:asciiTheme="minorEastAsia" w:hAnsiTheme="minorEastAsia" w:eastAsiaTheme="minorEastAsia"/>
          <w:sz w:val="24"/>
          <w:szCs w:val="24"/>
        </w:rPr>
        <w:t>提供纸质发票和电子发票开具服务，根据</w:t>
      </w:r>
      <w:r>
        <w:rPr>
          <w:rFonts w:hint="eastAsia" w:asciiTheme="minorEastAsia" w:hAnsiTheme="minorEastAsia" w:eastAsiaTheme="minorEastAsia"/>
          <w:sz w:val="24"/>
          <w:szCs w:val="24"/>
          <w:lang w:eastAsia="zh-CN"/>
        </w:rPr>
        <w:t>接口系统</w:t>
      </w:r>
      <w:r>
        <w:rPr>
          <w:rFonts w:hint="eastAsia" w:asciiTheme="minorEastAsia" w:hAnsiTheme="minorEastAsia" w:eastAsiaTheme="minorEastAsia"/>
          <w:sz w:val="24"/>
          <w:szCs w:val="24"/>
        </w:rPr>
        <w:t>的转发的交易数据生成发票数据并返回，并完成发票数据上传税局工作。</w:t>
      </w:r>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发票服务平台提供电子发票版式文件的生成、签章、存储等管理功能，同时提供数据管理与分析利用相关功能。</w:t>
      </w:r>
    </w:p>
    <w:p>
      <w:pPr>
        <w:pStyle w:val="4"/>
        <w:numPr>
          <w:ilvl w:val="2"/>
          <w:numId w:val="3"/>
        </w:numPr>
        <w:spacing w:before="0" w:after="0" w:line="360" w:lineRule="auto"/>
        <w:ind w:left="0" w:leftChars="0" w:firstLine="402" w:firstLineChars="0"/>
      </w:pPr>
      <w:bookmarkStart w:id="48" w:name="_Toc21493"/>
      <w:r>
        <w:rPr>
          <w:rFonts w:hint="eastAsia"/>
        </w:rPr>
        <w:t>技术架构</w:t>
      </w:r>
      <w:bookmarkEnd w:id="48"/>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电子发票系统采用的采用云技术架构由表现层、应用系统层、应用支撑层、数据资源层、基础设施层五个层次以及标准规范体系、信息安全体系、运维规范体系三大支撑体系构成。总体技术架构体系如下图：</w:t>
      </w:r>
    </w:p>
    <w:p>
      <w:pPr>
        <w:spacing w:line="360" w:lineRule="auto"/>
        <w:rPr>
          <w:rFonts w:hint="eastAsia" w:asciiTheme="minorEastAsia" w:hAnsiTheme="minorEastAsia" w:eastAsiaTheme="minorEastAsia"/>
          <w:szCs w:val="21"/>
          <w:lang w:eastAsia="zh-CN"/>
        </w:rPr>
      </w:pPr>
      <w:r>
        <w:rPr>
          <w:rFonts w:hint="eastAsia" w:asciiTheme="minorEastAsia" w:hAnsiTheme="minorEastAsia" w:eastAsiaTheme="minorEastAsia"/>
          <w:szCs w:val="21"/>
          <w:lang w:eastAsia="zh-CN"/>
        </w:rPr>
        <w:drawing>
          <wp:inline distT="0" distB="0" distL="114300" distR="114300">
            <wp:extent cx="5276850" cy="3158490"/>
            <wp:effectExtent l="0" t="0" r="11430" b="11430"/>
            <wp:docPr id="12" name="图片 12" descr="齐鲁系统架构图-技术架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齐鲁系统架构图-技术架构"/>
                    <pic:cNvPicPr>
                      <a:picLocks noChangeAspect="1"/>
                    </pic:cNvPicPr>
                  </pic:nvPicPr>
                  <pic:blipFill>
                    <a:blip r:embed="rId10"/>
                    <a:stretch>
                      <a:fillRect/>
                    </a:stretch>
                  </pic:blipFill>
                  <pic:spPr>
                    <a:xfrm>
                      <a:off x="0" y="0"/>
                      <a:ext cx="5276850" cy="3158490"/>
                    </a:xfrm>
                    <a:prstGeom prst="rect">
                      <a:avLst/>
                    </a:prstGeom>
                  </pic:spPr>
                </pic:pic>
              </a:graphicData>
            </a:graphic>
          </wp:inline>
        </w:drawing>
      </w:r>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展现层主要负责接入各种渠道包括</w:t>
      </w:r>
      <w:r>
        <w:rPr>
          <w:rFonts w:asciiTheme="minorEastAsia" w:hAnsiTheme="minorEastAsia" w:eastAsiaTheme="minorEastAsia"/>
          <w:sz w:val="24"/>
          <w:szCs w:val="24"/>
        </w:rPr>
        <w:t>PC</w:t>
      </w:r>
      <w:r>
        <w:rPr>
          <w:rFonts w:hint="eastAsia" w:asciiTheme="minorEastAsia" w:hAnsiTheme="minorEastAsia" w:eastAsiaTheme="minorEastAsia"/>
          <w:sz w:val="24"/>
          <w:szCs w:val="24"/>
        </w:rPr>
        <w:t>客户端、移动设备、智能终端、机具等的接入，并实现统一的接入处理。保证各渠道开具发票的一致性。</w:t>
      </w:r>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应用系统层基于应用支撑层提供的框架、平台和工具，访问数据层的数据库，构建面向各类用户的业务应用，针对电子发票方案主要分为三部分应用，电子发票签章服务平台、</w:t>
      </w:r>
      <w:r>
        <w:rPr>
          <w:rFonts w:hint="eastAsia" w:asciiTheme="minorEastAsia" w:hAnsiTheme="minorEastAsia" w:eastAsiaTheme="minorEastAsia"/>
          <w:sz w:val="24"/>
          <w:szCs w:val="24"/>
          <w:lang w:eastAsia="zh-CN"/>
        </w:rPr>
        <w:t>发票管理系统</w:t>
      </w:r>
      <w:r>
        <w:rPr>
          <w:rFonts w:hint="eastAsia" w:asciiTheme="minorEastAsia" w:hAnsiTheme="minorEastAsia" w:eastAsiaTheme="minorEastAsia"/>
          <w:sz w:val="24"/>
          <w:szCs w:val="24"/>
        </w:rPr>
        <w:t>应用和</w:t>
      </w:r>
      <w:r>
        <w:rPr>
          <w:rFonts w:hint="eastAsia" w:asciiTheme="minorEastAsia" w:hAnsiTheme="minorEastAsia" w:eastAsiaTheme="minorEastAsia"/>
          <w:sz w:val="24"/>
          <w:szCs w:val="24"/>
          <w:lang w:eastAsia="zh-CN"/>
        </w:rPr>
        <w:t>接口系统</w:t>
      </w:r>
      <w:r>
        <w:rPr>
          <w:rFonts w:hint="eastAsia" w:asciiTheme="minorEastAsia" w:hAnsiTheme="minorEastAsia" w:eastAsiaTheme="minorEastAsia"/>
          <w:sz w:val="24"/>
          <w:szCs w:val="24"/>
        </w:rPr>
        <w:t>应用。</w:t>
      </w:r>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应用支撑层是一个应用支撑基础软件平台层，为业务应用提供技术构件、业务服务组件及技术基础框架，并提供组件的运行、开发和管理环境，最大限度提高开发效率，降低工程实施、维护的成本和风险。应用支撑层采用了行业应用的先进体系结构，以建立高性能、高可靠性、高扩展性的应用系统，满足客户快速发展的业务需求。本系统主要实现统一日志审计、统一渠道管理、统一用户管理、统一签名认证服务、统一权限管理、统一身份认证、统一消息服务统一电子签章管理等。</w:t>
      </w:r>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数据资源层是系统信息资源中心，涵盖所有的结构化和非结构化数据，为各类系统应用提供数据服务。数据层主要包括业务生产数据、渠道数据、主数据、元数据、系统管理数据以及历史数据等，以及对上述数据的分布、质量、生命周期管理相关内容。</w:t>
      </w:r>
    </w:p>
    <w:p>
      <w:pPr>
        <w:pStyle w:val="56"/>
        <w:spacing w:line="360" w:lineRule="auto"/>
        <w:ind w:firstLine="420"/>
        <w:rPr>
          <w:rFonts w:asciiTheme="minorEastAsia" w:hAnsiTheme="minorEastAsia" w:eastAsiaTheme="minorEastAsia"/>
          <w:sz w:val="24"/>
          <w:szCs w:val="24"/>
        </w:rPr>
      </w:pPr>
      <w:r>
        <w:rPr>
          <w:rFonts w:asciiTheme="minorEastAsia" w:hAnsiTheme="minorEastAsia" w:eastAsiaTheme="minorEastAsia"/>
          <w:sz w:val="24"/>
          <w:szCs w:val="24"/>
        </w:rPr>
        <w:t>IT</w:t>
      </w:r>
      <w:r>
        <w:rPr>
          <w:rFonts w:hint="eastAsia" w:asciiTheme="minorEastAsia" w:hAnsiTheme="minorEastAsia" w:eastAsiaTheme="minorEastAsia"/>
          <w:sz w:val="24"/>
          <w:szCs w:val="24"/>
        </w:rPr>
        <w:t>基础设施层提供系统运行的基础环境，包括系统软件、网络硬件设备等。</w:t>
      </w:r>
    </w:p>
    <w:p>
      <w:pPr>
        <w:spacing w:line="360" w:lineRule="auto"/>
        <w:rPr>
          <w:rFonts w:asciiTheme="minorEastAsia" w:hAnsiTheme="minorEastAsia"/>
          <w:sz w:val="24"/>
          <w:szCs w:val="24"/>
        </w:rPr>
      </w:pPr>
      <w:r>
        <w:rPr>
          <w:rFonts w:hint="eastAsia" w:asciiTheme="minorEastAsia" w:hAnsiTheme="minorEastAsia"/>
          <w:sz w:val="24"/>
          <w:szCs w:val="24"/>
        </w:rPr>
        <w:t>支撑体系包括标准体系、安全体系、运维体系三部分内容。</w:t>
      </w:r>
    </w:p>
    <w:p>
      <w:pPr>
        <w:pStyle w:val="4"/>
        <w:numPr>
          <w:ilvl w:val="2"/>
          <w:numId w:val="3"/>
        </w:numPr>
        <w:spacing w:before="0" w:after="0" w:line="360" w:lineRule="auto"/>
        <w:ind w:left="0" w:leftChars="0" w:firstLine="402" w:firstLineChars="0"/>
      </w:pPr>
      <w:bookmarkStart w:id="49" w:name="_Toc4205"/>
      <w:r>
        <w:rPr>
          <w:rFonts w:hint="eastAsia"/>
        </w:rPr>
        <w:t>软件架构</w:t>
      </w:r>
      <w:bookmarkEnd w:id="49"/>
    </w:p>
    <w:p>
      <w:pPr>
        <w:pStyle w:val="5"/>
        <w:numPr>
          <w:ilvl w:val="3"/>
          <w:numId w:val="0"/>
        </w:numPr>
        <w:spacing w:before="0" w:after="0" w:line="360" w:lineRule="auto"/>
        <w:ind w:left="402" w:leftChars="0" w:firstLine="420" w:firstLineChars="0"/>
      </w:pPr>
      <w:bookmarkStart w:id="50" w:name="_Toc761"/>
      <w:r>
        <w:rPr>
          <w:rFonts w:hint="eastAsia"/>
        </w:rPr>
        <w:t>4.1 整体功能框架</w:t>
      </w:r>
      <w:bookmarkEnd w:id="50"/>
    </w:p>
    <w:p>
      <w:pPr>
        <w:spacing w:line="360" w:lineRule="auto"/>
        <w:rPr>
          <w:rFonts w:hint="eastAsia" w:asciiTheme="minorEastAsia" w:hAnsiTheme="minorEastAsia" w:eastAsiaTheme="minorEastAsia"/>
          <w:szCs w:val="21"/>
          <w:lang w:eastAsia="zh-CN"/>
        </w:rPr>
      </w:pPr>
      <w:r>
        <w:rPr>
          <w:rFonts w:hint="eastAsia" w:asciiTheme="minorEastAsia" w:hAnsiTheme="minorEastAsia" w:eastAsiaTheme="minorEastAsia"/>
          <w:szCs w:val="21"/>
          <w:lang w:eastAsia="zh-CN"/>
        </w:rPr>
        <w:drawing>
          <wp:inline distT="0" distB="0" distL="114300" distR="114300">
            <wp:extent cx="5271770" cy="4410075"/>
            <wp:effectExtent l="0" t="0" r="1270" b="9525"/>
            <wp:docPr id="8" name="图片 8" descr="齐鲁系统架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齐鲁系统架构图"/>
                    <pic:cNvPicPr>
                      <a:picLocks noChangeAspect="1"/>
                    </pic:cNvPicPr>
                  </pic:nvPicPr>
                  <pic:blipFill>
                    <a:blip r:embed="rId11"/>
                    <a:stretch>
                      <a:fillRect/>
                    </a:stretch>
                  </pic:blipFill>
                  <pic:spPr>
                    <a:xfrm>
                      <a:off x="0" y="0"/>
                      <a:ext cx="5271770" cy="4410075"/>
                    </a:xfrm>
                    <a:prstGeom prst="rect">
                      <a:avLst/>
                    </a:prstGeom>
                  </pic:spPr>
                </pic:pic>
              </a:graphicData>
            </a:graphic>
          </wp:inline>
        </w:drawing>
      </w:r>
    </w:p>
    <w:p>
      <w:pPr>
        <w:pStyle w:val="5"/>
        <w:numPr>
          <w:ilvl w:val="3"/>
          <w:numId w:val="0"/>
        </w:numPr>
        <w:spacing w:before="0" w:after="0" w:line="360" w:lineRule="auto"/>
        <w:ind w:left="402" w:leftChars="0"/>
      </w:pPr>
      <w:bookmarkStart w:id="51" w:name="_Toc13607"/>
      <w:r>
        <w:rPr>
          <w:rFonts w:hint="eastAsia"/>
        </w:rPr>
        <w:t xml:space="preserve">4.2 </w:t>
      </w:r>
      <w:r>
        <w:rPr>
          <w:rFonts w:hint="eastAsia"/>
          <w:lang w:val="en-US" w:eastAsia="zh-CN"/>
        </w:rPr>
        <w:t>接口</w:t>
      </w:r>
      <w:r>
        <w:rPr>
          <w:rFonts w:hint="eastAsia"/>
        </w:rPr>
        <w:t>系统</w:t>
      </w:r>
      <w:bookmarkEnd w:id="51"/>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发票</w:t>
      </w:r>
      <w:r>
        <w:rPr>
          <w:rFonts w:hint="eastAsia" w:asciiTheme="minorEastAsia" w:hAnsiTheme="minorEastAsia" w:eastAsiaTheme="minorEastAsia"/>
          <w:sz w:val="24"/>
          <w:szCs w:val="24"/>
          <w:lang w:eastAsia="zh-CN"/>
        </w:rPr>
        <w:t>接口系统</w:t>
      </w:r>
      <w:r>
        <w:rPr>
          <w:rFonts w:hint="eastAsia" w:asciiTheme="minorEastAsia" w:hAnsiTheme="minorEastAsia" w:eastAsiaTheme="minorEastAsia"/>
          <w:sz w:val="24"/>
          <w:szCs w:val="24"/>
        </w:rPr>
        <w:t>是整个发票系统核心，发票</w:t>
      </w:r>
      <w:r>
        <w:rPr>
          <w:rFonts w:hint="eastAsia" w:asciiTheme="minorEastAsia" w:hAnsiTheme="minorEastAsia" w:eastAsiaTheme="minorEastAsia"/>
          <w:sz w:val="24"/>
          <w:szCs w:val="24"/>
          <w:lang w:eastAsia="zh-CN"/>
        </w:rPr>
        <w:t>接口系统</w:t>
      </w:r>
      <w:r>
        <w:rPr>
          <w:rFonts w:hint="eastAsia" w:asciiTheme="minorEastAsia" w:hAnsiTheme="minorEastAsia" w:eastAsiaTheme="minorEastAsia"/>
          <w:sz w:val="24"/>
          <w:szCs w:val="24"/>
        </w:rPr>
        <w:t>接收</w:t>
      </w:r>
      <w:r>
        <w:rPr>
          <w:rFonts w:hint="eastAsia" w:asciiTheme="minorEastAsia" w:hAnsiTheme="minorEastAsia" w:eastAsiaTheme="minorEastAsia"/>
          <w:sz w:val="24"/>
          <w:szCs w:val="24"/>
          <w:lang w:eastAsia="zh-CN"/>
        </w:rPr>
        <w:t>xx交通</w:t>
      </w:r>
      <w:r>
        <w:rPr>
          <w:rFonts w:hint="eastAsia" w:asciiTheme="minorEastAsia" w:hAnsiTheme="minorEastAsia" w:eastAsiaTheme="minorEastAsia"/>
          <w:sz w:val="24"/>
          <w:szCs w:val="24"/>
        </w:rPr>
        <w:t>业务系统的发票开票请求后，向下调用</w:t>
      </w:r>
      <w:r>
        <w:rPr>
          <w:rFonts w:hint="eastAsia" w:asciiTheme="minorEastAsia" w:hAnsiTheme="minorEastAsia" w:eastAsiaTheme="minorEastAsia"/>
          <w:sz w:val="24"/>
          <w:szCs w:val="24"/>
          <w:lang w:val="en-US" w:eastAsia="zh-CN"/>
        </w:rPr>
        <w:t>对应</w:t>
      </w:r>
      <w:r>
        <w:rPr>
          <w:rFonts w:hint="eastAsia" w:asciiTheme="minorEastAsia" w:hAnsiTheme="minorEastAsia" w:eastAsiaTheme="minorEastAsia"/>
          <w:sz w:val="24"/>
          <w:szCs w:val="24"/>
        </w:rPr>
        <w:t>公司的</w:t>
      </w:r>
      <w:r>
        <w:rPr>
          <w:rFonts w:hint="eastAsia" w:asciiTheme="minorEastAsia" w:hAnsiTheme="minorEastAsia" w:eastAsiaTheme="minorEastAsia"/>
          <w:sz w:val="24"/>
          <w:szCs w:val="24"/>
          <w:lang w:eastAsia="zh-CN"/>
        </w:rPr>
        <w:t>发票管理系统</w:t>
      </w:r>
      <w:r>
        <w:rPr>
          <w:rFonts w:hint="eastAsia" w:asciiTheme="minorEastAsia" w:hAnsiTheme="minorEastAsia" w:eastAsiaTheme="minorEastAsia"/>
          <w:sz w:val="24"/>
          <w:szCs w:val="24"/>
        </w:rPr>
        <w:t>产生</w:t>
      </w:r>
      <w:r>
        <w:rPr>
          <w:rFonts w:hint="eastAsia" w:asciiTheme="minorEastAsia" w:hAnsiTheme="minorEastAsia" w:eastAsiaTheme="minorEastAsia"/>
          <w:sz w:val="24"/>
          <w:szCs w:val="24"/>
          <w:lang w:val="en-US" w:eastAsia="zh-CN"/>
        </w:rPr>
        <w:t>电子</w:t>
      </w:r>
      <w:r>
        <w:rPr>
          <w:rFonts w:hint="eastAsia" w:asciiTheme="minorEastAsia" w:hAnsiTheme="minorEastAsia" w:eastAsiaTheme="minorEastAsia"/>
          <w:sz w:val="24"/>
          <w:szCs w:val="24"/>
        </w:rPr>
        <w:t>发票信息，根据发票信息调用电子发票签章服务平台，产生电子发票版式文件，最后将发票开具结果返回给</w:t>
      </w:r>
      <w:r>
        <w:rPr>
          <w:rFonts w:hint="eastAsia" w:asciiTheme="minorEastAsia" w:hAnsiTheme="minorEastAsia" w:eastAsiaTheme="minorEastAsia"/>
          <w:sz w:val="24"/>
          <w:szCs w:val="24"/>
          <w:lang w:eastAsia="zh-CN"/>
        </w:rPr>
        <w:t>xx交通</w:t>
      </w:r>
      <w:r>
        <w:rPr>
          <w:rFonts w:hint="eastAsia" w:asciiTheme="minorEastAsia" w:hAnsiTheme="minorEastAsia" w:eastAsiaTheme="minorEastAsia"/>
          <w:sz w:val="24"/>
          <w:szCs w:val="24"/>
        </w:rPr>
        <w:t xml:space="preserve">业务系统。 </w:t>
      </w:r>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接口系统</w:t>
      </w:r>
      <w:r>
        <w:rPr>
          <w:rFonts w:hint="eastAsia" w:asciiTheme="minorEastAsia" w:hAnsiTheme="minorEastAsia" w:eastAsiaTheme="minorEastAsia"/>
          <w:sz w:val="24"/>
          <w:szCs w:val="24"/>
        </w:rPr>
        <w:t>向业务系统提供以下接口功能：</w:t>
      </w:r>
    </w:p>
    <w:p>
      <w:pPr>
        <w:pStyle w:val="56"/>
        <w:numPr>
          <w:ilvl w:val="0"/>
          <w:numId w:val="5"/>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发票</w:t>
      </w:r>
      <w:r>
        <w:rPr>
          <w:rFonts w:asciiTheme="minorEastAsia" w:hAnsiTheme="minorEastAsia" w:eastAsiaTheme="minorEastAsia"/>
          <w:sz w:val="24"/>
          <w:szCs w:val="24"/>
        </w:rPr>
        <w:t>开具接口</w:t>
      </w:r>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接收纸质/电</w:t>
      </w:r>
      <w:r>
        <w:rPr>
          <w:rFonts w:asciiTheme="minorEastAsia" w:hAnsiTheme="minorEastAsia" w:eastAsiaTheme="minorEastAsia"/>
          <w:sz w:val="24"/>
          <w:szCs w:val="24"/>
        </w:rPr>
        <w:t>子发票的单张开</w:t>
      </w:r>
      <w:r>
        <w:rPr>
          <w:rFonts w:hint="eastAsia" w:asciiTheme="minorEastAsia" w:hAnsiTheme="minorEastAsia" w:eastAsiaTheme="minorEastAsia"/>
          <w:sz w:val="24"/>
          <w:szCs w:val="24"/>
        </w:rPr>
        <w:t>具</w:t>
      </w:r>
      <w:r>
        <w:rPr>
          <w:rFonts w:asciiTheme="minorEastAsia" w:hAnsiTheme="minorEastAsia" w:eastAsiaTheme="minorEastAsia"/>
          <w:sz w:val="24"/>
          <w:szCs w:val="24"/>
        </w:rPr>
        <w:t>、批量开具</w:t>
      </w:r>
      <w:r>
        <w:rPr>
          <w:rFonts w:hint="eastAsia" w:asciiTheme="minorEastAsia" w:hAnsiTheme="minorEastAsia" w:eastAsiaTheme="minorEastAsia"/>
          <w:sz w:val="24"/>
          <w:szCs w:val="24"/>
        </w:rPr>
        <w:t>的</w:t>
      </w:r>
      <w:r>
        <w:rPr>
          <w:rFonts w:asciiTheme="minorEastAsia" w:hAnsiTheme="minorEastAsia" w:eastAsiaTheme="minorEastAsia"/>
          <w:sz w:val="24"/>
          <w:szCs w:val="24"/>
        </w:rPr>
        <w:t>请求，完成</w:t>
      </w:r>
      <w:r>
        <w:rPr>
          <w:rFonts w:hint="eastAsia" w:asciiTheme="minorEastAsia" w:hAnsiTheme="minorEastAsia" w:eastAsiaTheme="minorEastAsia"/>
          <w:sz w:val="24"/>
          <w:szCs w:val="24"/>
        </w:rPr>
        <w:t>相应</w:t>
      </w:r>
      <w:r>
        <w:rPr>
          <w:rFonts w:asciiTheme="minorEastAsia" w:hAnsiTheme="minorEastAsia" w:eastAsiaTheme="minorEastAsia"/>
          <w:sz w:val="24"/>
          <w:szCs w:val="24"/>
        </w:rPr>
        <w:t>发票开具及</w:t>
      </w:r>
      <w:r>
        <w:rPr>
          <w:rFonts w:hint="eastAsia" w:asciiTheme="minorEastAsia" w:hAnsiTheme="minorEastAsia" w:eastAsiaTheme="minorEastAsia"/>
          <w:sz w:val="24"/>
          <w:szCs w:val="24"/>
        </w:rPr>
        <w:t>电子发票</w:t>
      </w:r>
      <w:r>
        <w:rPr>
          <w:rFonts w:asciiTheme="minorEastAsia" w:hAnsiTheme="minorEastAsia" w:eastAsiaTheme="minorEastAsia"/>
          <w:sz w:val="24"/>
          <w:szCs w:val="24"/>
        </w:rPr>
        <w:t>版式文件生成，及时反馈</w:t>
      </w:r>
      <w:r>
        <w:rPr>
          <w:rFonts w:hint="eastAsia" w:asciiTheme="minorEastAsia" w:hAnsiTheme="minorEastAsia" w:eastAsiaTheme="minorEastAsia"/>
          <w:sz w:val="24"/>
          <w:szCs w:val="24"/>
        </w:rPr>
        <w:t>版式</w:t>
      </w:r>
      <w:r>
        <w:rPr>
          <w:rFonts w:asciiTheme="minorEastAsia" w:hAnsiTheme="minorEastAsia" w:eastAsiaTheme="minorEastAsia"/>
          <w:sz w:val="24"/>
          <w:szCs w:val="24"/>
        </w:rPr>
        <w:t>文件</w:t>
      </w:r>
      <w:r>
        <w:rPr>
          <w:rFonts w:hint="eastAsia" w:asciiTheme="minorEastAsia" w:hAnsiTheme="minorEastAsia" w:eastAsiaTheme="minorEastAsia"/>
          <w:sz w:val="24"/>
          <w:szCs w:val="24"/>
        </w:rPr>
        <w:t>URL及</w:t>
      </w:r>
      <w:r>
        <w:rPr>
          <w:rFonts w:asciiTheme="minorEastAsia" w:hAnsiTheme="minorEastAsia" w:eastAsiaTheme="minorEastAsia"/>
          <w:sz w:val="24"/>
          <w:szCs w:val="24"/>
        </w:rPr>
        <w:t>校验码</w:t>
      </w:r>
      <w:r>
        <w:rPr>
          <w:rFonts w:hint="eastAsia" w:asciiTheme="minorEastAsia" w:hAnsiTheme="minorEastAsia" w:eastAsiaTheme="minorEastAsia"/>
          <w:sz w:val="24"/>
          <w:szCs w:val="24"/>
        </w:rPr>
        <w:t>。</w:t>
      </w:r>
    </w:p>
    <w:p>
      <w:pPr>
        <w:pStyle w:val="56"/>
        <w:numPr>
          <w:ilvl w:val="0"/>
          <w:numId w:val="5"/>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发票红</w:t>
      </w:r>
      <w:r>
        <w:rPr>
          <w:rFonts w:asciiTheme="minorEastAsia" w:hAnsiTheme="minorEastAsia" w:eastAsiaTheme="minorEastAsia"/>
          <w:sz w:val="24"/>
          <w:szCs w:val="24"/>
        </w:rPr>
        <w:t>冲接口</w:t>
      </w:r>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接收电</w:t>
      </w:r>
      <w:r>
        <w:rPr>
          <w:rFonts w:asciiTheme="minorEastAsia" w:hAnsiTheme="minorEastAsia" w:eastAsiaTheme="minorEastAsia"/>
          <w:sz w:val="24"/>
          <w:szCs w:val="24"/>
        </w:rPr>
        <w:t>子</w:t>
      </w:r>
      <w:r>
        <w:rPr>
          <w:rFonts w:hint="eastAsia" w:asciiTheme="minorEastAsia" w:hAnsiTheme="minorEastAsia" w:eastAsiaTheme="minorEastAsia"/>
          <w:sz w:val="24"/>
          <w:szCs w:val="24"/>
        </w:rPr>
        <w:t>发</w:t>
      </w:r>
      <w:r>
        <w:rPr>
          <w:rFonts w:asciiTheme="minorEastAsia" w:hAnsiTheme="minorEastAsia" w:eastAsiaTheme="minorEastAsia"/>
          <w:sz w:val="24"/>
          <w:szCs w:val="24"/>
        </w:rPr>
        <w:t>票的红冲</w:t>
      </w:r>
      <w:r>
        <w:rPr>
          <w:rFonts w:hint="eastAsia" w:asciiTheme="minorEastAsia" w:hAnsiTheme="minorEastAsia" w:eastAsiaTheme="minorEastAsia"/>
          <w:sz w:val="24"/>
          <w:szCs w:val="24"/>
        </w:rPr>
        <w:t>请求</w:t>
      </w:r>
      <w:r>
        <w:rPr>
          <w:rFonts w:asciiTheme="minorEastAsia" w:hAnsiTheme="minorEastAsia" w:eastAsiaTheme="minorEastAsia"/>
          <w:sz w:val="24"/>
          <w:szCs w:val="24"/>
        </w:rPr>
        <w:t>数据，完成</w:t>
      </w:r>
      <w:r>
        <w:rPr>
          <w:rFonts w:hint="eastAsia" w:asciiTheme="minorEastAsia" w:hAnsiTheme="minorEastAsia" w:eastAsiaTheme="minorEastAsia"/>
          <w:sz w:val="24"/>
          <w:szCs w:val="24"/>
        </w:rPr>
        <w:t>电</w:t>
      </w:r>
      <w:r>
        <w:rPr>
          <w:rFonts w:asciiTheme="minorEastAsia" w:hAnsiTheme="minorEastAsia" w:eastAsiaTheme="minorEastAsia"/>
          <w:sz w:val="24"/>
          <w:szCs w:val="24"/>
        </w:rPr>
        <w:t>子发票红冲业务。</w:t>
      </w:r>
      <w:r>
        <w:rPr>
          <w:rFonts w:hint="eastAsia" w:asciiTheme="minorEastAsia" w:hAnsiTheme="minorEastAsia" w:eastAsiaTheme="minorEastAsia"/>
          <w:sz w:val="24"/>
          <w:szCs w:val="24"/>
        </w:rPr>
        <w:t>支持</w:t>
      </w:r>
      <w:r>
        <w:rPr>
          <w:rFonts w:asciiTheme="minorEastAsia" w:hAnsiTheme="minorEastAsia" w:eastAsiaTheme="minorEastAsia"/>
          <w:sz w:val="24"/>
          <w:szCs w:val="24"/>
        </w:rPr>
        <w:t>批量红冲</w:t>
      </w:r>
      <w:r>
        <w:rPr>
          <w:rFonts w:hint="eastAsia" w:asciiTheme="minorEastAsia" w:hAnsiTheme="minorEastAsia" w:eastAsiaTheme="minorEastAsia"/>
          <w:sz w:val="24"/>
          <w:szCs w:val="24"/>
        </w:rPr>
        <w:t>。</w:t>
      </w:r>
    </w:p>
    <w:p>
      <w:pPr>
        <w:pStyle w:val="56"/>
        <w:numPr>
          <w:ilvl w:val="0"/>
          <w:numId w:val="5"/>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发票信息推送</w:t>
      </w:r>
      <w:r>
        <w:rPr>
          <w:rFonts w:asciiTheme="minorEastAsia" w:hAnsiTheme="minorEastAsia" w:eastAsiaTheme="minorEastAsia"/>
          <w:sz w:val="24"/>
          <w:szCs w:val="24"/>
        </w:rPr>
        <w:t>接口</w:t>
      </w:r>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电子发票版式文生成后，</w:t>
      </w:r>
      <w:r>
        <w:rPr>
          <w:rFonts w:hint="eastAsia" w:asciiTheme="minorEastAsia" w:hAnsiTheme="minorEastAsia" w:eastAsiaTheme="minorEastAsia"/>
          <w:sz w:val="24"/>
          <w:szCs w:val="24"/>
          <w:lang w:eastAsia="zh-CN"/>
        </w:rPr>
        <w:t>接口系统</w:t>
      </w:r>
      <w:r>
        <w:rPr>
          <w:rFonts w:hint="eastAsia" w:asciiTheme="minorEastAsia" w:hAnsiTheme="minorEastAsia" w:eastAsiaTheme="minorEastAsia"/>
          <w:sz w:val="24"/>
          <w:szCs w:val="24"/>
        </w:rPr>
        <w:t>将电子发票推送回业务系统中</w:t>
      </w:r>
      <w:r>
        <w:rPr>
          <w:rFonts w:asciiTheme="minorEastAsia" w:hAnsiTheme="minorEastAsia" w:eastAsiaTheme="minorEastAsia"/>
          <w:sz w:val="24"/>
          <w:szCs w:val="24"/>
        </w:rPr>
        <w:t>。</w:t>
      </w:r>
    </w:p>
    <w:p>
      <w:pPr>
        <w:pStyle w:val="56"/>
        <w:numPr>
          <w:ilvl w:val="0"/>
          <w:numId w:val="5"/>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发票查询</w:t>
      </w:r>
      <w:r>
        <w:rPr>
          <w:rFonts w:asciiTheme="minorEastAsia" w:hAnsiTheme="minorEastAsia" w:eastAsiaTheme="minorEastAsia"/>
          <w:sz w:val="24"/>
          <w:szCs w:val="24"/>
        </w:rPr>
        <w:t>接口</w:t>
      </w:r>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向业务系统提供发票开具结果查询功能，可依据唯一流水号查询获取发票开具结果信息</w:t>
      </w:r>
      <w:r>
        <w:rPr>
          <w:rFonts w:asciiTheme="minorEastAsia" w:hAnsiTheme="minorEastAsia" w:eastAsiaTheme="minorEastAsia"/>
          <w:sz w:val="24"/>
          <w:szCs w:val="24"/>
        </w:rPr>
        <w:t>。</w:t>
      </w:r>
    </w:p>
    <w:p>
      <w:pPr>
        <w:pStyle w:val="56"/>
        <w:numPr>
          <w:ilvl w:val="0"/>
          <w:numId w:val="5"/>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发票对账</w:t>
      </w:r>
      <w:r>
        <w:rPr>
          <w:rFonts w:asciiTheme="minorEastAsia" w:hAnsiTheme="minorEastAsia" w:eastAsiaTheme="minorEastAsia"/>
          <w:sz w:val="24"/>
          <w:szCs w:val="24"/>
        </w:rPr>
        <w:t>接口</w:t>
      </w:r>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向业务系统对</w:t>
      </w:r>
      <w:r>
        <w:rPr>
          <w:rFonts w:asciiTheme="minorEastAsia" w:hAnsiTheme="minorEastAsia" w:eastAsiaTheme="minorEastAsia"/>
          <w:sz w:val="24"/>
          <w:szCs w:val="24"/>
        </w:rPr>
        <w:t>发票开票</w:t>
      </w:r>
      <w:r>
        <w:rPr>
          <w:rFonts w:hint="eastAsia" w:asciiTheme="minorEastAsia" w:hAnsiTheme="minorEastAsia" w:eastAsiaTheme="minorEastAsia"/>
          <w:sz w:val="24"/>
          <w:szCs w:val="24"/>
        </w:rPr>
        <w:t>情况的</w:t>
      </w:r>
      <w:r>
        <w:rPr>
          <w:rFonts w:asciiTheme="minorEastAsia" w:hAnsiTheme="minorEastAsia" w:eastAsiaTheme="minorEastAsia"/>
          <w:sz w:val="24"/>
          <w:szCs w:val="24"/>
        </w:rPr>
        <w:t>按时</w:t>
      </w:r>
      <w:r>
        <w:rPr>
          <w:rFonts w:hint="eastAsia" w:asciiTheme="minorEastAsia" w:hAnsiTheme="minorEastAsia" w:eastAsiaTheme="minorEastAsia"/>
          <w:sz w:val="24"/>
          <w:szCs w:val="24"/>
        </w:rPr>
        <w:t>间</w:t>
      </w:r>
      <w:r>
        <w:rPr>
          <w:rFonts w:asciiTheme="minorEastAsia" w:hAnsiTheme="minorEastAsia" w:eastAsiaTheme="minorEastAsia"/>
          <w:sz w:val="24"/>
          <w:szCs w:val="24"/>
        </w:rPr>
        <w:t>段</w:t>
      </w:r>
      <w:r>
        <w:rPr>
          <w:rFonts w:hint="eastAsia" w:asciiTheme="minorEastAsia" w:hAnsiTheme="minorEastAsia" w:eastAsiaTheme="minorEastAsia"/>
          <w:sz w:val="24"/>
          <w:szCs w:val="24"/>
        </w:rPr>
        <w:t>和</w:t>
      </w:r>
      <w:r>
        <w:rPr>
          <w:rFonts w:asciiTheme="minorEastAsia" w:hAnsiTheme="minorEastAsia" w:eastAsiaTheme="minorEastAsia"/>
          <w:sz w:val="24"/>
          <w:szCs w:val="24"/>
        </w:rPr>
        <w:t>税号查询功能。</w:t>
      </w:r>
      <w:r>
        <w:rPr>
          <w:rFonts w:hint="eastAsia" w:asciiTheme="minorEastAsia" w:hAnsiTheme="minorEastAsia" w:eastAsiaTheme="minorEastAsia"/>
          <w:sz w:val="24"/>
          <w:szCs w:val="24"/>
        </w:rPr>
        <w:t>根据</w:t>
      </w:r>
      <w:r>
        <w:rPr>
          <w:rFonts w:asciiTheme="minorEastAsia" w:hAnsiTheme="minorEastAsia" w:eastAsiaTheme="minorEastAsia"/>
          <w:sz w:val="24"/>
          <w:szCs w:val="24"/>
        </w:rPr>
        <w:t>请</w:t>
      </w:r>
      <w:r>
        <w:rPr>
          <w:rFonts w:hint="eastAsia" w:asciiTheme="minorEastAsia" w:hAnsiTheme="minorEastAsia" w:eastAsiaTheme="minorEastAsia"/>
          <w:sz w:val="24"/>
          <w:szCs w:val="24"/>
        </w:rPr>
        <w:t>求参数</w:t>
      </w:r>
      <w:r>
        <w:rPr>
          <w:rFonts w:asciiTheme="minorEastAsia" w:hAnsiTheme="minorEastAsia" w:eastAsiaTheme="minorEastAsia"/>
          <w:sz w:val="24"/>
          <w:szCs w:val="24"/>
        </w:rPr>
        <w:t>中的</w:t>
      </w:r>
      <w:r>
        <w:rPr>
          <w:rFonts w:hint="eastAsia" w:asciiTheme="minorEastAsia" w:hAnsiTheme="minorEastAsia" w:eastAsiaTheme="minorEastAsia"/>
          <w:sz w:val="24"/>
          <w:szCs w:val="24"/>
        </w:rPr>
        <w:t>开</w:t>
      </w:r>
      <w:r>
        <w:rPr>
          <w:rFonts w:asciiTheme="minorEastAsia" w:hAnsiTheme="minorEastAsia" w:eastAsiaTheme="minorEastAsia"/>
          <w:sz w:val="24"/>
          <w:szCs w:val="24"/>
        </w:rPr>
        <w:t>票时</w:t>
      </w:r>
      <w:r>
        <w:rPr>
          <w:rFonts w:hint="eastAsia" w:asciiTheme="minorEastAsia" w:hAnsiTheme="minorEastAsia" w:eastAsiaTheme="minorEastAsia"/>
          <w:sz w:val="24"/>
          <w:szCs w:val="24"/>
        </w:rPr>
        <w:t>间</w:t>
      </w:r>
      <w:r>
        <w:rPr>
          <w:rFonts w:asciiTheme="minorEastAsia" w:hAnsiTheme="minorEastAsia" w:eastAsiaTheme="minorEastAsia"/>
          <w:sz w:val="24"/>
          <w:szCs w:val="24"/>
        </w:rPr>
        <w:t>段（</w:t>
      </w:r>
      <w:r>
        <w:rPr>
          <w:rFonts w:hint="eastAsia" w:asciiTheme="minorEastAsia" w:hAnsiTheme="minorEastAsia" w:eastAsiaTheme="minorEastAsia"/>
          <w:sz w:val="24"/>
          <w:szCs w:val="24"/>
        </w:rPr>
        <w:t>必选</w:t>
      </w:r>
      <w:r>
        <w:rPr>
          <w:rFonts w:asciiTheme="minorEastAsia" w:hAnsiTheme="minorEastAsia" w:eastAsiaTheme="minorEastAsia"/>
          <w:sz w:val="24"/>
          <w:szCs w:val="24"/>
        </w:rPr>
        <w:t>）</w:t>
      </w:r>
      <w:r>
        <w:rPr>
          <w:rFonts w:hint="eastAsia" w:asciiTheme="minorEastAsia" w:hAnsiTheme="minorEastAsia" w:eastAsiaTheme="minorEastAsia"/>
          <w:sz w:val="24"/>
          <w:szCs w:val="24"/>
        </w:rPr>
        <w:t>和</w:t>
      </w:r>
      <w:r>
        <w:rPr>
          <w:rFonts w:asciiTheme="minorEastAsia" w:hAnsiTheme="minorEastAsia" w:eastAsiaTheme="minorEastAsia"/>
          <w:sz w:val="24"/>
          <w:szCs w:val="24"/>
        </w:rPr>
        <w:t>税号（</w:t>
      </w:r>
      <w:r>
        <w:rPr>
          <w:rFonts w:hint="eastAsia" w:asciiTheme="minorEastAsia" w:hAnsiTheme="minorEastAsia" w:eastAsiaTheme="minorEastAsia"/>
          <w:sz w:val="24"/>
          <w:szCs w:val="24"/>
        </w:rPr>
        <w:t>可选</w:t>
      </w:r>
      <w:r>
        <w:rPr>
          <w:rFonts w:asciiTheme="minorEastAsia" w:hAnsiTheme="minorEastAsia" w:eastAsiaTheme="minorEastAsia"/>
          <w:sz w:val="24"/>
          <w:szCs w:val="24"/>
        </w:rPr>
        <w:t>）</w:t>
      </w:r>
      <w:r>
        <w:rPr>
          <w:rFonts w:hint="eastAsia" w:asciiTheme="minorEastAsia" w:hAnsiTheme="minorEastAsia" w:eastAsiaTheme="minorEastAsia"/>
          <w:sz w:val="24"/>
          <w:szCs w:val="24"/>
        </w:rPr>
        <w:t>，税控服务器</w:t>
      </w:r>
      <w:r>
        <w:rPr>
          <w:rFonts w:asciiTheme="minorEastAsia" w:hAnsiTheme="minorEastAsia" w:eastAsiaTheme="minorEastAsia"/>
          <w:sz w:val="24"/>
          <w:szCs w:val="24"/>
        </w:rPr>
        <w:t>按</w:t>
      </w:r>
      <w:r>
        <w:rPr>
          <w:rFonts w:hint="eastAsia" w:asciiTheme="minorEastAsia" w:hAnsiTheme="minorEastAsia" w:eastAsiaTheme="minorEastAsia"/>
          <w:sz w:val="24"/>
          <w:szCs w:val="24"/>
        </w:rPr>
        <w:t>税号汇总符合检索</w:t>
      </w:r>
      <w:r>
        <w:rPr>
          <w:rFonts w:asciiTheme="minorEastAsia" w:hAnsiTheme="minorEastAsia" w:eastAsiaTheme="minorEastAsia"/>
          <w:sz w:val="24"/>
          <w:szCs w:val="24"/>
        </w:rPr>
        <w:t>条件的</w:t>
      </w:r>
      <w:r>
        <w:rPr>
          <w:rFonts w:hint="eastAsia" w:asciiTheme="minorEastAsia" w:hAnsiTheme="minorEastAsia" w:eastAsiaTheme="minorEastAsia"/>
          <w:sz w:val="24"/>
          <w:szCs w:val="24"/>
        </w:rPr>
        <w:t>电</w:t>
      </w:r>
      <w:r>
        <w:rPr>
          <w:rFonts w:asciiTheme="minorEastAsia" w:hAnsiTheme="minorEastAsia" w:eastAsiaTheme="minorEastAsia"/>
          <w:sz w:val="24"/>
          <w:szCs w:val="24"/>
        </w:rPr>
        <w:t>子发票开票张数和金额</w:t>
      </w:r>
      <w:r>
        <w:rPr>
          <w:rFonts w:hint="eastAsia" w:asciiTheme="minorEastAsia" w:hAnsiTheme="minorEastAsia" w:eastAsiaTheme="minorEastAsia"/>
          <w:sz w:val="24"/>
          <w:szCs w:val="24"/>
        </w:rPr>
        <w:t>，并</w:t>
      </w:r>
      <w:r>
        <w:rPr>
          <w:rFonts w:asciiTheme="minorEastAsia" w:hAnsiTheme="minorEastAsia" w:eastAsiaTheme="minorEastAsia"/>
          <w:sz w:val="24"/>
          <w:szCs w:val="24"/>
        </w:rPr>
        <w:t>反馈。</w:t>
      </w:r>
    </w:p>
    <w:p>
      <w:pPr>
        <w:pStyle w:val="5"/>
        <w:numPr>
          <w:ilvl w:val="3"/>
          <w:numId w:val="0"/>
        </w:numPr>
        <w:spacing w:before="0" w:after="0" w:line="360" w:lineRule="auto"/>
        <w:ind w:left="402" w:leftChars="0"/>
      </w:pPr>
      <w:bookmarkStart w:id="52" w:name="_Toc15383"/>
      <w:r>
        <w:rPr>
          <w:rFonts w:hint="eastAsia"/>
        </w:rPr>
        <w:t xml:space="preserve">4.3 </w:t>
      </w:r>
      <w:r>
        <w:rPr>
          <w:rFonts w:hint="eastAsia"/>
          <w:lang w:val="en-US" w:eastAsia="zh-CN"/>
        </w:rPr>
        <w:t>发票管理</w:t>
      </w:r>
      <w:r>
        <w:rPr>
          <w:rFonts w:hint="eastAsia"/>
        </w:rPr>
        <w:t>系统</w:t>
      </w:r>
      <w:bookmarkEnd w:id="52"/>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发票管理系统</w:t>
      </w:r>
      <w:r>
        <w:rPr>
          <w:rFonts w:hint="eastAsia" w:asciiTheme="minorEastAsia" w:hAnsiTheme="minorEastAsia" w:eastAsiaTheme="minorEastAsia"/>
          <w:sz w:val="24"/>
          <w:szCs w:val="24"/>
        </w:rPr>
        <w:t>是</w:t>
      </w:r>
      <w:r>
        <w:rPr>
          <w:rFonts w:hint="eastAsia" w:asciiTheme="minorEastAsia" w:hAnsiTheme="minorEastAsia" w:eastAsiaTheme="minorEastAsia"/>
          <w:sz w:val="24"/>
          <w:szCs w:val="24"/>
          <w:lang w:eastAsia="zh-CN"/>
        </w:rPr>
        <w:t>xx</w:t>
      </w:r>
      <w:r>
        <w:rPr>
          <w:rFonts w:hint="eastAsia" w:asciiTheme="minorEastAsia" w:hAnsiTheme="minorEastAsia" w:eastAsiaTheme="minorEastAsia"/>
          <w:sz w:val="24"/>
          <w:szCs w:val="24"/>
        </w:rPr>
        <w:t>交通电子发票管理系统的核心处理系统，在发票系统中与</w:t>
      </w:r>
      <w:r>
        <w:rPr>
          <w:rFonts w:hint="eastAsia" w:asciiTheme="minorEastAsia" w:hAnsiTheme="minorEastAsia" w:eastAsiaTheme="minorEastAsia"/>
          <w:sz w:val="24"/>
          <w:szCs w:val="24"/>
          <w:lang w:eastAsia="zh-CN"/>
        </w:rPr>
        <w:t>接口系统</w:t>
      </w:r>
      <w:r>
        <w:rPr>
          <w:rFonts w:hint="eastAsia" w:asciiTheme="minorEastAsia" w:hAnsiTheme="minorEastAsia" w:eastAsiaTheme="minorEastAsia"/>
          <w:sz w:val="24"/>
          <w:szCs w:val="24"/>
        </w:rPr>
        <w:t>对接，接收</w:t>
      </w:r>
      <w:r>
        <w:rPr>
          <w:rFonts w:hint="eastAsia" w:asciiTheme="minorEastAsia" w:hAnsiTheme="minorEastAsia" w:eastAsiaTheme="minorEastAsia"/>
          <w:sz w:val="24"/>
          <w:szCs w:val="24"/>
          <w:lang w:eastAsia="zh-CN"/>
        </w:rPr>
        <w:t>接口系统</w:t>
      </w:r>
      <w:r>
        <w:rPr>
          <w:rFonts w:hint="eastAsia" w:asciiTheme="minorEastAsia" w:hAnsiTheme="minorEastAsia" w:eastAsiaTheme="minorEastAsia"/>
          <w:sz w:val="24"/>
          <w:szCs w:val="24"/>
        </w:rPr>
        <w:t>提交的开票请求，通过调用税控设备的加密算法实现</w:t>
      </w:r>
      <w:r>
        <w:rPr>
          <w:rFonts w:hint="eastAsia" w:asciiTheme="minorEastAsia" w:hAnsiTheme="minorEastAsia" w:eastAsiaTheme="minorEastAsia"/>
          <w:sz w:val="24"/>
          <w:szCs w:val="24"/>
          <w:lang w:eastAsia="zh-CN"/>
        </w:rPr>
        <w:t>电子发票</w:t>
      </w:r>
      <w:r>
        <w:rPr>
          <w:rFonts w:hint="eastAsia" w:asciiTheme="minorEastAsia" w:hAnsiTheme="minorEastAsia" w:eastAsiaTheme="minorEastAsia"/>
          <w:sz w:val="24"/>
          <w:szCs w:val="24"/>
        </w:rPr>
        <w:t>的开具、冲红等功能。同时还具备</w:t>
      </w:r>
      <w:r>
        <w:rPr>
          <w:rFonts w:hint="eastAsia" w:asciiTheme="minorEastAsia" w:hAnsiTheme="minorEastAsia" w:eastAsiaTheme="minorEastAsia"/>
          <w:sz w:val="24"/>
          <w:szCs w:val="24"/>
          <w:lang w:eastAsia="zh-CN"/>
        </w:rPr>
        <w:t>电子发票</w:t>
      </w:r>
      <w:r>
        <w:rPr>
          <w:rFonts w:hint="eastAsia" w:asciiTheme="minorEastAsia" w:hAnsiTheme="minorEastAsia" w:eastAsiaTheme="minorEastAsia"/>
          <w:sz w:val="24"/>
          <w:szCs w:val="24"/>
        </w:rPr>
        <w:t>的申领、发票数据上传税务局、远程抄报税等功能，此外还提供针对相应的查询统计、业务监控、系统管理等功能。</w:t>
      </w:r>
    </w:p>
    <w:p>
      <w:pPr>
        <w:pStyle w:val="6"/>
        <w:numPr>
          <w:ilvl w:val="4"/>
          <w:numId w:val="0"/>
        </w:numPr>
        <w:spacing w:before="0" w:after="0" w:line="360" w:lineRule="auto"/>
        <w:ind w:left="402" w:leftChars="0"/>
      </w:pPr>
      <w:bookmarkStart w:id="53" w:name="_Toc442308264"/>
      <w:bookmarkStart w:id="54" w:name="_Toc24074"/>
      <w:r>
        <w:rPr>
          <w:rFonts w:hint="eastAsia"/>
        </w:rPr>
        <w:t>4.3.1</w:t>
      </w:r>
      <w:r>
        <w:t>发票申领</w:t>
      </w:r>
      <w:bookmarkEnd w:id="53"/>
      <w:bookmarkEnd w:id="54"/>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发票管理系统</w:t>
      </w:r>
      <w:r>
        <w:rPr>
          <w:rFonts w:hint="eastAsia" w:asciiTheme="minorEastAsia" w:hAnsiTheme="minorEastAsia" w:eastAsiaTheme="minorEastAsia"/>
          <w:sz w:val="24"/>
          <w:szCs w:val="24"/>
        </w:rPr>
        <w:t>提供</w:t>
      </w:r>
      <w:r>
        <w:rPr>
          <w:rFonts w:hint="eastAsia" w:asciiTheme="minorEastAsia" w:hAnsiTheme="minorEastAsia" w:eastAsiaTheme="minorEastAsia"/>
          <w:sz w:val="24"/>
          <w:szCs w:val="24"/>
          <w:lang w:eastAsia="zh-CN"/>
        </w:rPr>
        <w:t>电子发票</w:t>
      </w:r>
      <w:r>
        <w:rPr>
          <w:rFonts w:hint="eastAsia" w:asciiTheme="minorEastAsia" w:hAnsiTheme="minorEastAsia" w:eastAsiaTheme="minorEastAsia"/>
          <w:sz w:val="24"/>
          <w:szCs w:val="24"/>
        </w:rPr>
        <w:t>的在线申领功能，系统提供</w:t>
      </w:r>
      <w:r>
        <w:rPr>
          <w:rFonts w:hint="eastAsia" w:asciiTheme="minorEastAsia" w:hAnsiTheme="minorEastAsia" w:eastAsiaTheme="minorEastAsia"/>
          <w:sz w:val="24"/>
          <w:szCs w:val="24"/>
          <w:lang w:eastAsia="zh-CN"/>
        </w:rPr>
        <w:t>电子发票</w:t>
      </w:r>
      <w:r>
        <w:rPr>
          <w:rFonts w:hint="eastAsia" w:asciiTheme="minorEastAsia" w:hAnsiTheme="minorEastAsia" w:eastAsiaTheme="minorEastAsia"/>
          <w:sz w:val="24"/>
          <w:szCs w:val="24"/>
        </w:rPr>
        <w:t>结存票量的监控预警，当票量低于一定量时，可由人工或系统自动的向税务局提交发票申领请求，并将税局的发票发售结果写入税控设备，实现在线申领发票功能。</w:t>
      </w:r>
    </w:p>
    <w:p>
      <w:pPr>
        <w:pStyle w:val="6"/>
        <w:numPr>
          <w:ilvl w:val="4"/>
          <w:numId w:val="0"/>
        </w:numPr>
        <w:spacing w:before="0" w:after="0" w:line="360" w:lineRule="auto"/>
        <w:ind w:left="402" w:leftChars="0"/>
      </w:pPr>
      <w:bookmarkStart w:id="55" w:name="_Toc442308265"/>
      <w:bookmarkStart w:id="56" w:name="_Toc26204"/>
      <w:r>
        <w:rPr>
          <w:rFonts w:hint="eastAsia"/>
        </w:rPr>
        <w:t>4.3.2</w:t>
      </w:r>
      <w:r>
        <w:t>发票分发</w:t>
      </w:r>
      <w:bookmarkEnd w:id="55"/>
      <w:bookmarkEnd w:id="56"/>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提供将主机金税盘上的空白电子发票分发给分机金税盘的功能。</w:t>
      </w:r>
    </w:p>
    <w:p>
      <w:pPr>
        <w:pStyle w:val="6"/>
        <w:numPr>
          <w:ilvl w:val="4"/>
          <w:numId w:val="0"/>
        </w:numPr>
        <w:spacing w:before="0" w:after="0" w:line="360" w:lineRule="auto"/>
        <w:ind w:left="402" w:leftChars="0"/>
      </w:pPr>
      <w:bookmarkStart w:id="57" w:name="_Toc2967"/>
      <w:bookmarkStart w:id="58" w:name="_Toc442308266"/>
      <w:r>
        <w:rPr>
          <w:rFonts w:hint="eastAsia"/>
        </w:rPr>
        <w:t>4.3.3</w:t>
      </w:r>
      <w:r>
        <w:t>发票退回</w:t>
      </w:r>
      <w:bookmarkEnd w:id="57"/>
      <w:bookmarkEnd w:id="58"/>
    </w:p>
    <w:p>
      <w:pPr>
        <w:pStyle w:val="56"/>
        <w:spacing w:line="360" w:lineRule="auto"/>
        <w:ind w:firstLine="420"/>
        <w:rPr>
          <w:rFonts w:asciiTheme="minorEastAsia" w:hAnsiTheme="minorEastAsia" w:eastAsiaTheme="minorEastAsia"/>
          <w:szCs w:val="21"/>
        </w:rPr>
      </w:pPr>
      <w:r>
        <w:rPr>
          <w:rFonts w:hint="eastAsia" w:asciiTheme="minorEastAsia" w:hAnsiTheme="minorEastAsia" w:eastAsiaTheme="minorEastAsia"/>
          <w:szCs w:val="21"/>
        </w:rPr>
        <w:t>提</w:t>
      </w:r>
      <w:r>
        <w:rPr>
          <w:rFonts w:hint="eastAsia" w:asciiTheme="minorEastAsia" w:hAnsiTheme="minorEastAsia" w:eastAsiaTheme="minorEastAsia"/>
          <w:sz w:val="24"/>
          <w:szCs w:val="24"/>
        </w:rPr>
        <w:t>供将分机金税盘上的空白电子发票退回至主机的功能。</w:t>
      </w:r>
    </w:p>
    <w:p>
      <w:pPr>
        <w:pStyle w:val="6"/>
        <w:numPr>
          <w:ilvl w:val="4"/>
          <w:numId w:val="0"/>
        </w:numPr>
        <w:spacing w:before="0" w:after="0" w:line="360" w:lineRule="auto"/>
        <w:ind w:left="402" w:leftChars="0"/>
      </w:pPr>
      <w:bookmarkStart w:id="59" w:name="_Toc1860"/>
      <w:bookmarkStart w:id="60" w:name="_Toc442308267"/>
      <w:r>
        <w:rPr>
          <w:rFonts w:hint="eastAsia"/>
        </w:rPr>
        <w:t>4.3.4</w:t>
      </w:r>
      <w:r>
        <w:t>发票读入</w:t>
      </w:r>
      <w:bookmarkEnd w:id="59"/>
      <w:bookmarkEnd w:id="60"/>
    </w:p>
    <w:p>
      <w:pPr>
        <w:pStyle w:val="56"/>
        <w:spacing w:line="360" w:lineRule="auto"/>
        <w:ind w:firstLine="42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提供将读取金税盘中领购的电子发票号段功能。将金税盘中的空白发票号段写入税控开票服务中。</w:t>
      </w:r>
    </w:p>
    <w:p>
      <w:pPr>
        <w:pStyle w:val="6"/>
        <w:numPr>
          <w:ilvl w:val="4"/>
          <w:numId w:val="0"/>
        </w:numPr>
        <w:spacing w:before="0" w:after="0" w:line="360" w:lineRule="auto"/>
        <w:ind w:left="402" w:leftChars="0"/>
      </w:pPr>
      <w:bookmarkStart w:id="61" w:name="_Toc442308268"/>
      <w:bookmarkStart w:id="62" w:name="_Toc8274"/>
      <w:r>
        <w:rPr>
          <w:rFonts w:hint="eastAsia"/>
        </w:rPr>
        <w:t>4.3.5</w:t>
      </w:r>
      <w:r>
        <w:t>发票库存查询</w:t>
      </w:r>
      <w:bookmarkEnd w:id="61"/>
      <w:bookmarkEnd w:id="62"/>
    </w:p>
    <w:p>
      <w:pPr>
        <w:pStyle w:val="56"/>
        <w:spacing w:line="360" w:lineRule="auto"/>
        <w:ind w:firstLine="420"/>
        <w:rPr>
          <w:rFonts w:asciiTheme="minorEastAsia" w:hAnsiTheme="minorEastAsia" w:eastAsiaTheme="minorEastAsia"/>
          <w:szCs w:val="21"/>
        </w:rPr>
      </w:pPr>
      <w:r>
        <w:rPr>
          <w:rFonts w:hint="eastAsia" w:asciiTheme="minorEastAsia" w:hAnsiTheme="minorEastAsia" w:eastAsiaTheme="minorEastAsia"/>
          <w:sz w:val="24"/>
          <w:szCs w:val="24"/>
        </w:rPr>
        <w:t>提供查询发票库存功能，通过本功能可查看纳税人当前剩余空白发票库存。</w:t>
      </w:r>
    </w:p>
    <w:p>
      <w:pPr>
        <w:pStyle w:val="6"/>
        <w:numPr>
          <w:ilvl w:val="4"/>
          <w:numId w:val="0"/>
        </w:numPr>
        <w:spacing w:before="0" w:after="0" w:line="360" w:lineRule="auto"/>
        <w:ind w:left="402" w:leftChars="0"/>
      </w:pPr>
      <w:bookmarkStart w:id="63" w:name="_Toc442308269"/>
      <w:bookmarkStart w:id="64" w:name="_Toc1620"/>
      <w:r>
        <w:rPr>
          <w:rFonts w:hint="eastAsia"/>
        </w:rPr>
        <w:t>4.3.6</w:t>
      </w:r>
      <w:r>
        <w:t>发票开具</w:t>
      </w:r>
      <w:bookmarkEnd w:id="63"/>
      <w:bookmarkEnd w:id="64"/>
    </w:p>
    <w:p>
      <w:pPr>
        <w:pStyle w:val="56"/>
        <w:spacing w:line="360" w:lineRule="auto"/>
        <w:ind w:firstLine="420"/>
        <w:rPr>
          <w:rFonts w:asciiTheme="minorEastAsia" w:hAnsiTheme="minorEastAsia" w:eastAsiaTheme="minorEastAsia"/>
          <w:szCs w:val="21"/>
        </w:rPr>
      </w:pPr>
      <w:r>
        <w:rPr>
          <w:rFonts w:hint="eastAsia" w:asciiTheme="minorEastAsia" w:hAnsiTheme="minorEastAsia" w:eastAsiaTheme="minorEastAsia"/>
          <w:sz w:val="24"/>
          <w:szCs w:val="24"/>
          <w:lang w:eastAsia="zh-CN"/>
        </w:rPr>
        <w:t>发票管理系统</w:t>
      </w:r>
      <w:r>
        <w:rPr>
          <w:rFonts w:hint="eastAsia" w:asciiTheme="minorEastAsia" w:hAnsiTheme="minorEastAsia" w:eastAsiaTheme="minorEastAsia"/>
          <w:sz w:val="24"/>
          <w:szCs w:val="24"/>
        </w:rPr>
        <w:t>接收到</w:t>
      </w:r>
      <w:r>
        <w:rPr>
          <w:rFonts w:hint="eastAsia" w:asciiTheme="minorEastAsia" w:hAnsiTheme="minorEastAsia" w:eastAsiaTheme="minorEastAsia"/>
          <w:sz w:val="24"/>
          <w:szCs w:val="24"/>
          <w:lang w:eastAsia="zh-CN"/>
        </w:rPr>
        <w:t>接口系统</w:t>
      </w:r>
      <w:r>
        <w:rPr>
          <w:rFonts w:hint="eastAsia" w:asciiTheme="minorEastAsia" w:hAnsiTheme="minorEastAsia" w:eastAsiaTheme="minorEastAsia"/>
          <w:sz w:val="24"/>
          <w:szCs w:val="24"/>
        </w:rPr>
        <w:t>转发的业务信息后，调用税控设备对交易业务信息进行处理并生成发票数据，之后，将发票开具结果返回</w:t>
      </w:r>
      <w:r>
        <w:rPr>
          <w:rFonts w:hint="eastAsia" w:asciiTheme="minorEastAsia" w:hAnsiTheme="minorEastAsia" w:eastAsiaTheme="minorEastAsia"/>
          <w:sz w:val="24"/>
          <w:szCs w:val="24"/>
          <w:lang w:eastAsia="zh-CN"/>
        </w:rPr>
        <w:t>接口系统</w:t>
      </w:r>
      <w:r>
        <w:rPr>
          <w:rFonts w:hint="eastAsia" w:asciiTheme="minorEastAsia" w:hAnsiTheme="minorEastAsia" w:eastAsiaTheme="minorEastAsia"/>
          <w:sz w:val="24"/>
          <w:szCs w:val="24"/>
        </w:rPr>
        <w:t>。</w:t>
      </w:r>
    </w:p>
    <w:p>
      <w:pPr>
        <w:pStyle w:val="6"/>
        <w:numPr>
          <w:ilvl w:val="4"/>
          <w:numId w:val="0"/>
        </w:numPr>
        <w:spacing w:before="0" w:after="0" w:line="360" w:lineRule="auto"/>
        <w:ind w:firstLine="420" w:firstLineChars="0"/>
      </w:pPr>
      <w:bookmarkStart w:id="65" w:name="_Toc122"/>
      <w:bookmarkStart w:id="66" w:name="_Toc442308270"/>
      <w:r>
        <w:rPr>
          <w:rFonts w:hint="eastAsia"/>
        </w:rPr>
        <w:t>4.3.7</w:t>
      </w:r>
      <w:r>
        <w:t>发票冲红</w:t>
      </w:r>
      <w:bookmarkEnd w:id="65"/>
      <w:bookmarkEnd w:id="66"/>
    </w:p>
    <w:p>
      <w:pPr>
        <w:pStyle w:val="56"/>
        <w:spacing w:line="360" w:lineRule="auto"/>
        <w:ind w:firstLine="420"/>
        <w:rPr>
          <w:rFonts w:asciiTheme="minorEastAsia" w:hAnsiTheme="minorEastAsia" w:eastAsiaTheme="minorEastAsia"/>
          <w:szCs w:val="21"/>
        </w:rPr>
      </w:pPr>
      <w:r>
        <w:rPr>
          <w:rFonts w:hint="eastAsia" w:asciiTheme="minorEastAsia" w:hAnsiTheme="minorEastAsia" w:eastAsiaTheme="minorEastAsia"/>
          <w:sz w:val="24"/>
          <w:szCs w:val="24"/>
          <w:lang w:eastAsia="zh-CN"/>
        </w:rPr>
        <w:t>发票管理系统</w:t>
      </w:r>
      <w:r>
        <w:rPr>
          <w:rFonts w:hint="eastAsia" w:asciiTheme="minorEastAsia" w:hAnsiTheme="minorEastAsia" w:eastAsiaTheme="minorEastAsia"/>
          <w:sz w:val="24"/>
          <w:szCs w:val="24"/>
        </w:rPr>
        <w:t>接收到</w:t>
      </w:r>
      <w:r>
        <w:rPr>
          <w:rFonts w:hint="eastAsia" w:asciiTheme="minorEastAsia" w:hAnsiTheme="minorEastAsia" w:eastAsiaTheme="minorEastAsia"/>
          <w:sz w:val="24"/>
          <w:szCs w:val="24"/>
          <w:lang w:eastAsia="zh-CN"/>
        </w:rPr>
        <w:t>接口系统</w:t>
      </w:r>
      <w:r>
        <w:rPr>
          <w:rFonts w:hint="eastAsia" w:asciiTheme="minorEastAsia" w:hAnsiTheme="minorEastAsia" w:eastAsiaTheme="minorEastAsia"/>
          <w:sz w:val="24"/>
          <w:szCs w:val="24"/>
        </w:rPr>
        <w:t>转发的红字发票开具请求后，校验是否可开具红字发票，校验通过后，调用税控设备生成红字发票，并将开具结果返回</w:t>
      </w:r>
      <w:r>
        <w:rPr>
          <w:rFonts w:hint="eastAsia" w:asciiTheme="minorEastAsia" w:hAnsiTheme="minorEastAsia" w:eastAsiaTheme="minorEastAsia"/>
          <w:sz w:val="24"/>
          <w:szCs w:val="24"/>
          <w:lang w:eastAsia="zh-CN"/>
        </w:rPr>
        <w:t>接口系统</w:t>
      </w:r>
      <w:r>
        <w:rPr>
          <w:rFonts w:hint="eastAsia" w:asciiTheme="minorEastAsia" w:hAnsiTheme="minorEastAsia" w:eastAsiaTheme="minorEastAsia"/>
          <w:sz w:val="24"/>
          <w:szCs w:val="24"/>
        </w:rPr>
        <w:t>。</w:t>
      </w:r>
    </w:p>
    <w:p>
      <w:pPr>
        <w:pStyle w:val="6"/>
        <w:numPr>
          <w:ilvl w:val="4"/>
          <w:numId w:val="0"/>
        </w:numPr>
        <w:spacing w:before="0" w:after="0" w:line="360" w:lineRule="auto"/>
        <w:ind w:firstLine="420" w:firstLineChars="0"/>
      </w:pPr>
      <w:bookmarkStart w:id="67" w:name="_Toc3701"/>
      <w:bookmarkStart w:id="68" w:name="_Toc442308271"/>
      <w:r>
        <w:rPr>
          <w:rFonts w:hint="eastAsia"/>
        </w:rPr>
        <w:t>4.3.8</w:t>
      </w:r>
      <w:r>
        <w:t>发票上传</w:t>
      </w:r>
      <w:bookmarkEnd w:id="67"/>
      <w:bookmarkEnd w:id="68"/>
    </w:p>
    <w:p>
      <w:pPr>
        <w:pStyle w:val="56"/>
        <w:spacing w:line="360" w:lineRule="auto"/>
        <w:ind w:firstLine="420"/>
        <w:rPr>
          <w:rFonts w:asciiTheme="minorEastAsia" w:hAnsiTheme="minorEastAsia" w:eastAsiaTheme="minorEastAsia"/>
          <w:szCs w:val="21"/>
        </w:rPr>
      </w:pPr>
      <w:r>
        <w:rPr>
          <w:rFonts w:hint="eastAsia" w:asciiTheme="minorEastAsia" w:hAnsiTheme="minorEastAsia" w:eastAsiaTheme="minorEastAsia"/>
          <w:sz w:val="24"/>
          <w:szCs w:val="24"/>
        </w:rPr>
        <w:t>发票开具成功后，</w:t>
      </w:r>
      <w:r>
        <w:rPr>
          <w:rFonts w:hint="eastAsia" w:asciiTheme="minorEastAsia" w:hAnsiTheme="minorEastAsia" w:eastAsiaTheme="minorEastAsia"/>
          <w:sz w:val="24"/>
          <w:szCs w:val="24"/>
          <w:lang w:eastAsia="zh-CN"/>
        </w:rPr>
        <w:t>发票管理系统</w:t>
      </w:r>
      <w:r>
        <w:rPr>
          <w:rFonts w:hint="eastAsia" w:asciiTheme="minorEastAsia" w:hAnsiTheme="minorEastAsia" w:eastAsiaTheme="minorEastAsia"/>
          <w:sz w:val="24"/>
          <w:szCs w:val="24"/>
        </w:rPr>
        <w:t>通过税控设备与增值税发票系统升级版的税务端建立SSL通道，将发票开具数据上传至税务局。</w:t>
      </w:r>
    </w:p>
    <w:p>
      <w:pPr>
        <w:pStyle w:val="6"/>
        <w:numPr>
          <w:ilvl w:val="4"/>
          <w:numId w:val="0"/>
        </w:numPr>
        <w:spacing w:before="0" w:after="0" w:line="360" w:lineRule="auto"/>
        <w:ind w:left="402" w:leftChars="0"/>
      </w:pPr>
      <w:bookmarkStart w:id="69" w:name="_Toc11372"/>
      <w:bookmarkStart w:id="70" w:name="_Toc442308272"/>
      <w:r>
        <w:rPr>
          <w:rFonts w:hint="eastAsia"/>
        </w:rPr>
        <w:t>4.3.9</w:t>
      </w:r>
      <w:r>
        <w:t>业务监控</w:t>
      </w:r>
      <w:bookmarkEnd w:id="69"/>
      <w:bookmarkEnd w:id="70"/>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系统实时监控当前的发票开具业务、冲红业务、上传业务的处理情况，对异常处理进行相关的预警和错误日志的记录。</w:t>
      </w:r>
    </w:p>
    <w:p>
      <w:pPr>
        <w:pStyle w:val="6"/>
        <w:numPr>
          <w:ilvl w:val="4"/>
          <w:numId w:val="0"/>
        </w:numPr>
        <w:spacing w:before="0" w:after="0" w:line="360" w:lineRule="auto"/>
        <w:ind w:left="402" w:leftChars="0"/>
      </w:pPr>
      <w:bookmarkStart w:id="71" w:name="_Toc442308273"/>
      <w:bookmarkStart w:id="72" w:name="_Toc833"/>
      <w:r>
        <w:rPr>
          <w:rFonts w:hint="eastAsia"/>
        </w:rPr>
        <w:t>4.3.1</w:t>
      </w:r>
      <w:r>
        <w:t>0查询统计</w:t>
      </w:r>
      <w:bookmarkEnd w:id="71"/>
      <w:bookmarkEnd w:id="72"/>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1）已开发票查询</w:t>
      </w:r>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提供根据不同税号、时间段、分机号进行开票量查询统计功能，查询统计页面展示内容如下：纳税人识别号、纳税人名称、开票日期起、开票日期止、开票总张数、开票总金额、蓝字发票张数、蓝字发票金额、红字发票张数、红字发票金额、作废发票张数、作废发票金额等。</w:t>
      </w:r>
    </w:p>
    <w:p>
      <w:pPr>
        <w:pStyle w:val="56"/>
        <w:spacing w:line="360" w:lineRule="auto"/>
        <w:ind w:firstLine="420"/>
        <w:rPr>
          <w:rFonts w:asciiTheme="minorEastAsia" w:hAnsiTheme="minorEastAsia" w:eastAsiaTheme="minorEastAsia"/>
          <w:sz w:val="24"/>
          <w:szCs w:val="24"/>
        </w:rPr>
      </w:pPr>
      <w:r>
        <w:rPr>
          <w:rFonts w:asciiTheme="minorEastAsia" w:hAnsiTheme="minorEastAsia" w:eastAsiaTheme="minorEastAsia"/>
          <w:sz w:val="24"/>
          <w:szCs w:val="24"/>
        </w:rPr>
        <w:t>2）发票上传情况查询</w:t>
      </w:r>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根据纳税人识别号、分机号、日期起止的组合条件对发票上传情况进行统计。</w:t>
      </w:r>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统计信息包括：纳税人识别号、纳税人名称、日期起、日期止、分机号、待上传发票数量、上传受理成功发票数量、上传受理失败发票数量、上传处理成功发票数量、上传处理失败发票数量</w:t>
      </w:r>
    </w:p>
    <w:p>
      <w:pPr>
        <w:pStyle w:val="56"/>
        <w:spacing w:line="360" w:lineRule="auto"/>
        <w:ind w:firstLine="420"/>
        <w:rPr>
          <w:rFonts w:asciiTheme="minorEastAsia" w:hAnsiTheme="minorEastAsia" w:eastAsiaTheme="minorEastAsia"/>
          <w:sz w:val="24"/>
          <w:szCs w:val="24"/>
        </w:rPr>
      </w:pPr>
      <w:r>
        <w:rPr>
          <w:rFonts w:asciiTheme="minorEastAsia" w:hAnsiTheme="minorEastAsia" w:eastAsiaTheme="minorEastAsia"/>
          <w:sz w:val="24"/>
          <w:szCs w:val="24"/>
        </w:rPr>
        <w:t>3）金税盘状态查询</w:t>
      </w:r>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提供查询各个金税盘运行状态的查询功能，可通过纳税人识别号、分机号查询对应的金税盘运行状态情况。</w:t>
      </w:r>
    </w:p>
    <w:p>
      <w:pPr>
        <w:pStyle w:val="6"/>
        <w:numPr>
          <w:ilvl w:val="4"/>
          <w:numId w:val="0"/>
        </w:numPr>
        <w:spacing w:before="0" w:after="0" w:line="360" w:lineRule="auto"/>
        <w:ind w:left="402" w:leftChars="0"/>
      </w:pPr>
      <w:bookmarkStart w:id="73" w:name="_Toc4934"/>
      <w:bookmarkStart w:id="74" w:name="_Toc442308274"/>
      <w:r>
        <w:rPr>
          <w:rFonts w:hint="eastAsia"/>
        </w:rPr>
        <w:t>4.3.11</w:t>
      </w:r>
      <w:r>
        <w:t>多税号管理</w:t>
      </w:r>
      <w:bookmarkEnd w:id="73"/>
      <w:bookmarkEnd w:id="74"/>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提供给针对</w:t>
      </w:r>
      <w:r>
        <w:rPr>
          <w:rFonts w:hint="eastAsia" w:asciiTheme="minorEastAsia" w:hAnsiTheme="minorEastAsia" w:eastAsiaTheme="minorEastAsia"/>
          <w:sz w:val="24"/>
          <w:szCs w:val="24"/>
          <w:lang w:eastAsia="zh-CN"/>
        </w:rPr>
        <w:t>xx交通</w:t>
      </w:r>
      <w:r>
        <w:rPr>
          <w:rFonts w:hint="eastAsia" w:asciiTheme="minorEastAsia" w:hAnsiTheme="minorEastAsia" w:eastAsiaTheme="minorEastAsia"/>
          <w:sz w:val="24"/>
          <w:szCs w:val="24"/>
        </w:rPr>
        <w:t>下级的多个纳税人识别号的开票管理，管理每个税号下的多个金税盘。</w:t>
      </w:r>
    </w:p>
    <w:p>
      <w:pPr>
        <w:pStyle w:val="6"/>
        <w:numPr>
          <w:ilvl w:val="4"/>
          <w:numId w:val="0"/>
        </w:numPr>
        <w:spacing w:before="0" w:after="0" w:line="360" w:lineRule="auto"/>
        <w:ind w:left="402" w:leftChars="0"/>
      </w:pPr>
      <w:bookmarkStart w:id="75" w:name="_Toc442308275"/>
      <w:bookmarkStart w:id="76" w:name="_Toc29088"/>
      <w:r>
        <w:rPr>
          <w:rFonts w:hint="eastAsia"/>
        </w:rPr>
        <w:t>4.3.12</w:t>
      </w:r>
      <w:r>
        <w:t>多盘调度配置</w:t>
      </w:r>
      <w:bookmarkEnd w:id="75"/>
      <w:bookmarkEnd w:id="76"/>
    </w:p>
    <w:p>
      <w:pPr>
        <w:pStyle w:val="56"/>
        <w:spacing w:line="360" w:lineRule="auto"/>
        <w:ind w:firstLine="420"/>
        <w:rPr>
          <w:rFonts w:asciiTheme="minorEastAsia" w:hAnsiTheme="minorEastAsia" w:eastAsiaTheme="minorEastAsia"/>
          <w:szCs w:val="21"/>
        </w:rPr>
      </w:pPr>
      <w:r>
        <w:rPr>
          <w:rFonts w:hint="eastAsia" w:asciiTheme="minorEastAsia" w:hAnsiTheme="minorEastAsia" w:eastAsiaTheme="minorEastAsia"/>
          <w:sz w:val="24"/>
          <w:szCs w:val="24"/>
        </w:rPr>
        <w:t>提供针对多金税盘调用配置功能，为运维人员针对金税盘开票任务进行最优化配置提供相应的设置管理。</w:t>
      </w:r>
    </w:p>
    <w:p>
      <w:pPr>
        <w:pStyle w:val="6"/>
        <w:numPr>
          <w:ilvl w:val="4"/>
          <w:numId w:val="0"/>
        </w:numPr>
        <w:spacing w:before="0" w:after="0" w:line="360" w:lineRule="auto"/>
        <w:ind w:left="402" w:leftChars="0"/>
      </w:pPr>
      <w:bookmarkStart w:id="77" w:name="_Toc442308276"/>
      <w:bookmarkStart w:id="78" w:name="_Toc1926"/>
      <w:r>
        <w:rPr>
          <w:rFonts w:hint="eastAsia"/>
        </w:rPr>
        <w:t>4.3.13</w:t>
      </w:r>
      <w:r>
        <w:t>远程抄报税</w:t>
      </w:r>
      <w:bookmarkEnd w:id="77"/>
      <w:bookmarkEnd w:id="78"/>
    </w:p>
    <w:p>
      <w:pPr>
        <w:pStyle w:val="56"/>
        <w:spacing w:line="360" w:lineRule="auto"/>
        <w:ind w:firstLine="420"/>
        <w:rPr>
          <w:rFonts w:asciiTheme="minorEastAsia" w:hAnsiTheme="minorEastAsia" w:eastAsiaTheme="minorEastAsia"/>
          <w:szCs w:val="21"/>
        </w:rPr>
      </w:pPr>
      <w:r>
        <w:rPr>
          <w:rFonts w:hint="eastAsia" w:asciiTheme="minorEastAsia" w:hAnsiTheme="minorEastAsia" w:eastAsiaTheme="minorEastAsia"/>
          <w:sz w:val="24"/>
          <w:szCs w:val="24"/>
        </w:rPr>
        <w:t>提供针对金税盘进行远程抄报税的管理页面，查询金税盘的抄报税状态，对未进行抄报税的金税盘可进行人工远程抄报税操作。</w:t>
      </w:r>
    </w:p>
    <w:p>
      <w:pPr>
        <w:pStyle w:val="6"/>
        <w:numPr>
          <w:ilvl w:val="4"/>
          <w:numId w:val="0"/>
        </w:numPr>
        <w:spacing w:before="0" w:after="0" w:line="360" w:lineRule="auto"/>
        <w:ind w:left="402" w:leftChars="0"/>
      </w:pPr>
      <w:bookmarkStart w:id="79" w:name="_Toc24168"/>
      <w:bookmarkStart w:id="80" w:name="_Toc442308277"/>
      <w:r>
        <w:rPr>
          <w:rFonts w:hint="eastAsia"/>
        </w:rPr>
        <w:t>4.3.14</w:t>
      </w:r>
      <w:r>
        <w:t>远程清卡</w:t>
      </w:r>
      <w:bookmarkEnd w:id="79"/>
      <w:bookmarkEnd w:id="80"/>
    </w:p>
    <w:p>
      <w:pPr>
        <w:pStyle w:val="56"/>
        <w:spacing w:line="360" w:lineRule="auto"/>
        <w:ind w:firstLine="420"/>
        <w:rPr>
          <w:rFonts w:asciiTheme="minorEastAsia" w:hAnsiTheme="minorEastAsia" w:eastAsiaTheme="minorEastAsia"/>
          <w:szCs w:val="21"/>
        </w:rPr>
      </w:pPr>
      <w:r>
        <w:rPr>
          <w:rFonts w:hint="eastAsia" w:asciiTheme="minorEastAsia" w:hAnsiTheme="minorEastAsia" w:eastAsiaTheme="minorEastAsia"/>
          <w:sz w:val="24"/>
          <w:szCs w:val="24"/>
        </w:rPr>
        <w:t>提供远程清卡操作页面，运维人员通过页面对完成抄报税的金税盘进行清卡操作。</w:t>
      </w:r>
    </w:p>
    <w:p>
      <w:pPr>
        <w:pStyle w:val="6"/>
        <w:numPr>
          <w:ilvl w:val="4"/>
          <w:numId w:val="0"/>
        </w:numPr>
        <w:spacing w:before="0" w:after="0" w:line="360" w:lineRule="auto"/>
        <w:ind w:left="402" w:leftChars="0"/>
      </w:pPr>
      <w:bookmarkStart w:id="81" w:name="_Toc19894"/>
      <w:bookmarkStart w:id="82" w:name="_Toc442308278"/>
      <w:r>
        <w:rPr>
          <w:rFonts w:hint="eastAsia"/>
        </w:rPr>
        <w:t>4.3.15</w:t>
      </w:r>
      <w:r>
        <w:t>系统管理</w:t>
      </w:r>
      <w:bookmarkEnd w:id="81"/>
      <w:bookmarkEnd w:id="82"/>
    </w:p>
    <w:p>
      <w:pPr>
        <w:pStyle w:val="56"/>
        <w:spacing w:line="360" w:lineRule="auto"/>
        <w:ind w:firstLine="420"/>
        <w:rPr>
          <w:rFonts w:hint="eastAsia" w:asciiTheme="minorEastAsia" w:hAnsiTheme="minorEastAsia" w:eastAsiaTheme="minorEastAsia"/>
          <w:szCs w:val="21"/>
        </w:rPr>
      </w:pPr>
      <w:r>
        <w:rPr>
          <w:rFonts w:hint="eastAsia" w:asciiTheme="minorEastAsia" w:hAnsiTheme="minorEastAsia" w:eastAsiaTheme="minorEastAsia"/>
          <w:sz w:val="24"/>
          <w:szCs w:val="24"/>
        </w:rPr>
        <w:t>对与</w:t>
      </w:r>
      <w:r>
        <w:rPr>
          <w:rFonts w:hint="eastAsia" w:asciiTheme="minorEastAsia" w:hAnsiTheme="minorEastAsia" w:eastAsiaTheme="minorEastAsia"/>
          <w:sz w:val="24"/>
          <w:szCs w:val="24"/>
          <w:lang w:eastAsia="zh-CN"/>
        </w:rPr>
        <w:t>发票管理系统</w:t>
      </w:r>
      <w:r>
        <w:rPr>
          <w:rFonts w:hint="eastAsia" w:asciiTheme="minorEastAsia" w:hAnsiTheme="minorEastAsia" w:eastAsiaTheme="minorEastAsia"/>
          <w:sz w:val="24"/>
          <w:szCs w:val="24"/>
        </w:rPr>
        <w:t>相连的税控设备进行相应的配置管理。</w:t>
      </w:r>
    </w:p>
    <w:p>
      <w:pPr>
        <w:pStyle w:val="6"/>
        <w:numPr>
          <w:ilvl w:val="4"/>
          <w:numId w:val="0"/>
        </w:numPr>
        <w:spacing w:before="0" w:after="0" w:line="360" w:lineRule="auto"/>
        <w:ind w:left="402" w:leftChars="0"/>
      </w:pPr>
      <w:r>
        <w:rPr>
          <w:rFonts w:hint="eastAsia"/>
          <w:lang w:val="en-US" w:eastAsia="zh-CN"/>
        </w:rPr>
        <w:t xml:space="preserve"> </w:t>
      </w:r>
      <w:bookmarkStart w:id="83" w:name="_Toc10972"/>
      <w:r>
        <w:rPr>
          <w:rFonts w:hint="eastAsia"/>
        </w:rPr>
        <w:t>签章制作</w:t>
      </w:r>
      <w:bookmarkEnd w:id="83"/>
    </w:p>
    <w:p>
      <w:pPr>
        <w:pStyle w:val="56"/>
        <w:spacing w:line="360" w:lineRule="auto"/>
        <w:ind w:firstLine="420"/>
        <w:rPr>
          <w:rFonts w:asciiTheme="minorEastAsia" w:hAnsiTheme="minorEastAsia" w:eastAsiaTheme="minorEastAsia"/>
          <w:szCs w:val="21"/>
        </w:rPr>
      </w:pPr>
      <w:r>
        <w:rPr>
          <w:rFonts w:hint="eastAsia" w:asciiTheme="minorEastAsia" w:hAnsiTheme="minorEastAsia" w:eastAsiaTheme="minorEastAsia"/>
          <w:sz w:val="24"/>
          <w:szCs w:val="24"/>
        </w:rPr>
        <w:t>使用符合国密局标准的第三方CA证书、企业发票专用章印模制作电子签章，电子签章的制作也必须符合国密局相关标准。</w:t>
      </w:r>
    </w:p>
    <w:p>
      <w:pPr>
        <w:pStyle w:val="6"/>
        <w:numPr>
          <w:ilvl w:val="4"/>
          <w:numId w:val="0"/>
        </w:numPr>
        <w:spacing w:before="0" w:after="0" w:line="360" w:lineRule="auto"/>
        <w:ind w:left="402" w:leftChars="0"/>
      </w:pPr>
      <w:r>
        <w:rPr>
          <w:rFonts w:hint="eastAsia"/>
          <w:lang w:val="en-US" w:eastAsia="zh-CN"/>
        </w:rPr>
        <w:t xml:space="preserve"> </w:t>
      </w:r>
      <w:bookmarkStart w:id="84" w:name="_Toc15721"/>
      <w:r>
        <w:rPr>
          <w:rFonts w:hint="eastAsia"/>
        </w:rPr>
        <w:t>签章管理</w:t>
      </w:r>
      <w:bookmarkEnd w:id="84"/>
    </w:p>
    <w:p>
      <w:pPr>
        <w:pStyle w:val="56"/>
        <w:spacing w:line="360" w:lineRule="auto"/>
        <w:ind w:firstLine="420"/>
        <w:rPr>
          <w:rFonts w:asciiTheme="minorEastAsia" w:hAnsiTheme="minorEastAsia" w:eastAsiaTheme="minorEastAsia"/>
          <w:szCs w:val="21"/>
        </w:rPr>
      </w:pPr>
      <w:r>
        <w:rPr>
          <w:rFonts w:hint="eastAsia" w:asciiTheme="minorEastAsia" w:hAnsiTheme="minorEastAsia" w:eastAsiaTheme="minorEastAsia"/>
          <w:sz w:val="24"/>
          <w:szCs w:val="24"/>
        </w:rPr>
        <w:t>提供电子签章导入功能，将制作好的电子签章通过本功能导入签章服务器中，并对电子签章进行相应管理设置，实现通过纳税人识别号调用对应的电子印章完成对发票版式文件的签章操作。</w:t>
      </w:r>
    </w:p>
    <w:p>
      <w:pPr>
        <w:pStyle w:val="6"/>
        <w:numPr>
          <w:ilvl w:val="4"/>
          <w:numId w:val="0"/>
        </w:numPr>
        <w:spacing w:before="0" w:after="0" w:line="360" w:lineRule="auto"/>
        <w:ind w:firstLine="420" w:firstLineChars="0"/>
      </w:pPr>
      <w:r>
        <w:rPr>
          <w:rFonts w:hint="eastAsia"/>
          <w:lang w:val="en-US" w:eastAsia="zh-CN"/>
        </w:rPr>
        <w:t xml:space="preserve"> </w:t>
      </w:r>
      <w:bookmarkStart w:id="85" w:name="_Toc17979"/>
      <w:r>
        <w:rPr>
          <w:rFonts w:hint="eastAsia"/>
        </w:rPr>
        <w:t>模板管理</w:t>
      </w:r>
      <w:bookmarkEnd w:id="85"/>
    </w:p>
    <w:p>
      <w:pPr>
        <w:pStyle w:val="56"/>
        <w:spacing w:line="360" w:lineRule="auto"/>
        <w:ind w:firstLine="420"/>
        <w:rPr>
          <w:rFonts w:hint="eastAsia" w:asciiTheme="minorEastAsia" w:hAnsiTheme="minorEastAsia" w:eastAsiaTheme="minorEastAsia"/>
          <w:szCs w:val="21"/>
        </w:rPr>
      </w:pPr>
      <w:r>
        <w:rPr>
          <w:rFonts w:hint="eastAsia" w:asciiTheme="minorEastAsia" w:hAnsiTheme="minorEastAsia" w:eastAsiaTheme="minorEastAsia"/>
          <w:sz w:val="24"/>
          <w:szCs w:val="24"/>
        </w:rPr>
        <w:t>提供电子发票模板维护功能，通过本模块实现电子发票PDF模板的新增、编辑、删除等操作。为电子发票生成的版式配置相应的模板。</w:t>
      </w:r>
    </w:p>
    <w:p>
      <w:pPr>
        <w:pStyle w:val="6"/>
        <w:numPr>
          <w:ilvl w:val="4"/>
          <w:numId w:val="0"/>
        </w:numPr>
        <w:spacing w:before="0" w:after="0" w:line="360" w:lineRule="auto"/>
        <w:ind w:left="402" w:leftChars="0"/>
      </w:pPr>
      <w:bookmarkStart w:id="86" w:name="_Toc442308279"/>
      <w:bookmarkStart w:id="87" w:name="_Toc28424"/>
      <w:r>
        <w:rPr>
          <w:rFonts w:hint="eastAsia"/>
        </w:rPr>
        <w:t>4.3.16</w:t>
      </w:r>
      <w:r>
        <w:t>系统监控</w:t>
      </w:r>
      <w:bookmarkEnd w:id="86"/>
      <w:bookmarkEnd w:id="87"/>
    </w:p>
    <w:p>
      <w:pPr>
        <w:pStyle w:val="56"/>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提供开票服务器、外围辅助服务器的系统资源监控。进入监控页面，页面展示当前开票服务器的硬件资源使用状况，监控硬件含处理器、内存、磁盘等。</w:t>
      </w:r>
    </w:p>
    <w:p>
      <w:pPr>
        <w:pStyle w:val="56"/>
        <w:spacing w:line="360" w:lineRule="auto"/>
        <w:ind w:firstLine="42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对</w:t>
      </w:r>
      <w:r>
        <w:rPr>
          <w:rFonts w:hint="eastAsia" w:asciiTheme="minorEastAsia" w:hAnsiTheme="minorEastAsia" w:eastAsiaTheme="minorEastAsia"/>
          <w:sz w:val="24"/>
          <w:szCs w:val="24"/>
          <w:lang w:eastAsia="zh-CN"/>
        </w:rPr>
        <w:t>发票管理系统</w:t>
      </w:r>
      <w:r>
        <w:rPr>
          <w:rFonts w:hint="eastAsia" w:asciiTheme="minorEastAsia" w:hAnsiTheme="minorEastAsia" w:eastAsiaTheme="minorEastAsia"/>
          <w:sz w:val="24"/>
          <w:szCs w:val="24"/>
        </w:rPr>
        <w:t>的系统资源、硬件设备、税控设备进行监控，当出现系统异常时提供预警和错误日志记录。</w:t>
      </w:r>
    </w:p>
    <w:p>
      <w:pPr>
        <w:pStyle w:val="6"/>
        <w:numPr>
          <w:ilvl w:val="4"/>
          <w:numId w:val="0"/>
        </w:numPr>
        <w:spacing w:before="0" w:after="0" w:line="360" w:lineRule="auto"/>
        <w:ind w:left="402" w:leftChars="0"/>
      </w:pPr>
      <w:bookmarkStart w:id="88" w:name="_Toc442308289"/>
      <w:bookmarkStart w:id="89" w:name="_Toc23749"/>
      <w:r>
        <w:rPr>
          <w:rFonts w:hint="eastAsia"/>
        </w:rPr>
        <w:t>4.4.</w:t>
      </w:r>
      <w:r>
        <w:rPr>
          <w:rFonts w:hint="eastAsia"/>
          <w:lang w:val="en-US" w:eastAsia="zh-CN"/>
        </w:rPr>
        <w:t>17</w:t>
      </w:r>
      <w:r>
        <w:rPr>
          <w:rFonts w:hint="eastAsia"/>
        </w:rPr>
        <w:t>电子发票同步服务</w:t>
      </w:r>
      <w:bookmarkEnd w:id="88"/>
      <w:bookmarkEnd w:id="89"/>
    </w:p>
    <w:p>
      <w:pPr>
        <w:pStyle w:val="56"/>
        <w:spacing w:line="360" w:lineRule="auto"/>
        <w:ind w:firstLine="420"/>
        <w:rPr>
          <w:rFonts w:hint="eastAsia" w:asciiTheme="minorEastAsia" w:hAnsiTheme="minorEastAsia" w:eastAsiaTheme="minorEastAsia"/>
          <w:szCs w:val="21"/>
        </w:rPr>
      </w:pPr>
      <w:r>
        <w:rPr>
          <w:rFonts w:hint="eastAsia" w:asciiTheme="minorEastAsia" w:hAnsiTheme="minorEastAsia" w:eastAsiaTheme="minorEastAsia"/>
          <w:sz w:val="24"/>
          <w:szCs w:val="24"/>
        </w:rPr>
        <w:t>提供与第三方电子发票服务平台见的发票信息上传、抓取等服务，可将生成的电子发票版式文件上传至第三方电子发票服务平台，也可根据发票代码、号码、税控码或开票日期起止以及抬头为公司名称等检索条件从第三方电子发票服务平台单张、批量抓取电子发票。</w:t>
      </w:r>
    </w:p>
    <w:p>
      <w:pPr>
        <w:pStyle w:val="56"/>
        <w:spacing w:line="360" w:lineRule="auto"/>
        <w:ind w:firstLine="420"/>
        <w:rPr>
          <w:rFonts w:hint="eastAsia" w:asciiTheme="minorEastAsia" w:hAnsiTheme="minorEastAsia" w:eastAsiaTheme="minorEastAsia"/>
          <w:szCs w:val="21"/>
        </w:rPr>
      </w:pPr>
    </w:p>
    <w:p>
      <w:pPr>
        <w:pStyle w:val="5"/>
        <w:numPr>
          <w:ilvl w:val="3"/>
          <w:numId w:val="0"/>
        </w:numPr>
        <w:spacing w:before="0" w:after="0" w:line="360" w:lineRule="auto"/>
        <w:ind w:left="402" w:leftChars="0"/>
      </w:pPr>
      <w:bookmarkStart w:id="90" w:name="_Toc1360"/>
      <w:r>
        <w:rPr>
          <w:rFonts w:hint="eastAsia"/>
        </w:rPr>
        <w:t>4.4 发票服务平台</w:t>
      </w:r>
      <w:bookmarkEnd w:id="90"/>
    </w:p>
    <w:p>
      <w:pPr>
        <w:pStyle w:val="6"/>
        <w:numPr>
          <w:ilvl w:val="4"/>
          <w:numId w:val="0"/>
        </w:numPr>
        <w:spacing w:before="0" w:after="0" w:line="360" w:lineRule="auto"/>
        <w:ind w:left="402" w:leftChars="0"/>
      </w:pPr>
      <w:bookmarkStart w:id="91" w:name="_Toc30683"/>
      <w:r>
        <w:rPr>
          <w:rFonts w:hint="eastAsia"/>
        </w:rPr>
        <w:t>4.4.</w:t>
      </w:r>
      <w:r>
        <w:rPr>
          <w:rFonts w:hint="eastAsia"/>
          <w:lang w:val="en-US" w:eastAsia="zh-CN"/>
        </w:rPr>
        <w:t>1发票查询</w:t>
      </w:r>
      <w:bookmarkEnd w:id="91"/>
    </w:p>
    <w:p>
      <w:pPr>
        <w:pStyle w:val="56"/>
        <w:spacing w:line="360" w:lineRule="auto"/>
        <w:ind w:firstLine="420"/>
        <w:rPr>
          <w:rFonts w:asciiTheme="minorEastAsia" w:hAnsiTheme="minorEastAsia" w:eastAsiaTheme="minorEastAsia"/>
          <w:szCs w:val="21"/>
        </w:rPr>
      </w:pPr>
      <w:r>
        <w:rPr>
          <w:rFonts w:hint="eastAsia" w:asciiTheme="minorEastAsia" w:hAnsiTheme="minorEastAsia" w:eastAsiaTheme="minorEastAsia"/>
          <w:sz w:val="24"/>
          <w:szCs w:val="24"/>
          <w:lang w:val="en-US" w:eastAsia="zh-CN"/>
        </w:rPr>
        <w:t>发票查询提供给各个系统或用户发票查询的功能</w:t>
      </w:r>
      <w:r>
        <w:rPr>
          <w:rFonts w:hint="eastAsia" w:asciiTheme="minorEastAsia" w:hAnsiTheme="minorEastAsia" w:eastAsiaTheme="minorEastAsia"/>
          <w:sz w:val="24"/>
          <w:szCs w:val="24"/>
        </w:rPr>
        <w:t>。</w:t>
      </w:r>
    </w:p>
    <w:p>
      <w:pPr>
        <w:pStyle w:val="6"/>
        <w:numPr>
          <w:ilvl w:val="4"/>
          <w:numId w:val="0"/>
        </w:numPr>
        <w:spacing w:before="0" w:after="0" w:line="360" w:lineRule="auto"/>
        <w:ind w:left="402" w:leftChars="0"/>
      </w:pPr>
      <w:bookmarkStart w:id="92" w:name="_Toc22377"/>
      <w:r>
        <w:rPr>
          <w:rFonts w:hint="eastAsia"/>
        </w:rPr>
        <w:t>4.4.</w:t>
      </w:r>
      <w:r>
        <w:rPr>
          <w:rFonts w:hint="eastAsia"/>
          <w:lang w:val="en-US" w:eastAsia="zh-CN"/>
        </w:rPr>
        <w:t>2发票验证</w:t>
      </w:r>
      <w:bookmarkEnd w:id="92"/>
    </w:p>
    <w:p>
      <w:pPr>
        <w:pStyle w:val="56"/>
        <w:spacing w:line="360" w:lineRule="auto"/>
        <w:ind w:firstLine="420"/>
        <w:rPr>
          <w:rFonts w:asciiTheme="minorEastAsia" w:hAnsiTheme="minorEastAsia" w:eastAsiaTheme="minorEastAsia"/>
          <w:szCs w:val="21"/>
        </w:rPr>
      </w:pPr>
      <w:r>
        <w:rPr>
          <w:rFonts w:hint="eastAsia" w:asciiTheme="minorEastAsia" w:hAnsiTheme="minorEastAsia" w:eastAsiaTheme="minorEastAsia"/>
          <w:sz w:val="24"/>
          <w:szCs w:val="24"/>
          <w:lang w:val="en-US" w:eastAsia="zh-CN"/>
        </w:rPr>
        <w:t>发票验证提供对用户输入的发票信息验证</w:t>
      </w:r>
      <w:r>
        <w:rPr>
          <w:rFonts w:hint="eastAsia" w:asciiTheme="minorEastAsia" w:hAnsiTheme="minorEastAsia" w:eastAsiaTheme="minorEastAsia"/>
          <w:sz w:val="24"/>
          <w:szCs w:val="24"/>
        </w:rPr>
        <w:t>。</w:t>
      </w:r>
    </w:p>
    <w:p>
      <w:pPr>
        <w:pStyle w:val="6"/>
        <w:numPr>
          <w:ilvl w:val="4"/>
          <w:numId w:val="0"/>
        </w:numPr>
        <w:spacing w:before="0" w:after="0" w:line="360" w:lineRule="auto"/>
        <w:ind w:firstLine="420" w:firstLineChars="0"/>
      </w:pPr>
      <w:bookmarkStart w:id="93" w:name="_Toc24610"/>
      <w:r>
        <w:rPr>
          <w:rFonts w:hint="eastAsia"/>
        </w:rPr>
        <w:t>4.4.</w:t>
      </w:r>
      <w:r>
        <w:rPr>
          <w:rFonts w:hint="eastAsia"/>
          <w:lang w:val="en-US" w:eastAsia="zh-CN"/>
        </w:rPr>
        <w:t>3发票下载</w:t>
      </w:r>
      <w:bookmarkEnd w:id="93"/>
    </w:p>
    <w:p>
      <w:pPr>
        <w:pStyle w:val="56"/>
        <w:spacing w:line="360" w:lineRule="auto"/>
        <w:ind w:firstLine="420"/>
        <w:rPr>
          <w:rFonts w:asciiTheme="minorEastAsia" w:hAnsiTheme="minorEastAsia" w:eastAsiaTheme="minorEastAsia"/>
          <w:szCs w:val="21"/>
        </w:rPr>
      </w:pPr>
      <w:r>
        <w:rPr>
          <w:rFonts w:hint="eastAsia" w:asciiTheme="minorEastAsia" w:hAnsiTheme="minorEastAsia" w:eastAsiaTheme="minorEastAsia"/>
          <w:sz w:val="24"/>
          <w:szCs w:val="24"/>
        </w:rPr>
        <w:t>提供电子发票</w:t>
      </w:r>
      <w:r>
        <w:rPr>
          <w:rFonts w:hint="eastAsia" w:asciiTheme="minorEastAsia" w:hAnsiTheme="minorEastAsia" w:eastAsiaTheme="minorEastAsia"/>
          <w:sz w:val="24"/>
          <w:szCs w:val="24"/>
          <w:lang w:val="en-US" w:eastAsia="zh-CN"/>
        </w:rPr>
        <w:t>的各种下载功能</w:t>
      </w:r>
      <w:r>
        <w:rPr>
          <w:rFonts w:hint="eastAsia" w:asciiTheme="minorEastAsia" w:hAnsiTheme="minorEastAsia" w:eastAsiaTheme="minorEastAsia"/>
          <w:sz w:val="24"/>
          <w:szCs w:val="24"/>
        </w:rPr>
        <w:t>。</w:t>
      </w:r>
    </w:p>
    <w:p>
      <w:pPr>
        <w:pStyle w:val="56"/>
        <w:spacing w:line="360" w:lineRule="auto"/>
        <w:ind w:firstLine="420"/>
        <w:rPr>
          <w:rFonts w:asciiTheme="minorEastAsia" w:hAnsiTheme="minorEastAsia" w:eastAsiaTheme="minorEastAsia"/>
          <w:szCs w:val="21"/>
        </w:rPr>
      </w:pPr>
    </w:p>
    <w:p>
      <w:pPr>
        <w:pStyle w:val="56"/>
        <w:spacing w:line="360" w:lineRule="auto"/>
        <w:ind w:firstLine="420"/>
        <w:rPr>
          <w:rFonts w:asciiTheme="minorEastAsia" w:hAnsiTheme="minorEastAsia" w:eastAsiaTheme="minorEastAsia"/>
          <w:szCs w:val="21"/>
        </w:rPr>
      </w:pPr>
    </w:p>
    <w:p>
      <w:pPr>
        <w:spacing w:line="360" w:lineRule="auto"/>
      </w:pPr>
    </w:p>
    <w:p>
      <w:pPr>
        <w:pStyle w:val="3"/>
        <w:numPr>
          <w:ilvl w:val="1"/>
          <w:numId w:val="3"/>
        </w:numPr>
        <w:spacing w:before="0" w:after="0" w:line="360" w:lineRule="auto"/>
        <w:ind w:left="0" w:leftChars="0" w:firstLine="402" w:firstLineChars="0"/>
      </w:pPr>
      <w:bookmarkStart w:id="94" w:name="_Toc10490"/>
      <w:r>
        <w:rPr>
          <w:rFonts w:hint="eastAsia"/>
        </w:rPr>
        <w:t>3.2 数据整合说明及建议</w:t>
      </w:r>
      <w:bookmarkEnd w:id="94"/>
    </w:p>
    <w:p>
      <w:pPr>
        <w:pStyle w:val="4"/>
        <w:numPr>
          <w:ilvl w:val="2"/>
          <w:numId w:val="3"/>
        </w:numPr>
        <w:spacing w:before="0" w:after="0" w:line="360" w:lineRule="auto"/>
        <w:ind w:left="0" w:leftChars="0" w:firstLine="402" w:firstLineChars="0"/>
      </w:pPr>
      <w:bookmarkStart w:id="95" w:name="_Toc23003"/>
      <w:bookmarkStart w:id="96" w:name="_Toc442308297"/>
      <w:r>
        <w:rPr>
          <w:rFonts w:hint="eastAsia"/>
        </w:rPr>
        <w:t>3.2.1 核心接口设计及实现方式</w:t>
      </w:r>
      <w:bookmarkEnd w:id="95"/>
      <w:bookmarkEnd w:id="96"/>
    </w:p>
    <w:p>
      <w:pPr>
        <w:spacing w:line="360" w:lineRule="auto"/>
      </w:pPr>
      <w:r>
        <mc:AlternateContent>
          <mc:Choice Requires="wpg">
            <w:drawing>
              <wp:inline distT="0" distB="0" distL="0" distR="0">
                <wp:extent cx="5278120" cy="4107815"/>
                <wp:effectExtent l="0" t="0" r="0" b="0"/>
                <wp:docPr id="199" name="组合 199"/>
                <wp:cNvGraphicFramePr/>
                <a:graphic xmlns:a="http://schemas.openxmlformats.org/drawingml/2006/main">
                  <a:graphicData uri="http://schemas.microsoft.com/office/word/2010/wordprocessingGroup">
                    <wpg:wgp>
                      <wpg:cNvGrpSpPr/>
                      <wpg:grpSpPr>
                        <a:xfrm>
                          <a:off x="0" y="0"/>
                          <a:ext cx="5278120" cy="4107815"/>
                          <a:chOff x="0" y="0"/>
                          <a:chExt cx="8312" cy="6469"/>
                        </a:xfrm>
                      </wpg:grpSpPr>
                      <wps:wsp>
                        <wps:cNvPr id="200" name="Picture 3616"/>
                        <wps:cNvSpPr>
                          <a:spLocks noChangeAspect="1" noChangeArrowheads="1" noTextEdit="1"/>
                        </wps:cNvSpPr>
                        <wps:spPr bwMode="auto">
                          <a:xfrm>
                            <a:off x="0" y="0"/>
                            <a:ext cx="8312" cy="6469"/>
                          </a:xfrm>
                          <a:prstGeom prst="rect">
                            <a:avLst/>
                          </a:prstGeom>
                          <a:noFill/>
                          <a:ln>
                            <a:noFill/>
                          </a:ln>
                        </wps:spPr>
                        <wps:bodyPr rot="0" vert="horz" wrap="square" lIns="91440" tIns="45720" rIns="91440" bIns="45720" anchor="t" anchorCtr="0" upright="1">
                          <a:noAutofit/>
                        </wps:bodyPr>
                      </wps:wsp>
                      <wps:wsp>
                        <wps:cNvPr id="201" name="Rectangle 3617"/>
                        <wps:cNvSpPr>
                          <a:spLocks noChangeArrowheads="1"/>
                        </wps:cNvSpPr>
                        <wps:spPr bwMode="auto">
                          <a:xfrm>
                            <a:off x="5436" y="2496"/>
                            <a:ext cx="2664" cy="2184"/>
                          </a:xfrm>
                          <a:prstGeom prst="rect">
                            <a:avLst/>
                          </a:prstGeom>
                          <a:solidFill>
                            <a:srgbClr val="FFFF99"/>
                          </a:solidFill>
                          <a:ln w="12700" cmpd="sng">
                            <a:solidFill>
                              <a:srgbClr val="000000"/>
                            </a:solidFill>
                            <a:miter lim="800000"/>
                          </a:ln>
                          <a:effectLst>
                            <a:outerShdw dist="107763" dir="2700000" algn="ctr" rotWithShape="0">
                              <a:srgbClr val="969696"/>
                            </a:outerShdw>
                          </a:effectLst>
                        </wps:spPr>
                        <wps:bodyPr rot="0" vert="horz" wrap="none" lIns="91440" tIns="45720" rIns="91440" bIns="45720" anchor="ctr" anchorCtr="0" upright="1">
                          <a:noAutofit/>
                        </wps:bodyPr>
                      </wps:wsp>
                      <wps:wsp>
                        <wps:cNvPr id="202" name="Rectangle 3618"/>
                        <wps:cNvSpPr>
                          <a:spLocks noChangeArrowheads="1"/>
                        </wps:cNvSpPr>
                        <wps:spPr bwMode="auto">
                          <a:xfrm>
                            <a:off x="227" y="490"/>
                            <a:ext cx="1501" cy="4291"/>
                          </a:xfrm>
                          <a:prstGeom prst="rect">
                            <a:avLst/>
                          </a:prstGeom>
                          <a:solidFill>
                            <a:srgbClr val="FFFFFF">
                              <a:alpha val="50000"/>
                            </a:srgbClr>
                          </a:solidFill>
                          <a:ln w="12700" cmpd="sng">
                            <a:solidFill>
                              <a:srgbClr val="000000"/>
                            </a:solidFill>
                            <a:prstDash val="dash"/>
                            <a:miter lim="800000"/>
                          </a:ln>
                          <a:effectLst/>
                        </wps:spPr>
                        <wps:bodyPr rot="0" vert="horz" wrap="none" lIns="91440" tIns="45720" rIns="91440" bIns="45720" anchor="ctr" anchorCtr="0" upright="1">
                          <a:noAutofit/>
                        </wps:bodyPr>
                      </wps:wsp>
                      <wps:wsp>
                        <wps:cNvPr id="203" name="Rectangle 3619"/>
                        <wps:cNvSpPr>
                          <a:spLocks noChangeArrowheads="1"/>
                        </wps:cNvSpPr>
                        <wps:spPr bwMode="auto">
                          <a:xfrm>
                            <a:off x="5400" y="2496"/>
                            <a:ext cx="2653" cy="2259"/>
                          </a:xfrm>
                          <a:prstGeom prst="rect">
                            <a:avLst/>
                          </a:prstGeom>
                          <a:solidFill>
                            <a:srgbClr val="FFFFFF">
                              <a:alpha val="50000"/>
                            </a:srgbClr>
                          </a:solidFill>
                          <a:ln w="12700" cmpd="sng">
                            <a:solidFill>
                              <a:srgbClr val="000000"/>
                            </a:solidFill>
                            <a:prstDash val="dash"/>
                            <a:miter lim="800000"/>
                          </a:ln>
                          <a:effectLst/>
                        </wps:spPr>
                        <wps:bodyPr rot="0" vert="horz" wrap="none" lIns="91440" tIns="45720" rIns="91440" bIns="45720" anchor="ctr" anchorCtr="0" upright="1">
                          <a:noAutofit/>
                        </wps:bodyPr>
                      </wps:wsp>
                      <wps:wsp>
                        <wps:cNvPr id="204" name="Rectangle 3620"/>
                        <wps:cNvSpPr>
                          <a:spLocks noChangeArrowheads="1"/>
                        </wps:cNvSpPr>
                        <wps:spPr bwMode="auto">
                          <a:xfrm>
                            <a:off x="2412" y="1248"/>
                            <a:ext cx="2448" cy="3536"/>
                          </a:xfrm>
                          <a:prstGeom prst="rect">
                            <a:avLst/>
                          </a:prstGeom>
                          <a:solidFill>
                            <a:srgbClr val="00CC99"/>
                          </a:solidFill>
                          <a:ln w="12700" cmpd="sng">
                            <a:solidFill>
                              <a:srgbClr val="000000"/>
                            </a:solidFill>
                            <a:prstDash val="dash"/>
                            <a:miter lim="800000"/>
                          </a:ln>
                          <a:effectLst/>
                        </wps:spPr>
                        <wps:bodyPr rot="0" vert="horz" wrap="none" lIns="91440" tIns="45720" rIns="91440" bIns="45720" anchor="ctr" anchorCtr="0" upright="1">
                          <a:noAutofit/>
                        </wps:bodyPr>
                      </wps:wsp>
                      <wps:wsp>
                        <wps:cNvPr id="205" name="Line 3621"/>
                        <wps:cNvCnPr/>
                        <wps:spPr bwMode="auto">
                          <a:xfrm>
                            <a:off x="73" y="283"/>
                            <a:ext cx="8196" cy="0"/>
                          </a:xfrm>
                          <a:prstGeom prst="line">
                            <a:avLst/>
                          </a:prstGeom>
                          <a:noFill/>
                          <a:ln w="50800" cmpd="sng">
                            <a:solidFill>
                              <a:srgbClr val="000000"/>
                            </a:solidFill>
                            <a:round/>
                          </a:ln>
                          <a:effectLst/>
                        </wps:spPr>
                        <wps:bodyPr/>
                      </wps:wsp>
                      <wps:wsp>
                        <wps:cNvPr id="206" name="Line 3622"/>
                        <wps:cNvCnPr/>
                        <wps:spPr bwMode="auto">
                          <a:xfrm>
                            <a:off x="71" y="285"/>
                            <a:ext cx="0" cy="6129"/>
                          </a:xfrm>
                          <a:prstGeom prst="line">
                            <a:avLst/>
                          </a:prstGeom>
                          <a:noFill/>
                          <a:ln w="50800" cmpd="sng">
                            <a:solidFill>
                              <a:srgbClr val="000000"/>
                            </a:solidFill>
                            <a:round/>
                          </a:ln>
                          <a:effectLst/>
                        </wps:spPr>
                        <wps:bodyPr/>
                      </wps:wsp>
                      <wps:wsp>
                        <wps:cNvPr id="207" name="Line 3623"/>
                        <wps:cNvCnPr/>
                        <wps:spPr bwMode="auto">
                          <a:xfrm>
                            <a:off x="8296" y="298"/>
                            <a:ext cx="3" cy="6128"/>
                          </a:xfrm>
                          <a:prstGeom prst="line">
                            <a:avLst/>
                          </a:prstGeom>
                          <a:noFill/>
                          <a:ln w="50800" cmpd="sng">
                            <a:solidFill>
                              <a:srgbClr val="000000"/>
                            </a:solidFill>
                            <a:round/>
                          </a:ln>
                          <a:effectLst/>
                        </wps:spPr>
                        <wps:bodyPr/>
                      </wps:wsp>
                      <wps:wsp>
                        <wps:cNvPr id="208" name="Line 3624"/>
                        <wps:cNvCnPr/>
                        <wps:spPr bwMode="auto">
                          <a:xfrm flipV="1">
                            <a:off x="73" y="6400"/>
                            <a:ext cx="8239" cy="14"/>
                          </a:xfrm>
                          <a:prstGeom prst="line">
                            <a:avLst/>
                          </a:prstGeom>
                          <a:noFill/>
                          <a:ln w="50800" cmpd="sng">
                            <a:solidFill>
                              <a:srgbClr val="000000"/>
                            </a:solidFill>
                            <a:round/>
                          </a:ln>
                          <a:effectLst/>
                        </wps:spPr>
                        <wps:bodyPr/>
                      </wps:wsp>
                      <wps:wsp>
                        <wps:cNvPr id="209" name="Rectangle 3625"/>
                        <wps:cNvSpPr>
                          <a:spLocks noChangeArrowheads="1"/>
                        </wps:cNvSpPr>
                        <wps:spPr bwMode="auto">
                          <a:xfrm>
                            <a:off x="2608" y="1560"/>
                            <a:ext cx="2124" cy="2976"/>
                          </a:xfrm>
                          <a:prstGeom prst="rect">
                            <a:avLst/>
                          </a:prstGeom>
                          <a:solidFill>
                            <a:srgbClr val="00CC99"/>
                          </a:solidFill>
                          <a:ln w="12700" cmpd="sng">
                            <a:solidFill>
                              <a:srgbClr val="000000"/>
                            </a:solidFill>
                            <a:miter lim="800000"/>
                          </a:ln>
                          <a:effectLst>
                            <a:outerShdw dist="107763" dir="2700000" algn="ctr" rotWithShape="0">
                              <a:srgbClr val="969696"/>
                            </a:outerShdw>
                          </a:effectLst>
                        </wps:spPr>
                        <wps:bodyPr rot="0" vert="horz" wrap="none" lIns="91440" tIns="45720" rIns="91440" bIns="45720" anchor="ctr" anchorCtr="0" upright="1">
                          <a:noAutofit/>
                        </wps:bodyPr>
                      </wps:wsp>
                      <wps:wsp>
                        <wps:cNvPr id="210" name="Rectangle 3626"/>
                        <wps:cNvSpPr>
                          <a:spLocks noChangeArrowheads="1"/>
                        </wps:cNvSpPr>
                        <wps:spPr bwMode="auto">
                          <a:xfrm>
                            <a:off x="277" y="5131"/>
                            <a:ext cx="4358" cy="479"/>
                          </a:xfrm>
                          <a:prstGeom prst="rect">
                            <a:avLst/>
                          </a:prstGeom>
                          <a:noFill/>
                          <a:ln>
                            <a:noFill/>
                          </a:ln>
                          <a:effectLst/>
                        </wps:spPr>
                        <wps:txbx>
                          <w:txbxContent>
                            <w:p>
                              <w:pPr>
                                <w:autoSpaceDE w:val="0"/>
                                <w:autoSpaceDN w:val="0"/>
                                <w:adjustRightInd w:val="0"/>
                                <w:rPr>
                                  <w:rFonts w:cs="宋体"/>
                                  <w:color w:val="000000"/>
                                  <w:sz w:val="15"/>
                                  <w:lang w:val="zh-CN"/>
                                </w:rPr>
                              </w:pPr>
                              <w:r>
                                <w:rPr>
                                  <w:rFonts w:hint="eastAsia" w:cs="宋体"/>
                                  <w:color w:val="000000"/>
                                  <w:sz w:val="15"/>
                                  <w:lang w:val="zh-CN"/>
                                </w:rPr>
                                <w:t>注：白色虚线框内所有系统及改造由</w:t>
                              </w:r>
                              <w:r>
                                <w:rPr>
                                  <w:rFonts w:hint="eastAsia" w:cs="宋体"/>
                                  <w:color w:val="000000"/>
                                  <w:sz w:val="15"/>
                                  <w:lang w:val="en-US" w:eastAsia="zh-CN"/>
                                </w:rPr>
                                <w:t>xx交通</w:t>
                              </w:r>
                              <w:r>
                                <w:rPr>
                                  <w:rFonts w:hint="eastAsia" w:cs="宋体"/>
                                  <w:color w:val="000000"/>
                                  <w:sz w:val="15"/>
                                </w:rPr>
                                <w:t>集团</w:t>
                              </w:r>
                              <w:r>
                                <w:rPr>
                                  <w:rFonts w:hint="eastAsia" w:cs="宋体"/>
                                  <w:color w:val="000000"/>
                                  <w:sz w:val="15"/>
                                  <w:lang w:val="zh-CN"/>
                                </w:rPr>
                                <w:t>负责，绿色虚线框内所有设备由**信息负责。</w:t>
                              </w:r>
                            </w:p>
                          </w:txbxContent>
                        </wps:txbx>
                        <wps:bodyPr rot="0" vert="horz" wrap="square" lIns="57087" tIns="28544" rIns="57087" bIns="28544" anchor="t" anchorCtr="0" upright="1">
                          <a:spAutoFit/>
                        </wps:bodyPr>
                      </wps:wsp>
                      <wpg:grpSp>
                        <wpg:cNvPr id="211" name="Group 3627"/>
                        <wpg:cNvGrpSpPr/>
                        <wpg:grpSpPr>
                          <a:xfrm>
                            <a:off x="5102" y="5285"/>
                            <a:ext cx="3176" cy="1130"/>
                            <a:chOff x="0" y="0"/>
                            <a:chExt cx="2064" cy="734"/>
                          </a:xfrm>
                        </wpg:grpSpPr>
                        <wps:wsp>
                          <wps:cNvPr id="212" name="Line 3628"/>
                          <wps:cNvCnPr/>
                          <wps:spPr bwMode="auto">
                            <a:xfrm flipH="1">
                              <a:off x="7" y="0"/>
                              <a:ext cx="1768" cy="0"/>
                            </a:xfrm>
                            <a:prstGeom prst="line">
                              <a:avLst/>
                            </a:prstGeom>
                            <a:noFill/>
                            <a:ln w="12700" cmpd="sng">
                              <a:solidFill>
                                <a:srgbClr val="000000"/>
                              </a:solidFill>
                              <a:round/>
                            </a:ln>
                            <a:effectLst/>
                          </wps:spPr>
                          <wps:bodyPr/>
                        </wps:wsp>
                        <wps:wsp>
                          <wps:cNvPr id="213" name="Line 3629"/>
                          <wps:cNvCnPr/>
                          <wps:spPr bwMode="auto">
                            <a:xfrm>
                              <a:off x="0" y="55"/>
                              <a:ext cx="0" cy="665"/>
                            </a:xfrm>
                            <a:prstGeom prst="line">
                              <a:avLst/>
                            </a:prstGeom>
                            <a:noFill/>
                            <a:ln w="12700" cmpd="sng">
                              <a:solidFill>
                                <a:srgbClr val="000000"/>
                              </a:solidFill>
                              <a:round/>
                            </a:ln>
                            <a:effectLst/>
                          </wps:spPr>
                          <wps:bodyPr/>
                        </wps:wsp>
                        <wps:wsp>
                          <wps:cNvPr id="214" name="Line 3630"/>
                          <wps:cNvCnPr/>
                          <wps:spPr bwMode="auto">
                            <a:xfrm>
                              <a:off x="7" y="144"/>
                              <a:ext cx="1768" cy="0"/>
                            </a:xfrm>
                            <a:prstGeom prst="line">
                              <a:avLst/>
                            </a:prstGeom>
                            <a:noFill/>
                            <a:ln w="12700" cmpd="sng">
                              <a:solidFill>
                                <a:srgbClr val="000000"/>
                              </a:solidFill>
                              <a:round/>
                            </a:ln>
                            <a:effectLst/>
                          </wps:spPr>
                          <wps:bodyPr/>
                        </wps:wsp>
                        <wps:wsp>
                          <wps:cNvPr id="216" name="Line 3632"/>
                          <wps:cNvCnPr/>
                          <wps:spPr bwMode="auto">
                            <a:xfrm>
                              <a:off x="7" y="432"/>
                              <a:ext cx="1768" cy="0"/>
                            </a:xfrm>
                            <a:prstGeom prst="line">
                              <a:avLst/>
                            </a:prstGeom>
                            <a:noFill/>
                            <a:ln w="12700" cmpd="sng">
                              <a:solidFill>
                                <a:srgbClr val="000000"/>
                              </a:solidFill>
                              <a:round/>
                            </a:ln>
                            <a:effectLst/>
                          </wps:spPr>
                          <wps:bodyPr/>
                        </wps:wsp>
                        <wps:wsp>
                          <wps:cNvPr id="217" name="Line 3633"/>
                          <wps:cNvCnPr/>
                          <wps:spPr bwMode="auto">
                            <a:xfrm>
                              <a:off x="7" y="576"/>
                              <a:ext cx="1768" cy="0"/>
                            </a:xfrm>
                            <a:prstGeom prst="line">
                              <a:avLst/>
                            </a:prstGeom>
                            <a:noFill/>
                            <a:ln w="12700" cmpd="sng">
                              <a:solidFill>
                                <a:srgbClr val="000000"/>
                              </a:solidFill>
                              <a:round/>
                            </a:ln>
                            <a:effectLst/>
                          </wps:spPr>
                          <wps:bodyPr/>
                        </wps:wsp>
                        <wps:wsp>
                          <wps:cNvPr id="222" name="Line 3638"/>
                          <wps:cNvCnPr/>
                          <wps:spPr bwMode="auto">
                            <a:xfrm>
                              <a:off x="240" y="439"/>
                              <a:ext cx="0" cy="281"/>
                            </a:xfrm>
                            <a:prstGeom prst="line">
                              <a:avLst/>
                            </a:prstGeom>
                            <a:noFill/>
                            <a:ln w="12700" cmpd="sng">
                              <a:solidFill>
                                <a:srgbClr val="000000"/>
                              </a:solidFill>
                              <a:round/>
                            </a:ln>
                            <a:effectLst/>
                          </wps:spPr>
                          <wps:bodyPr/>
                        </wps:wsp>
                        <wps:wsp>
                          <wps:cNvPr id="223" name="Line 3639"/>
                          <wps:cNvCnPr/>
                          <wps:spPr bwMode="auto">
                            <a:xfrm>
                              <a:off x="528" y="439"/>
                              <a:ext cx="0" cy="281"/>
                            </a:xfrm>
                            <a:prstGeom prst="line">
                              <a:avLst/>
                            </a:prstGeom>
                            <a:noFill/>
                            <a:ln w="12700" cmpd="sng">
                              <a:solidFill>
                                <a:srgbClr val="000000"/>
                              </a:solidFill>
                              <a:round/>
                            </a:ln>
                            <a:effectLst/>
                          </wps:spPr>
                          <wps:bodyPr/>
                        </wps:wsp>
                        <wps:wsp>
                          <wps:cNvPr id="224" name="Line 3640"/>
                          <wps:cNvCnPr/>
                          <wps:spPr bwMode="auto">
                            <a:xfrm>
                              <a:off x="768" y="439"/>
                              <a:ext cx="0" cy="281"/>
                            </a:xfrm>
                            <a:prstGeom prst="line">
                              <a:avLst/>
                            </a:prstGeom>
                            <a:noFill/>
                            <a:ln w="12700" cmpd="sng">
                              <a:solidFill>
                                <a:srgbClr val="000000"/>
                              </a:solidFill>
                              <a:round/>
                            </a:ln>
                            <a:effectLst/>
                          </wps:spPr>
                          <wps:bodyPr/>
                        </wps:wsp>
                        <wps:wsp>
                          <wps:cNvPr id="225" name="Line 3641"/>
                          <wps:cNvCnPr/>
                          <wps:spPr bwMode="auto">
                            <a:xfrm>
                              <a:off x="1814" y="578"/>
                              <a:ext cx="0" cy="156"/>
                            </a:xfrm>
                            <a:prstGeom prst="line">
                              <a:avLst/>
                            </a:prstGeom>
                            <a:noFill/>
                            <a:ln w="12700" cmpd="sng">
                              <a:solidFill>
                                <a:srgbClr val="000000"/>
                              </a:solidFill>
                              <a:round/>
                            </a:ln>
                            <a:effectLst/>
                          </wps:spPr>
                          <wps:bodyPr/>
                        </wps:wsp>
                        <wps:wsp>
                          <wps:cNvPr id="226" name="Line 3642"/>
                          <wps:cNvCnPr/>
                          <wps:spPr bwMode="auto">
                            <a:xfrm>
                              <a:off x="1334" y="578"/>
                              <a:ext cx="0" cy="137"/>
                            </a:xfrm>
                            <a:prstGeom prst="line">
                              <a:avLst/>
                            </a:prstGeom>
                            <a:noFill/>
                            <a:ln w="12700" cmpd="sng">
                              <a:solidFill>
                                <a:srgbClr val="000000"/>
                              </a:solidFill>
                              <a:round/>
                            </a:ln>
                            <a:effectLst/>
                          </wps:spPr>
                          <wps:bodyPr/>
                        </wps:wsp>
                        <wps:wsp>
                          <wps:cNvPr id="227" name="Line 3643"/>
                          <wps:cNvCnPr/>
                          <wps:spPr bwMode="auto">
                            <a:xfrm>
                              <a:off x="1584" y="583"/>
                              <a:ext cx="0" cy="137"/>
                            </a:xfrm>
                            <a:prstGeom prst="line">
                              <a:avLst/>
                            </a:prstGeom>
                            <a:noFill/>
                            <a:ln w="12700" cmpd="sng">
                              <a:solidFill>
                                <a:srgbClr val="000000"/>
                              </a:solidFill>
                              <a:round/>
                            </a:ln>
                            <a:effectLst/>
                          </wps:spPr>
                          <wps:bodyPr/>
                        </wps:wsp>
                        <wps:wsp>
                          <wps:cNvPr id="228" name="Line 3644"/>
                          <wps:cNvCnPr/>
                          <wps:spPr bwMode="auto">
                            <a:xfrm>
                              <a:off x="1104" y="439"/>
                              <a:ext cx="0" cy="281"/>
                            </a:xfrm>
                            <a:prstGeom prst="line">
                              <a:avLst/>
                            </a:prstGeom>
                            <a:noFill/>
                            <a:ln w="12700" cmpd="sng">
                              <a:solidFill>
                                <a:srgbClr val="000000"/>
                              </a:solidFill>
                              <a:round/>
                            </a:ln>
                            <a:effectLst/>
                          </wps:spPr>
                          <wps:bodyPr/>
                        </wps:wsp>
                        <wps:wsp>
                          <wps:cNvPr id="229" name="Line 3645"/>
                          <wps:cNvCnPr/>
                          <wps:spPr bwMode="auto">
                            <a:xfrm>
                              <a:off x="1334" y="434"/>
                              <a:ext cx="0" cy="137"/>
                            </a:xfrm>
                            <a:prstGeom prst="line">
                              <a:avLst/>
                            </a:prstGeom>
                            <a:noFill/>
                            <a:ln w="12700" cmpd="sng">
                              <a:solidFill>
                                <a:srgbClr val="000000"/>
                              </a:solidFill>
                              <a:round/>
                            </a:ln>
                            <a:effectLst/>
                          </wps:spPr>
                          <wps:bodyPr/>
                        </wps:wsp>
                        <wps:wsp>
                          <wps:cNvPr id="230" name="Line 3646"/>
                          <wps:cNvCnPr/>
                          <wps:spPr bwMode="auto">
                            <a:xfrm>
                              <a:off x="1783" y="432"/>
                              <a:ext cx="281" cy="0"/>
                            </a:xfrm>
                            <a:prstGeom prst="line">
                              <a:avLst/>
                            </a:prstGeom>
                            <a:noFill/>
                            <a:ln w="12700" cmpd="sng">
                              <a:solidFill>
                                <a:srgbClr val="000000"/>
                              </a:solidFill>
                              <a:round/>
                            </a:ln>
                            <a:effectLst/>
                          </wps:spPr>
                          <wps:bodyPr/>
                        </wps:wsp>
                        <wps:wsp>
                          <wps:cNvPr id="231" name="Line 3647"/>
                          <wps:cNvCnPr/>
                          <wps:spPr bwMode="auto">
                            <a:xfrm>
                              <a:off x="1783" y="576"/>
                              <a:ext cx="281" cy="0"/>
                            </a:xfrm>
                            <a:prstGeom prst="line">
                              <a:avLst/>
                            </a:prstGeom>
                            <a:noFill/>
                            <a:ln w="12700" cmpd="sng">
                              <a:solidFill>
                                <a:srgbClr val="000000"/>
                              </a:solidFill>
                              <a:round/>
                            </a:ln>
                            <a:effectLst/>
                          </wps:spPr>
                          <wps:bodyPr/>
                        </wps:wsp>
                        <wps:wsp>
                          <wps:cNvPr id="232" name="Line 3648"/>
                          <wps:cNvCnPr/>
                          <wps:spPr bwMode="auto">
                            <a:xfrm>
                              <a:off x="7" y="288"/>
                              <a:ext cx="2056" cy="0"/>
                            </a:xfrm>
                            <a:prstGeom prst="line">
                              <a:avLst/>
                            </a:prstGeom>
                            <a:noFill/>
                            <a:ln w="12700" cmpd="sng">
                              <a:solidFill>
                                <a:srgbClr val="000000"/>
                              </a:solidFill>
                              <a:round/>
                            </a:ln>
                            <a:effectLst/>
                          </wps:spPr>
                          <wps:bodyPr/>
                        </wps:wsp>
                        <wps:wsp>
                          <wps:cNvPr id="233" name="Line 3649"/>
                          <wps:cNvCnPr/>
                          <wps:spPr bwMode="auto">
                            <a:xfrm>
                              <a:off x="0" y="2"/>
                              <a:ext cx="0" cy="94"/>
                            </a:xfrm>
                            <a:prstGeom prst="line">
                              <a:avLst/>
                            </a:prstGeom>
                            <a:noFill/>
                            <a:ln w="12700" cmpd="sng">
                              <a:solidFill>
                                <a:srgbClr val="000000"/>
                              </a:solidFill>
                              <a:round/>
                            </a:ln>
                            <a:effectLst/>
                          </wps:spPr>
                          <wps:bodyPr/>
                        </wps:wsp>
                        <wps:wsp>
                          <wps:cNvPr id="238" name="Rectangle 3654"/>
                          <wps:cNvSpPr>
                            <a:spLocks noChangeArrowheads="1"/>
                          </wps:cNvSpPr>
                          <wps:spPr bwMode="auto">
                            <a:xfrm>
                              <a:off x="0" y="0"/>
                              <a:ext cx="480" cy="144"/>
                            </a:xfrm>
                            <a:prstGeom prst="rect">
                              <a:avLst/>
                            </a:prstGeom>
                            <a:noFill/>
                            <a:ln>
                              <a:noFill/>
                            </a:ln>
                            <a:effectLst/>
                          </wps:spPr>
                          <wps:txbx>
                            <w:txbxContent>
                              <w:p>
                                <w:pPr>
                                  <w:autoSpaceDE w:val="0"/>
                                  <w:autoSpaceDN w:val="0"/>
                                  <w:adjustRightInd w:val="0"/>
                                  <w:rPr>
                                    <w:rFonts w:cs="宋体"/>
                                    <w:color w:val="000000"/>
                                    <w:sz w:val="11"/>
                                    <w:szCs w:val="18"/>
                                    <w:lang w:val="zh-CN"/>
                                  </w:rPr>
                                </w:pPr>
                              </w:p>
                            </w:txbxContent>
                          </wps:txbx>
                          <wps:bodyPr rot="0" vert="horz" wrap="square" lIns="57087" tIns="28544" rIns="57087" bIns="28544" anchor="t" anchorCtr="0" upright="1">
                            <a:noAutofit/>
                          </wps:bodyPr>
                        </wps:wsp>
                        <wps:wsp>
                          <wps:cNvPr id="239" name="Line 3655"/>
                          <wps:cNvCnPr/>
                          <wps:spPr bwMode="auto">
                            <a:xfrm>
                              <a:off x="432" y="7"/>
                              <a:ext cx="0" cy="425"/>
                            </a:xfrm>
                            <a:prstGeom prst="line">
                              <a:avLst/>
                            </a:prstGeom>
                            <a:noFill/>
                            <a:ln w="12700" cmpd="sng">
                              <a:solidFill>
                                <a:srgbClr val="000000"/>
                              </a:solidFill>
                              <a:round/>
                            </a:ln>
                            <a:effectLst/>
                          </wps:spPr>
                          <wps:bodyPr/>
                        </wps:wsp>
                        <wps:wsp>
                          <wps:cNvPr id="240" name="Rectangle 3656"/>
                          <wps:cNvSpPr>
                            <a:spLocks noChangeArrowheads="1"/>
                          </wps:cNvSpPr>
                          <wps:spPr bwMode="auto">
                            <a:xfrm>
                              <a:off x="432" y="0"/>
                              <a:ext cx="1631" cy="144"/>
                            </a:xfrm>
                            <a:prstGeom prst="rect">
                              <a:avLst/>
                            </a:prstGeom>
                            <a:noFill/>
                            <a:ln>
                              <a:noFill/>
                            </a:ln>
                            <a:effectLst/>
                          </wps:spPr>
                          <wps:txbx>
                            <w:txbxContent>
                              <w:p>
                                <w:pPr>
                                  <w:autoSpaceDE w:val="0"/>
                                  <w:autoSpaceDN w:val="0"/>
                                  <w:adjustRightInd w:val="0"/>
                                  <w:rPr>
                                    <w:rFonts w:ascii="宋体" w:hAnsi="Arial" w:cs="宋体"/>
                                    <w:color w:val="000000"/>
                                    <w:sz w:val="11"/>
                                    <w:szCs w:val="18"/>
                                    <w:lang w:val="zh-CN"/>
                                  </w:rPr>
                                </w:pPr>
                              </w:p>
                            </w:txbxContent>
                          </wps:txbx>
                          <wps:bodyPr rot="0" vert="horz" wrap="square" lIns="57087" tIns="28544" rIns="57087" bIns="28544" anchor="t" anchorCtr="0" upright="1">
                            <a:noAutofit/>
                          </wps:bodyPr>
                        </wps:wsp>
                        <wps:wsp>
                          <wps:cNvPr id="241" name="Line 3657"/>
                          <wps:cNvCnPr/>
                          <wps:spPr bwMode="auto">
                            <a:xfrm>
                              <a:off x="1783" y="0"/>
                              <a:ext cx="281" cy="0"/>
                            </a:xfrm>
                            <a:prstGeom prst="line">
                              <a:avLst/>
                            </a:prstGeom>
                            <a:noFill/>
                            <a:ln w="12700" cmpd="sng">
                              <a:solidFill>
                                <a:srgbClr val="000000"/>
                              </a:solidFill>
                              <a:round/>
                            </a:ln>
                            <a:effectLst/>
                          </wps:spPr>
                          <wps:bodyPr/>
                        </wps:wsp>
                        <wps:wsp>
                          <wps:cNvPr id="242" name="Line 3658"/>
                          <wps:cNvCnPr/>
                          <wps:spPr bwMode="auto">
                            <a:xfrm>
                              <a:off x="1783" y="144"/>
                              <a:ext cx="281" cy="0"/>
                            </a:xfrm>
                            <a:prstGeom prst="line">
                              <a:avLst/>
                            </a:prstGeom>
                            <a:noFill/>
                            <a:ln w="12700" cmpd="sng">
                              <a:solidFill>
                                <a:srgbClr val="000000"/>
                              </a:solidFill>
                              <a:round/>
                            </a:ln>
                            <a:effectLst/>
                          </wps:spPr>
                          <wps:bodyPr/>
                        </wps:wsp>
                        <wps:wsp>
                          <wps:cNvPr id="244" name="Rectangle 3660"/>
                          <wps:cNvSpPr>
                            <a:spLocks noChangeArrowheads="1"/>
                          </wps:cNvSpPr>
                          <wps:spPr bwMode="auto">
                            <a:xfrm>
                              <a:off x="433" y="144"/>
                              <a:ext cx="1631" cy="144"/>
                            </a:xfrm>
                            <a:prstGeom prst="rect">
                              <a:avLst/>
                            </a:prstGeom>
                            <a:noFill/>
                            <a:ln>
                              <a:noFill/>
                            </a:ln>
                            <a:effectLst/>
                          </wps:spPr>
                          <wps:txbx>
                            <w:txbxContent>
                              <w:p>
                                <w:pPr>
                                  <w:autoSpaceDE w:val="0"/>
                                  <w:autoSpaceDN w:val="0"/>
                                  <w:adjustRightInd w:val="0"/>
                                  <w:rPr>
                                    <w:rFonts w:cs="宋体"/>
                                    <w:color w:val="000000"/>
                                    <w:sz w:val="11"/>
                                    <w:szCs w:val="18"/>
                                    <w:lang w:val="zh-CN"/>
                                  </w:rPr>
                                </w:pPr>
                              </w:p>
                            </w:txbxContent>
                          </wps:txbx>
                          <wps:bodyPr rot="0" vert="horz" wrap="square" lIns="57087" tIns="28544" rIns="57087" bIns="28544" anchor="t" anchorCtr="0" upright="1">
                            <a:noAutofit/>
                          </wps:bodyPr>
                        </wps:wsp>
                      </wpg:grpSp>
                      <wps:wsp>
                        <wps:cNvPr id="245" name="Rectangle 3661"/>
                        <wps:cNvSpPr>
                          <a:spLocks noChangeArrowheads="1"/>
                        </wps:cNvSpPr>
                        <wps:spPr bwMode="auto">
                          <a:xfrm>
                            <a:off x="7131" y="3108"/>
                            <a:ext cx="810" cy="1126"/>
                          </a:xfrm>
                          <a:prstGeom prst="rect">
                            <a:avLst/>
                          </a:prstGeom>
                          <a:solidFill>
                            <a:srgbClr val="FFFFFF"/>
                          </a:solidFill>
                          <a:ln w="12700" cmpd="sng">
                            <a:solidFill>
                              <a:srgbClr val="000000"/>
                            </a:solidFill>
                            <a:miter lim="800000"/>
                          </a:ln>
                          <a:effectLst/>
                        </wps:spPr>
                        <wps:bodyPr rot="0" vert="horz" wrap="square" lIns="91440" tIns="45720" rIns="91440" bIns="45720" anchor="ctr" anchorCtr="0" upright="1">
                          <a:noAutofit/>
                        </wps:bodyPr>
                      </wps:wsp>
                      <wps:wsp>
                        <wps:cNvPr id="246" name="Rectangle 3662"/>
                        <wps:cNvSpPr>
                          <a:spLocks noChangeArrowheads="1"/>
                        </wps:cNvSpPr>
                        <wps:spPr bwMode="auto">
                          <a:xfrm>
                            <a:off x="5810" y="3112"/>
                            <a:ext cx="823" cy="1113"/>
                          </a:xfrm>
                          <a:prstGeom prst="rect">
                            <a:avLst/>
                          </a:prstGeom>
                          <a:solidFill>
                            <a:srgbClr val="FFFFFF"/>
                          </a:solidFill>
                          <a:ln w="12700" cmpd="sng">
                            <a:solidFill>
                              <a:srgbClr val="000000"/>
                            </a:solidFill>
                            <a:miter lim="800000"/>
                          </a:ln>
                          <a:effectLst/>
                        </wps:spPr>
                        <wps:bodyPr rot="0" vert="horz" wrap="square" lIns="91440" tIns="45720" rIns="91440" bIns="45720" anchor="ctr" anchorCtr="0" upright="1">
                          <a:noAutofit/>
                        </wps:bodyPr>
                      </wps:wsp>
                      <wps:wsp>
                        <wps:cNvPr id="247" name="Rectangle 3663"/>
                        <wps:cNvSpPr>
                          <a:spLocks noChangeArrowheads="1"/>
                        </wps:cNvSpPr>
                        <wps:spPr bwMode="auto">
                          <a:xfrm>
                            <a:off x="5861" y="3276"/>
                            <a:ext cx="728" cy="936"/>
                          </a:xfrm>
                          <a:prstGeom prst="rect">
                            <a:avLst/>
                          </a:prstGeom>
                          <a:noFill/>
                          <a:ln>
                            <a:noFill/>
                          </a:ln>
                          <a:effectLst/>
                        </wps:spPr>
                        <wps:txbx>
                          <w:txbxContent>
                            <w:p>
                              <w:pPr>
                                <w:autoSpaceDE w:val="0"/>
                                <w:autoSpaceDN w:val="0"/>
                                <w:adjustRightInd w:val="0"/>
                                <w:jc w:val="center"/>
                                <w:rPr>
                                  <w:rFonts w:cs="宋体"/>
                                  <w:color w:val="000000"/>
                                  <w:sz w:val="17"/>
                                  <w:szCs w:val="28"/>
                                  <w:lang w:val="zh-CN"/>
                                </w:rPr>
                              </w:pPr>
                              <w:r>
                                <w:rPr>
                                  <w:rFonts w:hint="eastAsia" w:cs="宋体"/>
                                  <w:color w:val="000000"/>
                                  <w:sz w:val="17"/>
                                  <w:szCs w:val="28"/>
                                  <w:lang w:val="zh-CN"/>
                                </w:rPr>
                                <w:t>省级税务端系统</w:t>
                              </w:r>
                            </w:p>
                          </w:txbxContent>
                        </wps:txbx>
                        <wps:bodyPr rot="0" vert="horz" wrap="square" lIns="57087" tIns="28544" rIns="57087" bIns="28544" anchor="t" anchorCtr="0" upright="1">
                          <a:noAutofit/>
                        </wps:bodyPr>
                      </wps:wsp>
                      <wps:wsp>
                        <wps:cNvPr id="248" name="Rectangle 3664"/>
                        <wps:cNvSpPr>
                          <a:spLocks noChangeArrowheads="1"/>
                        </wps:cNvSpPr>
                        <wps:spPr bwMode="auto">
                          <a:xfrm>
                            <a:off x="7121" y="3276"/>
                            <a:ext cx="882" cy="624"/>
                          </a:xfrm>
                          <a:prstGeom prst="rect">
                            <a:avLst/>
                          </a:prstGeom>
                          <a:noFill/>
                          <a:ln>
                            <a:noFill/>
                          </a:ln>
                          <a:effectLst/>
                        </wps:spPr>
                        <wps:txbx>
                          <w:txbxContent>
                            <w:p>
                              <w:pPr>
                                <w:autoSpaceDE w:val="0"/>
                                <w:autoSpaceDN w:val="0"/>
                                <w:adjustRightInd w:val="0"/>
                                <w:jc w:val="center"/>
                                <w:rPr>
                                  <w:rFonts w:cs="宋体"/>
                                  <w:color w:val="000000"/>
                                  <w:sz w:val="17"/>
                                  <w:szCs w:val="28"/>
                                  <w:lang w:val="zh-CN"/>
                                </w:rPr>
                              </w:pPr>
                              <w:r>
                                <w:rPr>
                                  <w:rFonts w:hint="eastAsia" w:cs="宋体"/>
                                  <w:color w:val="000000"/>
                                  <w:sz w:val="17"/>
                                  <w:szCs w:val="28"/>
                                  <w:lang w:val="zh-CN"/>
                                </w:rPr>
                                <w:t>总局税务端系统</w:t>
                              </w:r>
                            </w:p>
                          </w:txbxContent>
                        </wps:txbx>
                        <wps:bodyPr rot="0" vert="horz" wrap="square" lIns="57087" tIns="28544" rIns="57087" bIns="28544" anchor="t" anchorCtr="0" upright="1">
                          <a:noAutofit/>
                        </wps:bodyPr>
                      </wps:wsp>
                      <wps:wsp>
                        <wps:cNvPr id="249" name="Line 3665"/>
                        <wps:cNvCnPr/>
                        <wps:spPr bwMode="auto">
                          <a:xfrm flipV="1">
                            <a:off x="4290" y="3900"/>
                            <a:ext cx="1520" cy="1"/>
                          </a:xfrm>
                          <a:prstGeom prst="line">
                            <a:avLst/>
                          </a:prstGeom>
                          <a:noFill/>
                          <a:ln w="12700" cmpd="sng">
                            <a:solidFill>
                              <a:srgbClr val="000000"/>
                            </a:solidFill>
                            <a:round/>
                            <a:headEnd type="stealth" w="med" len="med"/>
                            <a:tailEnd type="stealth" w="med" len="med"/>
                          </a:ln>
                          <a:effectLst/>
                        </wps:spPr>
                        <wps:bodyPr/>
                      </wps:wsp>
                      <wps:wsp>
                        <wps:cNvPr id="250" name="Line 3666"/>
                        <wps:cNvCnPr/>
                        <wps:spPr bwMode="auto">
                          <a:xfrm>
                            <a:off x="6641" y="3812"/>
                            <a:ext cx="457" cy="4"/>
                          </a:xfrm>
                          <a:prstGeom prst="line">
                            <a:avLst/>
                          </a:prstGeom>
                          <a:noFill/>
                          <a:ln w="12700" cmpd="sng">
                            <a:solidFill>
                              <a:srgbClr val="000000"/>
                            </a:solidFill>
                            <a:round/>
                            <a:headEnd type="stealth" w="med" len="med"/>
                            <a:tailEnd type="stealth" w="med" len="med"/>
                          </a:ln>
                          <a:effectLst/>
                        </wps:spPr>
                        <wps:bodyPr/>
                      </wps:wsp>
                      <wps:wsp>
                        <wps:cNvPr id="251" name="Line 3667"/>
                        <wps:cNvCnPr/>
                        <wps:spPr bwMode="auto">
                          <a:xfrm>
                            <a:off x="6657" y="3548"/>
                            <a:ext cx="457" cy="3"/>
                          </a:xfrm>
                          <a:prstGeom prst="line">
                            <a:avLst/>
                          </a:prstGeom>
                          <a:noFill/>
                          <a:ln w="12700" cmpd="sng">
                            <a:solidFill>
                              <a:srgbClr val="000000"/>
                            </a:solidFill>
                            <a:round/>
                            <a:headEnd type="stealth" w="med" len="med"/>
                            <a:tailEnd type="stealth" w="med" len="med"/>
                          </a:ln>
                          <a:effectLst/>
                        </wps:spPr>
                        <wps:bodyPr/>
                      </wps:wsp>
                      <wps:wsp>
                        <wps:cNvPr id="252" name="Rectangle 3668"/>
                        <wps:cNvSpPr>
                          <a:spLocks noChangeArrowheads="1"/>
                        </wps:cNvSpPr>
                        <wps:spPr bwMode="auto">
                          <a:xfrm>
                            <a:off x="355" y="2828"/>
                            <a:ext cx="1354" cy="829"/>
                          </a:xfrm>
                          <a:prstGeom prst="rect">
                            <a:avLst/>
                          </a:prstGeom>
                          <a:solidFill>
                            <a:srgbClr val="FFFFFF">
                              <a:alpha val="50000"/>
                            </a:srgbClr>
                          </a:solidFill>
                          <a:ln w="12700" cmpd="sng">
                            <a:solidFill>
                              <a:srgbClr val="000000"/>
                            </a:solidFill>
                            <a:miter lim="800000"/>
                          </a:ln>
                          <a:effectLst/>
                        </wps:spPr>
                        <wps:bodyPr rot="0" vert="horz" wrap="square" lIns="91440" tIns="45720" rIns="91440" bIns="45720" anchor="ctr" anchorCtr="0" upright="1">
                          <a:noAutofit/>
                        </wps:bodyPr>
                      </wps:wsp>
                      <wps:wsp>
                        <wps:cNvPr id="253" name="Rectangle 3669"/>
                        <wps:cNvSpPr>
                          <a:spLocks noChangeArrowheads="1"/>
                        </wps:cNvSpPr>
                        <wps:spPr bwMode="auto">
                          <a:xfrm>
                            <a:off x="360" y="2844"/>
                            <a:ext cx="1440" cy="740"/>
                          </a:xfrm>
                          <a:prstGeom prst="rect">
                            <a:avLst/>
                          </a:prstGeom>
                          <a:noFill/>
                          <a:ln>
                            <a:noFill/>
                          </a:ln>
                          <a:effectLst/>
                        </wps:spPr>
                        <wps:txbx>
                          <w:txbxContent>
                            <w:p>
                              <w:pPr>
                                <w:autoSpaceDE w:val="0"/>
                                <w:autoSpaceDN w:val="0"/>
                                <w:adjustRightInd w:val="0"/>
                                <w:jc w:val="center"/>
                                <w:rPr>
                                  <w:rFonts w:cs="宋体"/>
                                  <w:color w:val="000000"/>
                                  <w:sz w:val="17"/>
                                  <w:szCs w:val="28"/>
                                  <w:lang w:val="zh-CN"/>
                                </w:rPr>
                              </w:pPr>
                              <w:r>
                                <w:rPr>
                                  <w:rFonts w:hint="eastAsia" w:ascii="Open Sans" w:hAnsi="Open Sans" w:eastAsia="Open Sans"/>
                                  <w:sz w:val="20"/>
                                </w:rPr>
                                <w:t>合作银行的电子收费业务</w:t>
                              </w:r>
                            </w:p>
                          </w:txbxContent>
                        </wps:txbx>
                        <wps:bodyPr rot="0" vert="horz" wrap="square" lIns="57087" tIns="28544" rIns="57087" bIns="28544" anchor="t" anchorCtr="0" upright="1">
                          <a:noAutofit/>
                        </wps:bodyPr>
                      </wps:wsp>
                      <wps:wsp>
                        <wps:cNvPr id="384" name="Rectangle 3670"/>
                        <wps:cNvSpPr>
                          <a:spLocks noChangeArrowheads="1"/>
                        </wps:cNvSpPr>
                        <wps:spPr bwMode="auto">
                          <a:xfrm>
                            <a:off x="326" y="1543"/>
                            <a:ext cx="1354" cy="566"/>
                          </a:xfrm>
                          <a:prstGeom prst="rect">
                            <a:avLst/>
                          </a:prstGeom>
                          <a:solidFill>
                            <a:srgbClr val="FFFFFF">
                              <a:alpha val="50000"/>
                            </a:srgbClr>
                          </a:solidFill>
                          <a:ln w="12700" cmpd="sng">
                            <a:solidFill>
                              <a:srgbClr val="000000"/>
                            </a:solidFill>
                            <a:miter lim="800000"/>
                          </a:ln>
                          <a:effectLst/>
                        </wps:spPr>
                        <wps:bodyPr rot="0" vert="horz" wrap="square" lIns="91440" tIns="45720" rIns="91440" bIns="45720" anchor="ctr" anchorCtr="0" upright="1">
                          <a:noAutofit/>
                        </wps:bodyPr>
                      </wps:wsp>
                      <wps:wsp>
                        <wps:cNvPr id="385" name="Rectangle 3671"/>
                        <wps:cNvSpPr>
                          <a:spLocks noChangeArrowheads="1"/>
                        </wps:cNvSpPr>
                        <wps:spPr bwMode="auto">
                          <a:xfrm>
                            <a:off x="375" y="1501"/>
                            <a:ext cx="1245" cy="683"/>
                          </a:xfrm>
                          <a:prstGeom prst="rect">
                            <a:avLst/>
                          </a:prstGeom>
                          <a:noFill/>
                          <a:ln>
                            <a:noFill/>
                          </a:ln>
                          <a:effectLst/>
                        </wps:spPr>
                        <wps:txbx>
                          <w:txbxContent>
                            <w:p>
                              <w:pPr>
                                <w:autoSpaceDE w:val="0"/>
                                <w:autoSpaceDN w:val="0"/>
                                <w:adjustRightInd w:val="0"/>
                                <w:jc w:val="center"/>
                                <w:rPr>
                                  <w:rFonts w:cs="宋体"/>
                                  <w:color w:val="000000"/>
                                  <w:sz w:val="17"/>
                                  <w:szCs w:val="28"/>
                                </w:rPr>
                              </w:pPr>
                              <w:r>
                                <w:rPr>
                                  <w:rFonts w:hint="eastAsia" w:ascii="Open Sans" w:hAnsi="Open Sans" w:eastAsia="宋体"/>
                                  <w:sz w:val="20"/>
                                  <w:lang w:eastAsia="zh-CN"/>
                                </w:rPr>
                                <w:t>xx卡</w:t>
                              </w:r>
                              <w:r>
                                <w:rPr>
                                  <w:rFonts w:hint="eastAsia" w:ascii="Open Sans" w:hAnsi="Open Sans" w:eastAsia="Open Sans"/>
                                  <w:sz w:val="20"/>
                                </w:rPr>
                                <w:t>运营平台</w:t>
                              </w:r>
                            </w:p>
                          </w:txbxContent>
                        </wps:txbx>
                        <wps:bodyPr rot="0" vert="horz" wrap="square" lIns="57087" tIns="28544" rIns="57087" bIns="28544" anchor="t" anchorCtr="0" upright="1">
                          <a:noAutofit/>
                        </wps:bodyPr>
                      </wps:wsp>
                      <wps:wsp>
                        <wps:cNvPr id="386" name="Line 3672"/>
                        <wps:cNvCnPr/>
                        <wps:spPr bwMode="auto">
                          <a:xfrm flipV="1">
                            <a:off x="1780" y="3115"/>
                            <a:ext cx="1083" cy="1"/>
                          </a:xfrm>
                          <a:prstGeom prst="line">
                            <a:avLst/>
                          </a:prstGeom>
                          <a:noFill/>
                          <a:ln w="12700" cmpd="sng">
                            <a:solidFill>
                              <a:srgbClr val="000000"/>
                            </a:solidFill>
                            <a:round/>
                            <a:headEnd type="stealth" w="med" len="med"/>
                            <a:tailEnd type="stealth" w="med" len="med"/>
                          </a:ln>
                          <a:effectLst/>
                        </wps:spPr>
                        <wps:bodyPr/>
                      </wps:wsp>
                      <wps:wsp>
                        <wps:cNvPr id="387" name="Rectangle 3673"/>
                        <wps:cNvSpPr>
                          <a:spLocks noChangeArrowheads="1"/>
                        </wps:cNvSpPr>
                        <wps:spPr bwMode="auto">
                          <a:xfrm>
                            <a:off x="2700" y="1560"/>
                            <a:ext cx="1800" cy="362"/>
                          </a:xfrm>
                          <a:prstGeom prst="rect">
                            <a:avLst/>
                          </a:prstGeom>
                          <a:noFill/>
                          <a:ln>
                            <a:noFill/>
                          </a:ln>
                          <a:effectLst/>
                        </wps:spPr>
                        <wps:txbx>
                          <w:txbxContent>
                            <w:p>
                              <w:pPr>
                                <w:autoSpaceDE w:val="0"/>
                                <w:autoSpaceDN w:val="0"/>
                                <w:adjustRightInd w:val="0"/>
                                <w:jc w:val="center"/>
                                <w:rPr>
                                  <w:rFonts w:cs="宋体"/>
                                  <w:color w:val="000000"/>
                                  <w:lang w:val="zh-CN"/>
                                </w:rPr>
                              </w:pPr>
                              <w:r>
                                <w:rPr>
                                  <w:rFonts w:hint="eastAsia" w:cs="宋体"/>
                                  <w:color w:val="000000"/>
                                  <w:lang w:val="en-US" w:eastAsia="zh-CN"/>
                                </w:rPr>
                                <w:t>xx</w:t>
                              </w:r>
                              <w:r>
                                <w:rPr>
                                  <w:rFonts w:hint="eastAsia" w:cs="宋体"/>
                                  <w:color w:val="000000"/>
                                  <w:lang w:val="zh-CN"/>
                                </w:rPr>
                                <w:t>发票系统</w:t>
                              </w:r>
                            </w:p>
                          </w:txbxContent>
                        </wps:txbx>
                        <wps:bodyPr rot="0" vert="horz" wrap="square" lIns="57087" tIns="28544" rIns="57087" bIns="28544" anchor="t" anchorCtr="0" upright="1">
                          <a:spAutoFit/>
                        </wps:bodyPr>
                      </wps:wsp>
                      <wps:wsp>
                        <wps:cNvPr id="388" name="Rectangle 3674"/>
                        <wps:cNvSpPr>
                          <a:spLocks noChangeArrowheads="1"/>
                        </wps:cNvSpPr>
                        <wps:spPr bwMode="auto">
                          <a:xfrm>
                            <a:off x="2936" y="2845"/>
                            <a:ext cx="1354" cy="566"/>
                          </a:xfrm>
                          <a:prstGeom prst="rect">
                            <a:avLst/>
                          </a:prstGeom>
                          <a:solidFill>
                            <a:srgbClr val="FFFFFF">
                              <a:alpha val="50000"/>
                            </a:srgbClr>
                          </a:solidFill>
                          <a:ln w="12700" cmpd="sng">
                            <a:solidFill>
                              <a:srgbClr val="000000"/>
                            </a:solidFill>
                            <a:miter lim="800000"/>
                          </a:ln>
                          <a:effectLst/>
                        </wps:spPr>
                        <wps:bodyPr rot="0" vert="horz" wrap="square" lIns="91440" tIns="45720" rIns="91440" bIns="45720" anchor="ctr" anchorCtr="0" upright="1">
                          <a:noAutofit/>
                        </wps:bodyPr>
                      </wps:wsp>
                      <wps:wsp>
                        <wps:cNvPr id="389" name="Rectangle 3675"/>
                        <wps:cNvSpPr>
                          <a:spLocks noChangeArrowheads="1"/>
                        </wps:cNvSpPr>
                        <wps:spPr bwMode="auto">
                          <a:xfrm>
                            <a:off x="3044" y="2808"/>
                            <a:ext cx="1123" cy="629"/>
                          </a:xfrm>
                          <a:prstGeom prst="rect">
                            <a:avLst/>
                          </a:prstGeom>
                          <a:noFill/>
                          <a:ln>
                            <a:noFill/>
                          </a:ln>
                          <a:effectLst/>
                        </wps:spPr>
                        <wps:txbx>
                          <w:txbxContent>
                            <w:p>
                              <w:pPr>
                                <w:autoSpaceDE w:val="0"/>
                                <w:autoSpaceDN w:val="0"/>
                                <w:adjustRightInd w:val="0"/>
                                <w:jc w:val="center"/>
                                <w:rPr>
                                  <w:rFonts w:hint="eastAsia" w:eastAsiaTheme="minorEastAsia"/>
                                  <w:b/>
                                  <w:bCs/>
                                  <w:color w:val="000000"/>
                                  <w:sz w:val="20"/>
                                  <w:szCs w:val="32"/>
                                  <w:lang w:eastAsia="zh-CN"/>
                                </w:rPr>
                              </w:pPr>
                              <w:r>
                                <w:rPr>
                                  <w:rFonts w:hint="eastAsia"/>
                                  <w:b/>
                                  <w:bCs/>
                                  <w:color w:val="000000"/>
                                  <w:sz w:val="20"/>
                                  <w:szCs w:val="32"/>
                                  <w:lang w:eastAsia="zh-CN"/>
                                </w:rPr>
                                <w:t>接口系统</w:t>
                              </w:r>
                            </w:p>
                            <w:p>
                              <w:pPr>
                                <w:autoSpaceDE w:val="0"/>
                                <w:autoSpaceDN w:val="0"/>
                                <w:adjustRightInd w:val="0"/>
                                <w:jc w:val="center"/>
                                <w:rPr>
                                  <w:rFonts w:cs="宋体"/>
                                  <w:color w:val="000000"/>
                                  <w:sz w:val="17"/>
                                  <w:szCs w:val="28"/>
                                  <w:lang w:val="zh-CN"/>
                                </w:rPr>
                              </w:pPr>
                            </w:p>
                          </w:txbxContent>
                        </wps:txbx>
                        <wps:bodyPr rot="0" vert="horz" wrap="square" lIns="57087" tIns="28544" rIns="57087" bIns="28544" anchor="t" anchorCtr="0" upright="1">
                          <a:noAutofit/>
                        </wps:bodyPr>
                      </wps:wsp>
                      <wps:wsp>
                        <wps:cNvPr id="390" name="Rectangle 3676"/>
                        <wps:cNvSpPr>
                          <a:spLocks noChangeArrowheads="1"/>
                        </wps:cNvSpPr>
                        <wps:spPr bwMode="auto">
                          <a:xfrm>
                            <a:off x="2936" y="2132"/>
                            <a:ext cx="1354" cy="566"/>
                          </a:xfrm>
                          <a:prstGeom prst="rect">
                            <a:avLst/>
                          </a:prstGeom>
                          <a:solidFill>
                            <a:srgbClr val="FFFFFF">
                              <a:alpha val="50000"/>
                            </a:srgbClr>
                          </a:solidFill>
                          <a:ln w="12700" cmpd="sng">
                            <a:solidFill>
                              <a:srgbClr val="000000"/>
                            </a:solidFill>
                            <a:miter lim="800000"/>
                          </a:ln>
                          <a:effectLst/>
                        </wps:spPr>
                        <wps:bodyPr rot="0" vert="horz" wrap="square" lIns="91440" tIns="45720" rIns="91440" bIns="45720" anchor="ctr" anchorCtr="0" upright="1">
                          <a:noAutofit/>
                        </wps:bodyPr>
                      </wps:wsp>
                      <wps:wsp>
                        <wps:cNvPr id="391" name="Rectangle 3677"/>
                        <wps:cNvSpPr>
                          <a:spLocks noChangeArrowheads="1"/>
                        </wps:cNvSpPr>
                        <wps:spPr bwMode="auto">
                          <a:xfrm>
                            <a:off x="2985" y="2093"/>
                            <a:ext cx="1211" cy="666"/>
                          </a:xfrm>
                          <a:prstGeom prst="rect">
                            <a:avLst/>
                          </a:prstGeom>
                          <a:noFill/>
                          <a:ln>
                            <a:noFill/>
                          </a:ln>
                          <a:effectLst/>
                        </wps:spPr>
                        <wps:txbx>
                          <w:txbxContent>
                            <w:p>
                              <w:pPr>
                                <w:autoSpaceDE w:val="0"/>
                                <w:autoSpaceDN w:val="0"/>
                                <w:adjustRightInd w:val="0"/>
                                <w:jc w:val="center"/>
                                <w:rPr>
                                  <w:rFonts w:cs="宋体"/>
                                  <w:color w:val="000000"/>
                                  <w:sz w:val="17"/>
                                  <w:szCs w:val="28"/>
                                  <w:lang w:val="zh-CN"/>
                                </w:rPr>
                              </w:pPr>
                              <w:r>
                                <w:rPr>
                                  <w:rFonts w:hint="eastAsia"/>
                                  <w:b/>
                                  <w:bCs/>
                                  <w:color w:val="000000"/>
                                  <w:sz w:val="20"/>
                                  <w:szCs w:val="32"/>
                                </w:rPr>
                                <w:t>发票管理平台</w:t>
                              </w:r>
                            </w:p>
                          </w:txbxContent>
                        </wps:txbx>
                        <wps:bodyPr rot="0" vert="horz" wrap="square" lIns="57087" tIns="28544" rIns="57087" bIns="28544" anchor="t" anchorCtr="0" upright="1">
                          <a:noAutofit/>
                        </wps:bodyPr>
                      </wps:wsp>
                      <wps:wsp>
                        <wps:cNvPr id="416" name="Rectangle 3678"/>
                        <wps:cNvSpPr>
                          <a:spLocks noChangeArrowheads="1"/>
                        </wps:cNvSpPr>
                        <wps:spPr bwMode="auto">
                          <a:xfrm>
                            <a:off x="2936" y="3625"/>
                            <a:ext cx="1354" cy="566"/>
                          </a:xfrm>
                          <a:prstGeom prst="rect">
                            <a:avLst/>
                          </a:prstGeom>
                          <a:solidFill>
                            <a:srgbClr val="FFFFFF">
                              <a:alpha val="50000"/>
                            </a:srgbClr>
                          </a:solidFill>
                          <a:ln w="12700" cmpd="sng">
                            <a:solidFill>
                              <a:srgbClr val="000000"/>
                            </a:solidFill>
                            <a:miter lim="800000"/>
                          </a:ln>
                          <a:effectLst/>
                        </wps:spPr>
                        <wps:bodyPr rot="0" vert="horz" wrap="square" lIns="91440" tIns="45720" rIns="91440" bIns="45720" anchor="ctr" anchorCtr="0" upright="1">
                          <a:noAutofit/>
                        </wps:bodyPr>
                      </wps:wsp>
                      <wps:wsp>
                        <wps:cNvPr id="417" name="Rectangle 3679"/>
                        <wps:cNvSpPr>
                          <a:spLocks noChangeArrowheads="1"/>
                        </wps:cNvSpPr>
                        <wps:spPr bwMode="auto">
                          <a:xfrm>
                            <a:off x="3044" y="3588"/>
                            <a:ext cx="1123" cy="629"/>
                          </a:xfrm>
                          <a:prstGeom prst="rect">
                            <a:avLst/>
                          </a:prstGeom>
                          <a:noFill/>
                          <a:ln>
                            <a:noFill/>
                          </a:ln>
                          <a:effectLst/>
                        </wps:spPr>
                        <wps:txbx>
                          <w:txbxContent>
                            <w:p>
                              <w:pPr>
                                <w:autoSpaceDE w:val="0"/>
                                <w:autoSpaceDN w:val="0"/>
                                <w:adjustRightInd w:val="0"/>
                                <w:jc w:val="center"/>
                                <w:rPr>
                                  <w:b/>
                                  <w:bCs/>
                                  <w:color w:val="000000"/>
                                  <w:sz w:val="20"/>
                                  <w:szCs w:val="32"/>
                                </w:rPr>
                              </w:pPr>
                              <w:r>
                                <w:rPr>
                                  <w:rFonts w:hint="eastAsia"/>
                                  <w:b/>
                                  <w:bCs/>
                                  <w:color w:val="000000"/>
                                  <w:sz w:val="20"/>
                                  <w:szCs w:val="32"/>
                                </w:rPr>
                                <w:t>省级</w:t>
                              </w:r>
                              <w:r>
                                <w:rPr>
                                  <w:rFonts w:hint="eastAsia"/>
                                  <w:b/>
                                  <w:bCs/>
                                  <w:color w:val="000000"/>
                                  <w:sz w:val="20"/>
                                  <w:szCs w:val="32"/>
                                  <w:lang w:eastAsia="zh-CN"/>
                                </w:rPr>
                                <w:t>发票管理系统</w:t>
                              </w:r>
                            </w:p>
                            <w:p>
                              <w:pPr>
                                <w:autoSpaceDE w:val="0"/>
                                <w:autoSpaceDN w:val="0"/>
                                <w:adjustRightInd w:val="0"/>
                                <w:jc w:val="center"/>
                                <w:rPr>
                                  <w:rFonts w:cs="宋体"/>
                                  <w:color w:val="000000"/>
                                  <w:sz w:val="17"/>
                                  <w:szCs w:val="28"/>
                                  <w:lang w:val="zh-CN"/>
                                </w:rPr>
                              </w:pPr>
                            </w:p>
                          </w:txbxContent>
                        </wps:txbx>
                        <wps:bodyPr rot="0" vert="horz" wrap="square" lIns="57087" tIns="28544" rIns="57087" bIns="28544" anchor="t" anchorCtr="0" upright="1">
                          <a:noAutofit/>
                        </wps:bodyPr>
                      </wps:wsp>
                      <wps:wsp>
                        <wps:cNvPr id="418" name="Rectangle 3680"/>
                        <wps:cNvSpPr>
                          <a:spLocks noChangeArrowheads="1"/>
                        </wps:cNvSpPr>
                        <wps:spPr bwMode="auto">
                          <a:xfrm>
                            <a:off x="5940" y="624"/>
                            <a:ext cx="1354" cy="566"/>
                          </a:xfrm>
                          <a:prstGeom prst="rect">
                            <a:avLst/>
                          </a:prstGeom>
                          <a:solidFill>
                            <a:srgbClr val="FFFFFF">
                              <a:alpha val="50000"/>
                            </a:srgbClr>
                          </a:solidFill>
                          <a:ln w="12700" cmpd="sng">
                            <a:solidFill>
                              <a:srgbClr val="000000"/>
                            </a:solidFill>
                            <a:miter lim="800000"/>
                          </a:ln>
                          <a:effectLst/>
                        </wps:spPr>
                        <wps:bodyPr rot="0" vert="horz" wrap="square" lIns="91440" tIns="45720" rIns="91440" bIns="45720" anchor="ctr" anchorCtr="0" upright="1">
                          <a:noAutofit/>
                        </wps:bodyPr>
                      </wps:wsp>
                      <wps:wsp>
                        <wps:cNvPr id="419" name="Rectangle 3681"/>
                        <wps:cNvSpPr>
                          <a:spLocks noChangeArrowheads="1"/>
                        </wps:cNvSpPr>
                        <wps:spPr bwMode="auto">
                          <a:xfrm>
                            <a:off x="5940" y="624"/>
                            <a:ext cx="1440" cy="666"/>
                          </a:xfrm>
                          <a:prstGeom prst="rect">
                            <a:avLst/>
                          </a:prstGeom>
                          <a:noFill/>
                          <a:ln>
                            <a:noFill/>
                          </a:ln>
                          <a:effectLst/>
                        </wps:spPr>
                        <wps:txbx>
                          <w:txbxContent>
                            <w:p>
                              <w:pPr>
                                <w:autoSpaceDE w:val="0"/>
                                <w:autoSpaceDN w:val="0"/>
                                <w:adjustRightInd w:val="0"/>
                                <w:jc w:val="center"/>
                                <w:rPr>
                                  <w:rFonts w:cs="宋体"/>
                                  <w:color w:val="000000"/>
                                  <w:sz w:val="17"/>
                                  <w:szCs w:val="28"/>
                                  <w:lang w:val="zh-CN"/>
                                </w:rPr>
                              </w:pPr>
                              <w:r>
                                <w:rPr>
                                  <w:rFonts w:hint="eastAsia"/>
                                  <w:b/>
                                  <w:bCs/>
                                  <w:color w:val="000000"/>
                                  <w:sz w:val="20"/>
                                  <w:szCs w:val="32"/>
                                </w:rPr>
                                <w:t>第三方发票服务平台（全国）</w:t>
                              </w:r>
                            </w:p>
                          </w:txbxContent>
                        </wps:txbx>
                        <wps:bodyPr rot="0" vert="horz" wrap="square" lIns="57087" tIns="28544" rIns="57087" bIns="28544" anchor="t" anchorCtr="0" upright="1">
                          <a:noAutofit/>
                        </wps:bodyPr>
                      </wps:wsp>
                      <wps:wsp>
                        <wps:cNvPr id="420" name="Line 3682"/>
                        <wps:cNvCnPr/>
                        <wps:spPr bwMode="auto">
                          <a:xfrm flipV="1">
                            <a:off x="4382" y="780"/>
                            <a:ext cx="1558" cy="1404"/>
                          </a:xfrm>
                          <a:prstGeom prst="line">
                            <a:avLst/>
                          </a:prstGeom>
                          <a:noFill/>
                          <a:ln w="12700" cmpd="sng">
                            <a:solidFill>
                              <a:srgbClr val="000000"/>
                            </a:solidFill>
                            <a:round/>
                            <a:headEnd type="stealth" w="med" len="med"/>
                            <a:tailEnd type="stealth" w="med" len="med"/>
                          </a:ln>
                          <a:effectLst/>
                        </wps:spPr>
                        <wps:bodyPr/>
                      </wps:wsp>
                      <wps:wsp>
                        <wps:cNvPr id="421" name="Rectangle 3683"/>
                        <wps:cNvSpPr>
                          <a:spLocks noChangeArrowheads="1"/>
                        </wps:cNvSpPr>
                        <wps:spPr bwMode="auto">
                          <a:xfrm>
                            <a:off x="1180" y="2475"/>
                            <a:ext cx="1440" cy="490"/>
                          </a:xfrm>
                          <a:prstGeom prst="rect">
                            <a:avLst/>
                          </a:prstGeom>
                          <a:noFill/>
                          <a:ln>
                            <a:noFill/>
                          </a:ln>
                          <a:effectLst/>
                        </wps:spPr>
                        <wps:txbx>
                          <w:txbxContent>
                            <w:p>
                              <w:pPr>
                                <w:autoSpaceDE w:val="0"/>
                                <w:autoSpaceDN w:val="0"/>
                                <w:adjustRightInd w:val="0"/>
                                <w:jc w:val="center"/>
                                <w:rPr>
                                  <w:rFonts w:cs="宋体"/>
                                  <w:color w:val="000000"/>
                                  <w:lang w:val="zh-CN"/>
                                </w:rPr>
                              </w:pPr>
                              <w:r>
                                <w:rPr>
                                  <w:b/>
                                  <w:bCs/>
                                  <w:color w:val="000000"/>
                                </w:rPr>
                                <w:fldChar w:fldCharType="begin"/>
                              </w:r>
                              <w:r>
                                <w:rPr>
                                  <w:b/>
                                  <w:bCs/>
                                  <w:color w:val="000000"/>
                                </w:rPr>
                                <w:instrText xml:space="preserve"> </w:instrText>
                              </w:r>
                              <w:r>
                                <w:rPr>
                                  <w:rFonts w:hint="eastAsia"/>
                                  <w:b/>
                                  <w:bCs/>
                                  <w:color w:val="000000"/>
                                </w:rPr>
                                <w:instrText xml:space="preserve">eq \o\ac(○,</w:instrText>
                              </w:r>
                              <w:r>
                                <w:rPr>
                                  <w:rFonts w:hint="eastAsia"/>
                                  <w:b/>
                                  <w:bCs/>
                                  <w:color w:val="000000"/>
                                  <w:position w:val="2"/>
                                </w:rPr>
                                <w:instrText xml:space="preserve">1</w:instrText>
                              </w:r>
                              <w:r>
                                <w:rPr>
                                  <w:rFonts w:hint="eastAsia"/>
                                  <w:b/>
                                  <w:bCs/>
                                  <w:color w:val="000000"/>
                                </w:rPr>
                                <w:instrText xml:space="preserve">)</w:instrText>
                              </w:r>
                              <w:r>
                                <w:rPr>
                                  <w:b/>
                                  <w:bCs/>
                                  <w:color w:val="000000"/>
                                </w:rPr>
                                <w:fldChar w:fldCharType="end"/>
                              </w:r>
                              <w:r>
                                <w:rPr>
                                  <w:b/>
                                  <w:bCs/>
                                  <w:color w:val="000000"/>
                                </w:rPr>
                                <w:fldChar w:fldCharType="begin"/>
                              </w:r>
                              <w:r>
                                <w:rPr>
                                  <w:b/>
                                  <w:bCs/>
                                  <w:color w:val="000000"/>
                                </w:rPr>
                                <w:instrText xml:space="preserve"> </w:instrText>
                              </w:r>
                              <w:r>
                                <w:rPr>
                                  <w:rFonts w:hint="eastAsia"/>
                                  <w:b/>
                                  <w:bCs/>
                                  <w:color w:val="000000"/>
                                </w:rPr>
                                <w:instrText xml:space="preserve">eq \o\ac(○,</w:instrText>
                              </w:r>
                              <w:r>
                                <w:rPr>
                                  <w:rFonts w:hint="eastAsia"/>
                                  <w:b/>
                                  <w:bCs/>
                                  <w:color w:val="000000"/>
                                  <w:position w:val="2"/>
                                </w:rPr>
                                <w:instrText xml:space="preserve">2</w:instrText>
                              </w:r>
                              <w:r>
                                <w:rPr>
                                  <w:rFonts w:hint="eastAsia"/>
                                  <w:b/>
                                  <w:bCs/>
                                  <w:color w:val="000000"/>
                                </w:rPr>
                                <w:instrText xml:space="preserve">)</w:instrText>
                              </w:r>
                              <w:r>
                                <w:rPr>
                                  <w:b/>
                                  <w:bCs/>
                                  <w:color w:val="000000"/>
                                </w:rPr>
                                <w:fldChar w:fldCharType="end"/>
                              </w:r>
                              <w:r>
                                <w:rPr>
                                  <w:b/>
                                  <w:bCs/>
                                  <w:color w:val="000000"/>
                                </w:rPr>
                                <w:fldChar w:fldCharType="begin"/>
                              </w:r>
                              <w:r>
                                <w:rPr>
                                  <w:b/>
                                  <w:bCs/>
                                  <w:color w:val="000000"/>
                                </w:rPr>
                                <w:instrText xml:space="preserve"> </w:instrText>
                              </w:r>
                              <w:r>
                                <w:rPr>
                                  <w:rFonts w:hint="eastAsia"/>
                                  <w:b/>
                                  <w:bCs/>
                                  <w:color w:val="000000"/>
                                </w:rPr>
                                <w:instrText xml:space="preserve">eq \o\ac(○,</w:instrText>
                              </w:r>
                              <w:r>
                                <w:rPr>
                                  <w:rFonts w:hint="eastAsia"/>
                                  <w:b/>
                                  <w:bCs/>
                                  <w:color w:val="000000"/>
                                  <w:position w:val="2"/>
                                </w:rPr>
                                <w:instrText xml:space="preserve">3</w:instrText>
                              </w:r>
                              <w:r>
                                <w:rPr>
                                  <w:rFonts w:hint="eastAsia"/>
                                  <w:b/>
                                  <w:bCs/>
                                  <w:color w:val="000000"/>
                                </w:rPr>
                                <w:instrText xml:space="preserve">)</w:instrText>
                              </w:r>
                              <w:r>
                                <w:rPr>
                                  <w:b/>
                                  <w:bCs/>
                                  <w:color w:val="000000"/>
                                </w:rPr>
                                <w:fldChar w:fldCharType="end"/>
                              </w:r>
                              <w:r>
                                <w:rPr>
                                  <w:b/>
                                  <w:bCs/>
                                  <w:color w:val="000000"/>
                                </w:rPr>
                                <w:fldChar w:fldCharType="begin"/>
                              </w:r>
                              <w:r>
                                <w:rPr>
                                  <w:b/>
                                  <w:bCs/>
                                  <w:color w:val="000000"/>
                                </w:rPr>
                                <w:instrText xml:space="preserve"> </w:instrText>
                              </w:r>
                              <w:r>
                                <w:rPr>
                                  <w:rFonts w:hint="eastAsia"/>
                                  <w:b/>
                                  <w:bCs/>
                                  <w:color w:val="000000"/>
                                </w:rPr>
                                <w:instrText xml:space="preserve">eq \o\ac(○,</w:instrText>
                              </w:r>
                              <w:r>
                                <w:rPr>
                                  <w:rFonts w:hint="eastAsia"/>
                                  <w:b/>
                                  <w:bCs/>
                                  <w:color w:val="000000"/>
                                  <w:position w:val="2"/>
                                </w:rPr>
                                <w:instrText xml:space="preserve">4</w:instrText>
                              </w:r>
                              <w:r>
                                <w:rPr>
                                  <w:rFonts w:hint="eastAsia"/>
                                  <w:b/>
                                  <w:bCs/>
                                  <w:color w:val="000000"/>
                                </w:rPr>
                                <w:instrText xml:space="preserve">)</w:instrText>
                              </w:r>
                              <w:r>
                                <w:rPr>
                                  <w:b/>
                                  <w:bCs/>
                                  <w:color w:val="000000"/>
                                </w:rPr>
                                <w:fldChar w:fldCharType="end"/>
                              </w:r>
                            </w:p>
                          </w:txbxContent>
                        </wps:txbx>
                        <wps:bodyPr rot="0" vert="horz" wrap="square" lIns="57087" tIns="28544" rIns="57087" bIns="28544" anchor="t" anchorCtr="0" upright="1">
                          <a:noAutofit/>
                        </wps:bodyPr>
                      </wps:wsp>
                      <wps:wsp>
                        <wps:cNvPr id="422" name="Rectangle 3684"/>
                        <wps:cNvSpPr>
                          <a:spLocks noChangeArrowheads="1"/>
                        </wps:cNvSpPr>
                        <wps:spPr bwMode="auto">
                          <a:xfrm>
                            <a:off x="4860" y="1290"/>
                            <a:ext cx="1440" cy="490"/>
                          </a:xfrm>
                          <a:prstGeom prst="rect">
                            <a:avLst/>
                          </a:prstGeom>
                          <a:noFill/>
                          <a:ln>
                            <a:noFill/>
                          </a:ln>
                          <a:effectLst/>
                        </wps:spPr>
                        <wps:txbx>
                          <w:txbxContent>
                            <w:p>
                              <w:pPr>
                                <w:autoSpaceDE w:val="0"/>
                                <w:autoSpaceDN w:val="0"/>
                                <w:adjustRightInd w:val="0"/>
                                <w:jc w:val="center"/>
                                <w:rPr>
                                  <w:rFonts w:cs="宋体"/>
                                  <w:color w:val="000000"/>
                                  <w:sz w:val="18"/>
                                  <w:szCs w:val="18"/>
                                  <w:lang w:val="zh-CN"/>
                                </w:rPr>
                              </w:pPr>
                              <w:r>
                                <w:rPr>
                                  <w:b/>
                                  <w:bCs/>
                                  <w:color w:val="000000"/>
                                  <w:sz w:val="18"/>
                                  <w:szCs w:val="18"/>
                                </w:rPr>
                                <w:fldChar w:fldCharType="begin"/>
                              </w:r>
                              <w:r>
                                <w:rPr>
                                  <w:b/>
                                  <w:bCs/>
                                  <w:color w:val="000000"/>
                                  <w:sz w:val="18"/>
                                  <w:szCs w:val="18"/>
                                </w:rPr>
                                <w:instrText xml:space="preserve"> </w:instrText>
                              </w:r>
                              <w:r>
                                <w:rPr>
                                  <w:rFonts w:hint="eastAsia"/>
                                  <w:b/>
                                  <w:bCs/>
                                  <w:color w:val="000000"/>
                                  <w:sz w:val="18"/>
                                  <w:szCs w:val="18"/>
                                </w:rPr>
                                <w:instrText xml:space="preserve">eq \o\ac(</w:instrText>
                              </w:r>
                              <w:r>
                                <w:rPr>
                                  <w:rFonts w:hint="eastAsia"/>
                                  <w:b/>
                                  <w:bCs/>
                                  <w:color w:val="000000"/>
                                  <w:position w:val="-3"/>
                                  <w:sz w:val="27"/>
                                  <w:szCs w:val="18"/>
                                </w:rPr>
                                <w:instrText xml:space="preserve">○</w:instrText>
                              </w:r>
                              <w:r>
                                <w:rPr>
                                  <w:rFonts w:hint="eastAsia"/>
                                  <w:b/>
                                  <w:bCs/>
                                  <w:color w:val="000000"/>
                                  <w:sz w:val="18"/>
                                  <w:szCs w:val="18"/>
                                </w:rPr>
                                <w:instrText xml:space="preserve">,5)</w:instrText>
                              </w:r>
                              <w:r>
                                <w:rPr>
                                  <w:b/>
                                  <w:bCs/>
                                  <w:color w:val="000000"/>
                                  <w:sz w:val="18"/>
                                  <w:szCs w:val="18"/>
                                </w:rPr>
                                <w:fldChar w:fldCharType="end"/>
                              </w:r>
                              <w:r>
                                <w:rPr>
                                  <w:b/>
                                  <w:bCs/>
                                  <w:color w:val="000000"/>
                                  <w:sz w:val="18"/>
                                  <w:szCs w:val="18"/>
                                </w:rPr>
                                <w:fldChar w:fldCharType="begin"/>
                              </w:r>
                              <w:r>
                                <w:rPr>
                                  <w:b/>
                                  <w:bCs/>
                                  <w:color w:val="000000"/>
                                  <w:sz w:val="18"/>
                                  <w:szCs w:val="18"/>
                                </w:rPr>
                                <w:instrText xml:space="preserve"> </w:instrText>
                              </w:r>
                              <w:r>
                                <w:rPr>
                                  <w:rFonts w:hint="eastAsia"/>
                                  <w:b/>
                                  <w:bCs/>
                                  <w:color w:val="000000"/>
                                  <w:sz w:val="18"/>
                                  <w:szCs w:val="18"/>
                                </w:rPr>
                                <w:instrText xml:space="preserve">eq \o\ac(</w:instrText>
                              </w:r>
                              <w:r>
                                <w:rPr>
                                  <w:rFonts w:hint="eastAsia"/>
                                  <w:b/>
                                  <w:bCs/>
                                  <w:color w:val="000000"/>
                                  <w:position w:val="-3"/>
                                  <w:sz w:val="27"/>
                                  <w:szCs w:val="18"/>
                                </w:rPr>
                                <w:instrText xml:space="preserve">○</w:instrText>
                              </w:r>
                              <w:r>
                                <w:rPr>
                                  <w:rFonts w:hint="eastAsia"/>
                                  <w:b/>
                                  <w:bCs/>
                                  <w:color w:val="000000"/>
                                  <w:sz w:val="18"/>
                                  <w:szCs w:val="18"/>
                                </w:rPr>
                                <w:instrText xml:space="preserve">,6)</w:instrText>
                              </w:r>
                              <w:r>
                                <w:rPr>
                                  <w:b/>
                                  <w:bCs/>
                                  <w:color w:val="000000"/>
                                  <w:sz w:val="18"/>
                                  <w:szCs w:val="18"/>
                                </w:rPr>
                                <w:fldChar w:fldCharType="end"/>
                              </w:r>
                              <w:r>
                                <w:rPr>
                                  <w:b/>
                                  <w:bCs/>
                                  <w:color w:val="000000"/>
                                  <w:sz w:val="18"/>
                                  <w:szCs w:val="18"/>
                                </w:rPr>
                                <w:fldChar w:fldCharType="begin"/>
                              </w:r>
                              <w:r>
                                <w:rPr>
                                  <w:b/>
                                  <w:bCs/>
                                  <w:color w:val="000000"/>
                                  <w:sz w:val="18"/>
                                  <w:szCs w:val="18"/>
                                </w:rPr>
                                <w:instrText xml:space="preserve"> </w:instrText>
                              </w:r>
                              <w:r>
                                <w:rPr>
                                  <w:rFonts w:hint="eastAsia"/>
                                  <w:b/>
                                  <w:bCs/>
                                  <w:color w:val="000000"/>
                                  <w:sz w:val="18"/>
                                  <w:szCs w:val="18"/>
                                </w:rPr>
                                <w:instrText xml:space="preserve">eq \o\ac(</w:instrText>
                              </w:r>
                              <w:r>
                                <w:rPr>
                                  <w:rFonts w:hint="eastAsia"/>
                                  <w:b/>
                                  <w:bCs/>
                                  <w:color w:val="000000"/>
                                  <w:position w:val="-3"/>
                                  <w:sz w:val="27"/>
                                  <w:szCs w:val="18"/>
                                </w:rPr>
                                <w:instrText xml:space="preserve">○</w:instrText>
                              </w:r>
                              <w:r>
                                <w:rPr>
                                  <w:rFonts w:hint="eastAsia"/>
                                  <w:b/>
                                  <w:bCs/>
                                  <w:color w:val="000000"/>
                                  <w:sz w:val="18"/>
                                  <w:szCs w:val="18"/>
                                </w:rPr>
                                <w:instrText xml:space="preserve">,7)</w:instrText>
                              </w:r>
                              <w:r>
                                <w:rPr>
                                  <w:b/>
                                  <w:bCs/>
                                  <w:color w:val="000000"/>
                                  <w:sz w:val="18"/>
                                  <w:szCs w:val="18"/>
                                </w:rPr>
                                <w:fldChar w:fldCharType="end"/>
                              </w:r>
                            </w:p>
                          </w:txbxContent>
                        </wps:txbx>
                        <wps:bodyPr rot="0" vert="horz" wrap="square" lIns="57087" tIns="28544" rIns="57087" bIns="28544" anchor="t" anchorCtr="0" upright="1">
                          <a:noAutofit/>
                        </wps:bodyPr>
                      </wps:wsp>
                      <wps:wsp>
                        <wps:cNvPr id="423" name="Rectangle 3685"/>
                        <wps:cNvSpPr>
                          <a:spLocks noChangeArrowheads="1"/>
                        </wps:cNvSpPr>
                        <wps:spPr bwMode="auto">
                          <a:xfrm>
                            <a:off x="4568" y="3498"/>
                            <a:ext cx="1091" cy="490"/>
                          </a:xfrm>
                          <a:prstGeom prst="rect">
                            <a:avLst/>
                          </a:prstGeom>
                          <a:noFill/>
                          <a:ln>
                            <a:noFill/>
                          </a:ln>
                          <a:effectLst/>
                        </wps:spPr>
                        <wps:txbx>
                          <w:txbxContent>
                            <w:p>
                              <w:pPr>
                                <w:autoSpaceDE w:val="0"/>
                                <w:autoSpaceDN w:val="0"/>
                                <w:adjustRightInd w:val="0"/>
                                <w:jc w:val="center"/>
                                <w:rPr>
                                  <w:rFonts w:cs="宋体"/>
                                  <w:color w:val="000000"/>
                                  <w:sz w:val="18"/>
                                  <w:szCs w:val="18"/>
                                  <w:lang w:val="zh-CN"/>
                                </w:rPr>
                              </w:pPr>
                              <w:r>
                                <w:rPr>
                                  <w:b/>
                                  <w:bCs/>
                                  <w:color w:val="000000"/>
                                  <w:sz w:val="18"/>
                                  <w:szCs w:val="18"/>
                                </w:rPr>
                                <w:fldChar w:fldCharType="begin"/>
                              </w:r>
                              <w:r>
                                <w:rPr>
                                  <w:b/>
                                  <w:bCs/>
                                  <w:color w:val="000000"/>
                                  <w:sz w:val="18"/>
                                  <w:szCs w:val="18"/>
                                </w:rPr>
                                <w:instrText xml:space="preserve"> </w:instrText>
                              </w:r>
                              <w:r>
                                <w:rPr>
                                  <w:rFonts w:hint="eastAsia"/>
                                  <w:b/>
                                  <w:bCs/>
                                  <w:color w:val="000000"/>
                                  <w:sz w:val="18"/>
                                  <w:szCs w:val="18"/>
                                </w:rPr>
                                <w:instrText xml:space="preserve">eq \o\ac(</w:instrText>
                              </w:r>
                              <w:r>
                                <w:rPr>
                                  <w:rFonts w:hint="eastAsia"/>
                                  <w:b/>
                                  <w:bCs/>
                                  <w:color w:val="000000"/>
                                  <w:position w:val="-3"/>
                                  <w:sz w:val="27"/>
                                  <w:szCs w:val="18"/>
                                </w:rPr>
                                <w:instrText xml:space="preserve">○</w:instrText>
                              </w:r>
                              <w:r>
                                <w:rPr>
                                  <w:rFonts w:hint="eastAsia"/>
                                  <w:b/>
                                  <w:bCs/>
                                  <w:color w:val="000000"/>
                                  <w:sz w:val="18"/>
                                  <w:szCs w:val="18"/>
                                </w:rPr>
                                <w:instrText xml:space="preserve">,8)</w:instrText>
                              </w:r>
                              <w:r>
                                <w:rPr>
                                  <w:b/>
                                  <w:bCs/>
                                  <w:color w:val="000000"/>
                                  <w:sz w:val="18"/>
                                  <w:szCs w:val="18"/>
                                </w:rPr>
                                <w:fldChar w:fldCharType="end"/>
                              </w:r>
                              <w:r>
                                <w:rPr>
                                  <w:b/>
                                  <w:bCs/>
                                  <w:color w:val="000000"/>
                                  <w:sz w:val="18"/>
                                  <w:szCs w:val="18"/>
                                </w:rPr>
                                <w:fldChar w:fldCharType="begin"/>
                              </w:r>
                              <w:r>
                                <w:rPr>
                                  <w:b/>
                                  <w:bCs/>
                                  <w:color w:val="000000"/>
                                  <w:sz w:val="18"/>
                                  <w:szCs w:val="18"/>
                                </w:rPr>
                                <w:instrText xml:space="preserve"> </w:instrText>
                              </w:r>
                              <w:r>
                                <w:rPr>
                                  <w:rFonts w:hint="eastAsia"/>
                                  <w:b/>
                                  <w:bCs/>
                                  <w:color w:val="000000"/>
                                  <w:sz w:val="18"/>
                                  <w:szCs w:val="18"/>
                                </w:rPr>
                                <w:instrText xml:space="preserve">eq \o\ac(</w:instrText>
                              </w:r>
                              <w:r>
                                <w:rPr>
                                  <w:rFonts w:hint="eastAsia"/>
                                  <w:b/>
                                  <w:bCs/>
                                  <w:color w:val="000000"/>
                                  <w:position w:val="-3"/>
                                  <w:sz w:val="27"/>
                                  <w:szCs w:val="18"/>
                                </w:rPr>
                                <w:instrText xml:space="preserve">○</w:instrText>
                              </w:r>
                              <w:r>
                                <w:rPr>
                                  <w:rFonts w:hint="eastAsia"/>
                                  <w:b/>
                                  <w:bCs/>
                                  <w:color w:val="000000"/>
                                  <w:sz w:val="18"/>
                                  <w:szCs w:val="18"/>
                                </w:rPr>
                                <w:instrText xml:space="preserve">,9)</w:instrText>
                              </w:r>
                              <w:r>
                                <w:rPr>
                                  <w:b/>
                                  <w:bCs/>
                                  <w:color w:val="000000"/>
                                  <w:sz w:val="18"/>
                                  <w:szCs w:val="18"/>
                                </w:rPr>
                                <w:fldChar w:fldCharType="end"/>
                              </w:r>
                            </w:p>
                          </w:txbxContent>
                        </wps:txbx>
                        <wps:bodyPr rot="0" vert="horz" wrap="square" lIns="57087" tIns="28544" rIns="57087" bIns="28544" anchor="t" anchorCtr="0" upright="1">
                          <a:noAutofit/>
                        </wps:bodyPr>
                      </wps:wsp>
                      <wps:wsp>
                        <wps:cNvPr id="424" name="Rectangle 3686"/>
                        <wps:cNvSpPr>
                          <a:spLocks noChangeArrowheads="1"/>
                        </wps:cNvSpPr>
                        <wps:spPr bwMode="auto">
                          <a:xfrm>
                            <a:off x="4838" y="3878"/>
                            <a:ext cx="956" cy="449"/>
                          </a:xfrm>
                          <a:prstGeom prst="rect">
                            <a:avLst/>
                          </a:prstGeom>
                          <a:noFill/>
                          <a:ln>
                            <a:noFill/>
                          </a:ln>
                          <a:effectLst/>
                        </wps:spPr>
                        <wps:txbx>
                          <w:txbxContent>
                            <w:p>
                              <w:pPr>
                                <w:autoSpaceDE w:val="0"/>
                                <w:autoSpaceDN w:val="0"/>
                                <w:adjustRightInd w:val="0"/>
                                <w:jc w:val="left"/>
                                <w:rPr>
                                  <w:rFonts w:cs="宋体"/>
                                  <w:color w:val="000000"/>
                                  <w:sz w:val="18"/>
                                  <w:szCs w:val="18"/>
                                  <w:lang w:val="zh-CN"/>
                                </w:rPr>
                              </w:pPr>
                              <w:r>
                                <w:rPr>
                                  <w:b/>
                                  <w:bCs/>
                                  <w:color w:val="000000"/>
                                  <w:sz w:val="18"/>
                                  <w:szCs w:val="18"/>
                                </w:rPr>
                                <w:fldChar w:fldCharType="begin"/>
                              </w:r>
                              <w:r>
                                <w:rPr>
                                  <w:b/>
                                  <w:bCs/>
                                  <w:color w:val="000000"/>
                                  <w:sz w:val="18"/>
                                  <w:szCs w:val="18"/>
                                </w:rPr>
                                <w:instrText xml:space="preserve"> </w:instrText>
                              </w:r>
                              <w:r>
                                <w:rPr>
                                  <w:rFonts w:hint="eastAsia"/>
                                  <w:b/>
                                  <w:bCs/>
                                  <w:color w:val="000000"/>
                                  <w:sz w:val="18"/>
                                  <w:szCs w:val="18"/>
                                </w:rPr>
                                <w:instrText xml:space="preserve">eq \o\ac(</w:instrText>
                              </w:r>
                              <w:r>
                                <w:rPr>
                                  <w:rFonts w:hint="eastAsia"/>
                                  <w:b/>
                                  <w:bCs/>
                                  <w:color w:val="000000"/>
                                  <w:position w:val="-3"/>
                                  <w:sz w:val="27"/>
                                  <w:szCs w:val="18"/>
                                </w:rPr>
                                <w:instrText xml:space="preserve">○</w:instrText>
                              </w:r>
                              <w:r>
                                <w:rPr>
                                  <w:rFonts w:hint="eastAsia"/>
                                  <w:b/>
                                  <w:bCs/>
                                  <w:color w:val="000000"/>
                                  <w:sz w:val="18"/>
                                  <w:szCs w:val="18"/>
                                </w:rPr>
                                <w:instrText xml:space="preserve">,10)</w:instrText>
                              </w:r>
                              <w:r>
                                <w:rPr>
                                  <w:b/>
                                  <w:bCs/>
                                  <w:color w:val="000000"/>
                                  <w:sz w:val="18"/>
                                  <w:szCs w:val="18"/>
                                </w:rPr>
                                <w:fldChar w:fldCharType="end"/>
                              </w:r>
                            </w:p>
                          </w:txbxContent>
                        </wps:txbx>
                        <wps:bodyPr rot="0" vert="horz" wrap="square" lIns="57087" tIns="28544" rIns="57087" bIns="28544" anchor="t" anchorCtr="0" upright="1">
                          <a:noAutofit/>
                        </wps:bodyPr>
                      </wps:wsp>
                    </wpg:wgp>
                  </a:graphicData>
                </a:graphic>
              </wp:inline>
            </w:drawing>
          </mc:Choice>
          <mc:Fallback>
            <w:pict>
              <v:group id="_x0000_s1026" o:spid="_x0000_s1026" o:spt="203" style="height:323.45pt;width:415.6pt;" coordsize="8312,6469" o:gfxdata="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">
                <o:lock v:ext="edit" aspectratio="f"/>
                <v:rect id="Picture 3616" o:spid="_x0000_s1026" o:spt="1" style="position:absolute;left:0;top:0;height:6469;width:8312;" filled="f" stroked="f" coordsize="21600,21600" o:gfxdata="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Cf3jvQAA&#10;ANwAAAAPAAAAAAAAAAEAIAAAACIAAABkcnMvZG93bnJldi54bWxQSwECFAAUAAAACACHTuJAMy8F&#10;njsAAAA5AAAAEAAAAAAAAAABACAAAAAMAQAAZHJzL3NoYXBleG1sLnhtbFBLBQYAAAAABgAGAFsB&#10;AAC2AwAAAAA=&#10;">
                  <v:fill on="f" focussize="0,0"/>
                  <v:stroke on="f"/>
                  <v:imagedata o:title=""/>
                  <o:lock v:ext="edit" text="t" aspectratio="t"/>
                </v:rect>
                <v:rect id="Rectangle 3617" o:spid="_x0000_s1026" o:spt="1" style="position:absolute;left:5436;top:2496;height:2184;width:2664;mso-wrap-style:none;v-text-anchor:middle;" fillcolor="#FFFF99" filled="t" stroked="t" coordsize="21600,21600" o:gfxdata="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KXYa/&#10;AAAA3A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shadow on="t" color="#969696" offset="6pt,6pt" origin="0f,0f" matrix="65536f,0f,0f,65536f"/>
                </v:rect>
                <v:rect id="Rectangle 3618" o:spid="_x0000_s1026" o:spt="1" style="position:absolute;left:227;top:490;height:4291;width:1501;mso-wrap-style:none;v-text-anchor:middle;" fillcolor="#FFFFFF" filled="t" stroked="t" coordsize="21600,21600" o:gfxdata="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Wnpq8AAAA&#10;3AAAAA8AAAAAAAAAAQAgAAAAIgAAAGRycy9kb3ducmV2LnhtbFBLAQIUABQAAAAIAIdO4kAzLwWe&#10;OwAAADkAAAAQAAAAAAAAAAEAIAAAAAsBAABkcnMvc2hhcGV4bWwueG1sUEsFBgAAAAAGAAYAWwEA&#10;ALUDAAAAAA==&#10;">
                  <v:fill on="t" opacity="32768f" focussize="0,0"/>
                  <v:stroke weight="1pt" color="#000000" miterlimit="8" joinstyle="miter" dashstyle="dash"/>
                  <v:imagedata o:title=""/>
                  <o:lock v:ext="edit" aspectratio="f"/>
                </v:rect>
                <v:rect id="Rectangle 3619" o:spid="_x0000_s1026" o:spt="1" style="position:absolute;left:5400;top:2496;height:2259;width:2653;mso-wrap-style:none;v-text-anchor:middle;" fillcolor="#FFFFFF" filled="t" stroked="t" coordsize="21600,21600" o:gfxdata="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2jsBvQAA&#10;ANwAAAAPAAAAAAAAAAEAIAAAACIAAABkcnMvZG93bnJldi54bWxQSwECFAAUAAAACACHTuJAMy8F&#10;njsAAAA5AAAAEAAAAAAAAAABACAAAAAMAQAAZHJzL3NoYXBleG1sLnhtbFBLBQYAAAAABgAGAFsB&#10;AAC2AwAAAAA=&#10;">
                  <v:fill on="t" opacity="32768f" focussize="0,0"/>
                  <v:stroke weight="1pt" color="#000000" miterlimit="8" joinstyle="miter" dashstyle="dash"/>
                  <v:imagedata o:title=""/>
                  <o:lock v:ext="edit" aspectratio="f"/>
                </v:rect>
                <v:rect id="Rectangle 3620" o:spid="_x0000_s1026" o:spt="1" style="position:absolute;left:2412;top:1248;height:3536;width:2448;mso-wrap-style:none;v-text-anchor:middle;" fillcolor="#00CC99" filled="t" stroked="t" coordsize="21600,21600" o:gfxdata="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7mwAb4A&#10;AADcAAAADwAAAAAAAAABACAAAAAiAAAAZHJzL2Rvd25yZXYueG1sUEsBAhQAFAAAAAgAh07iQDMv&#10;BZ47AAAAOQAAABAAAAAAAAAAAQAgAAAADQEAAGRycy9zaGFwZXhtbC54bWxQSwUGAAAAAAYABgBb&#10;AQAAtwMAAAAA&#10;">
                  <v:fill on="t" focussize="0,0"/>
                  <v:stroke weight="1pt" color="#000000" miterlimit="8" joinstyle="miter" dashstyle="dash"/>
                  <v:imagedata o:title=""/>
                  <o:lock v:ext="edit" aspectratio="f"/>
                </v:rect>
                <v:line id="Line 3621" o:spid="_x0000_s1026" o:spt="20" style="position:absolute;left:73;top:283;height:0;width:8196;" filled="f" stroked="t" coordsize="21600,21600" o:gfxdata="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DBivQAA&#10;ANwAAAAPAAAAAAAAAAEAIAAAACIAAABkcnMvZG93bnJldi54bWxQSwECFAAUAAAACACHTuJAMy8F&#10;njsAAAA5AAAAEAAAAAAAAAABACAAAAAMAQAAZHJzL3NoYXBleG1sLnhtbFBLBQYAAAAABgAGAFsB&#10;AAC2AwAAAAA=&#10;">
                  <v:fill on="f" focussize="0,0"/>
                  <v:stroke weight="4pt" color="#000000" joinstyle="round"/>
                  <v:imagedata o:title=""/>
                  <o:lock v:ext="edit" aspectratio="f"/>
                </v:line>
                <v:line id="Line 3622" o:spid="_x0000_s1026" o:spt="20" style="position:absolute;left:71;top:285;height:6129;width:0;" filled="f" stroked="t" coordsize="21600,21600" o:gfxdata="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56uFbsAAADc&#10;AAAADwAAAAAAAAABACAAAAAiAAAAZHJzL2Rvd25yZXYueG1sUEsBAhQAFAAAAAgAh07iQDMvBZ47&#10;AAAAOQAAABAAAAAAAAAAAQAgAAAACgEAAGRycy9zaGFwZXhtbC54bWxQSwUGAAAAAAYABgBbAQAA&#10;tAMAAAAA&#10;">
                  <v:fill on="f" focussize="0,0"/>
                  <v:stroke weight="4pt" color="#000000" joinstyle="round"/>
                  <v:imagedata o:title=""/>
                  <o:lock v:ext="edit" aspectratio="f"/>
                </v:line>
                <v:line id="Line 3623" o:spid="_x0000_s1026" o:spt="20" style="position:absolute;left:8296;top:298;height:6128;width:3;" filled="f" stroked="t" coordsize="21600,21600" o:gfxdata="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NILjrsAAADc&#10;AAAADwAAAAAAAAABACAAAAAiAAAAZHJzL2Rvd25yZXYueG1sUEsBAhQAFAAAAAgAh07iQDMvBZ47&#10;AAAAOQAAABAAAAAAAAAAAQAgAAAACgEAAGRycy9zaGFwZXhtbC54bWxQSwUGAAAAAAYABgBbAQAA&#10;tAMAAAAA&#10;">
                  <v:fill on="f" focussize="0,0"/>
                  <v:stroke weight="4pt" color="#000000" joinstyle="round"/>
                  <v:imagedata o:title=""/>
                  <o:lock v:ext="edit" aspectratio="f"/>
                </v:line>
                <v:line id="Line 3624" o:spid="_x0000_s1026" o:spt="20" style="position:absolute;left:73;top:6400;flip:y;height:14;width:8239;" filled="f" stroked="t" coordsize="21600,21600" o:gfxdata="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3dyS8AAAA&#10;3AAAAA8AAAAAAAAAAQAgAAAAIgAAAGRycy9kb3ducmV2LnhtbFBLAQIUABQAAAAIAIdO4kAzLwWe&#10;OwAAADkAAAAQAAAAAAAAAAEAIAAAAAsBAABkcnMvc2hhcGV4bWwueG1sUEsFBgAAAAAGAAYAWwEA&#10;ALUDAAAAAA==&#10;">
                  <v:fill on="f" focussize="0,0"/>
                  <v:stroke weight="4pt" color="#000000" joinstyle="round"/>
                  <v:imagedata o:title=""/>
                  <o:lock v:ext="edit" aspectratio="f"/>
                </v:line>
                <v:rect id="Rectangle 3625" o:spid="_x0000_s1026" o:spt="1" style="position:absolute;left:2608;top:1560;height:2976;width:2124;mso-wrap-style:none;v-text-anchor:middle;" fillcolor="#00CC99" filled="t" stroked="t" coordsize="21600,21600" o:gfxdata="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7oYr4A&#10;AADc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shadow on="t" color="#969696" offset="6pt,6pt" origin="0f,0f" matrix="65536f,0f,0f,65536f"/>
                </v:rect>
                <v:rect id="Rectangle 3626" o:spid="_x0000_s1026" o:spt="1" style="position:absolute;left:277;top:5131;height:479;width:4358;" filled="f" stroked="f" coordsize="21600,21600" o:gfxdata="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2Tb74A&#10;AADcAAAADwAAAAAAAAABACAAAAAiAAAAZHJzL2Rvd25yZXYueG1sUEsBAhQAFAAAAAgAh07iQDMv&#10;BZ47AAAAOQAAABAAAAAAAAAAAQAgAAAADQEAAGRycy9zaGFwZXhtbC54bWxQSwUGAAAAAAYABgBb&#10;AQAAtwMAAAAA&#10;">
                  <v:fill on="f" focussize="0,0"/>
                  <v:stroke on="f"/>
                  <v:imagedata o:title=""/>
                  <o:lock v:ext="edit" aspectratio="f"/>
                  <v:textbox inset="1.58575mm,2.24755905511811pt,1.58575mm,2.24755905511811pt" style="mso-fit-shape-to-text:t;">
                    <w:txbxContent>
                      <w:p>
                        <w:pPr>
                          <w:autoSpaceDE w:val="0"/>
                          <w:autoSpaceDN w:val="0"/>
                          <w:adjustRightInd w:val="0"/>
                          <w:rPr>
                            <w:rFonts w:cs="宋体"/>
                            <w:color w:val="000000"/>
                            <w:sz w:val="15"/>
                            <w:lang w:val="zh-CN"/>
                          </w:rPr>
                        </w:pPr>
                        <w:r>
                          <w:rPr>
                            <w:rFonts w:hint="eastAsia" w:cs="宋体"/>
                            <w:color w:val="000000"/>
                            <w:sz w:val="15"/>
                            <w:lang w:val="zh-CN"/>
                          </w:rPr>
                          <w:t>注：白色虚线框内所有系统及改造由</w:t>
                        </w:r>
                        <w:r>
                          <w:rPr>
                            <w:rFonts w:hint="eastAsia" w:cs="宋体"/>
                            <w:color w:val="000000"/>
                            <w:sz w:val="15"/>
                            <w:lang w:val="en-US" w:eastAsia="zh-CN"/>
                          </w:rPr>
                          <w:t>xx交通</w:t>
                        </w:r>
                        <w:r>
                          <w:rPr>
                            <w:rFonts w:hint="eastAsia" w:cs="宋体"/>
                            <w:color w:val="000000"/>
                            <w:sz w:val="15"/>
                          </w:rPr>
                          <w:t>集团</w:t>
                        </w:r>
                        <w:r>
                          <w:rPr>
                            <w:rFonts w:hint="eastAsia" w:cs="宋体"/>
                            <w:color w:val="000000"/>
                            <w:sz w:val="15"/>
                            <w:lang w:val="zh-CN"/>
                          </w:rPr>
                          <w:t>负责，绿色虚线框内所有设备由**信息负责。</w:t>
                        </w:r>
                      </w:p>
                    </w:txbxContent>
                  </v:textbox>
                </v:rect>
                <v:group id="Group 3627" o:spid="_x0000_s1026" o:spt="203" style="position:absolute;left:5102;top:5285;height:1130;width:3176;" coordsize="2064,734" o:gfxdata="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Ks/rvwAAANwAAAAPAAAAAAAAAAEAIAAAACIAAABkcnMvZG93bnJldi54&#10;bWxQSwECFAAUAAAACACHTuJAMy8FnjsAAAA5AAAAFQAAAAAAAAABACAAAAAOAQAAZHJzL2dyb3Vw&#10;c2hhcGV4bWwueG1sUEsFBgAAAAAGAAYAYAEAAMsDAAAAAA==&#10;">
                  <o:lock v:ext="edit" aspectratio="f"/>
                  <v:line id="Line 3628" o:spid="_x0000_s1026" o:spt="20" style="position:absolute;left:7;top:0;flip:x;height:0;width:1768;" filled="f" stroked="t" coordsize="21600,21600" o:gfxdata="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Vg8a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3629" o:spid="_x0000_s1026" o:spt="20" style="position:absolute;left:0;top:55;height:665;width:0;" filled="f" stroked="t" coordsize="21600,21600" o:gfxdata="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ClkK/&#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3630" o:spid="_x0000_s1026" o:spt="20" style="position:absolute;left:7;top:144;height:0;width:1768;" filled="f" stroked="t" coordsize="21600,21600" o:gfxdata="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rDja/&#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3632" o:spid="_x0000_s1026" o:spt="20" style="position:absolute;left:7;top:432;height:0;width:1768;" filled="f" stroked="t" coordsize="21600,21600" o:gfxdata="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U12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3633" o:spid="_x0000_s1026" o:spt="20" style="position:absolute;left:7;top:576;height:0;width:1768;" filled="f" stroked="t" coordsize="21600,21600" o:gfxdata="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5kEG/&#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3638" o:spid="_x0000_s1026" o:spt="20" style="position:absolute;left:240;top:439;height:281;width:0;" filled="f" stroked="t" coordsize="21600,21600" o:gfxdata="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i+WS/&#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3639" o:spid="_x0000_s1026" o:spt="20" style="position:absolute;left:528;top:439;height:281;width:0;" filled="f" stroked="t" coordsize="21600,21600" o:gfxdata="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5c/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3640" o:spid="_x0000_s1026" o:spt="20" style="position:absolute;left:768;top:439;height:281;width:0;" filled="f" stroked="t" coordsize="21600,21600" o:gfxdata="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fEi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3641" o:spid="_x0000_s1026" o:spt="20" style="position:absolute;left:1814;top:578;height:156;width:0;" filled="f" stroked="t" coordsize="21600,21600" o:gfxdata="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thE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3642" o:spid="_x0000_s1026" o:spt="20" style="position:absolute;left:1334;top:578;height:137;width:0;" filled="f" stroked="t" coordsize="21600,21600" o:gfxdata="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mf9n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3643" o:spid="_x0000_s1026" o:spt="20" style="position:absolute;left:1584;top:583;height:137;width:0;" filled="f" stroked="t" coordsize="21600,21600" o:gfxdata="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VWvy/&#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3644" o:spid="_x0000_s1026" o:spt="20" style="position:absolute;left:1104;top:439;height:281;width:0;" filled="f" stroked="t" coordsize="21600,21600" o:gfxdata="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UrOjr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Line 3645" o:spid="_x0000_s1026" o:spt="20" style="position:absolute;left:1334;top:434;height:137;width:0;" filled="f" stroked="t" coordsize="21600,21600" o:gfxdata="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GaxW/&#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3646" o:spid="_x0000_s1026" o:spt="20" style="position:absolute;left:1783;top:432;height:0;width:281;" filled="f" stroked="t" coordsize="21600,21600" o:gfxdata="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lVFW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Line 3647" o:spid="_x0000_s1026" o:spt="20" style="position:absolute;left:1783;top:576;height:0;width:281;" filled="f" stroked="t" coordsize="21600,21600" o:gfxdata="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p8c6/&#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3648" o:spid="_x0000_s1026" o:spt="20" style="position:absolute;left:7;top:288;height:0;width:2056;" filled="f" stroked="t" coordsize="21600,21600" o:gfxdata="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tvu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3649" o:spid="_x0000_s1026" o:spt="20" style="position:absolute;left:0;top:2;height:94;width:0;" filled="f" stroked="t" coordsize="21600,21600" o:gfxdata="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fKI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rect id="Rectangle 3654" o:spid="_x0000_s1026" o:spt="1" style="position:absolute;left:0;top:0;height:144;width:480;" filled="f" stroked="f" coordsize="21600,21600" o:gfxdata="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S4I74A&#10;AADcAAAADwAAAAAAAAABACAAAAAiAAAAZHJzL2Rvd25yZXYueG1sUEsBAhQAFAAAAAgAh07iQDMv&#10;BZ47AAAAOQAAABAAAAAAAAAAAQAgAAAADQEAAGRycy9zaGFwZXhtbC54bWxQSwUGAAAAAAYABgBb&#10;AQAAtwMAAAAA&#10;">
                    <v:fill on="f" focussize="0,0"/>
                    <v:stroke on="f"/>
                    <v:imagedata o:title=""/>
                    <o:lock v:ext="edit" aspectratio="f"/>
                    <v:textbox inset="1.58575mm,2.24755905511811pt,1.58575mm,2.24755905511811pt">
                      <w:txbxContent>
                        <w:p>
                          <w:pPr>
                            <w:autoSpaceDE w:val="0"/>
                            <w:autoSpaceDN w:val="0"/>
                            <w:adjustRightInd w:val="0"/>
                            <w:rPr>
                              <w:rFonts w:cs="宋体"/>
                              <w:color w:val="000000"/>
                              <w:sz w:val="11"/>
                              <w:szCs w:val="18"/>
                              <w:lang w:val="zh-CN"/>
                            </w:rPr>
                          </w:pPr>
                        </w:p>
                      </w:txbxContent>
                    </v:textbox>
                  </v:rect>
                  <v:line id="Line 3655" o:spid="_x0000_s1026" o:spt="20" style="position:absolute;left:432;top:7;height:425;width:0;" filled="f" stroked="t" coordsize="21600,21600" o:gfxdata="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f/ci/&#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3656" o:spid="_x0000_s1026" o:spt="1" style="position:absolute;left:432;top:0;height:144;width:1631;" filled="f" stroked="f" coordsize="21600,21600" o:gfxdata="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ZMdYvQAA&#10;ANwAAAAPAAAAAAAAAAEAIAAAACIAAABkcnMvZG93bnJldi54bWxQSwECFAAUAAAACACHTuJAMy8F&#10;njsAAAA5AAAAEAAAAAAAAAABACAAAAAMAQAAZHJzL3NoYXBleG1sLnhtbFBLBQYAAAAABgAGAFsB&#10;AAC2AwAAAAA=&#10;">
                    <v:fill on="f" focussize="0,0"/>
                    <v:stroke on="f"/>
                    <v:imagedata o:title=""/>
                    <o:lock v:ext="edit" aspectratio="f"/>
                    <v:textbox inset="1.58575mm,2.24755905511811pt,1.58575mm,2.24755905511811pt">
                      <w:txbxContent>
                        <w:p>
                          <w:pPr>
                            <w:autoSpaceDE w:val="0"/>
                            <w:autoSpaceDN w:val="0"/>
                            <w:adjustRightInd w:val="0"/>
                            <w:rPr>
                              <w:rFonts w:ascii="宋体" w:hAnsi="Arial" w:cs="宋体"/>
                              <w:color w:val="000000"/>
                              <w:sz w:val="11"/>
                              <w:szCs w:val="18"/>
                              <w:lang w:val="zh-CN"/>
                            </w:rPr>
                          </w:pPr>
                        </w:p>
                      </w:txbxContent>
                    </v:textbox>
                  </v:rect>
                  <v:line id="Line 3657" o:spid="_x0000_s1026" o:spt="20" style="position:absolute;left:1783;top:0;height:0;width:281;" filled="f" stroked="t" coordsize="21600,21600" o:gfxdata="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vgrO/&#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3658" o:spid="_x0000_s1026" o:spt="20" style="position:absolute;left:1783;top:144;height:0;width:281;" filled="f" stroked="t" coordsize="21600,21600" o:gfxdata="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0cx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rect id="Rectangle 3660" o:spid="_x0000_s1026" o:spt="1" style="position:absolute;left:433;top:144;height:144;width:1631;" filled="f" stroked="f" coordsize="21600,21600" o:gfxdata="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X8Fb&#10;wAAAANwAAAAPAAAAAAAAAAEAIAAAACIAAABkcnMvZG93bnJldi54bWxQSwECFAAUAAAACACHTuJA&#10;My8FnjsAAAA5AAAAEAAAAAAAAAABACAAAAAPAQAAZHJzL3NoYXBleG1sLnhtbFBLBQYAAAAABgAG&#10;AFsBAAC5AwAAAAA=&#10;">
                    <v:fill on="f" focussize="0,0"/>
                    <v:stroke on="f"/>
                    <v:imagedata o:title=""/>
                    <o:lock v:ext="edit" aspectratio="f"/>
                    <v:textbox inset="1.58575mm,2.24755905511811pt,1.58575mm,2.24755905511811pt">
                      <w:txbxContent>
                        <w:p>
                          <w:pPr>
                            <w:autoSpaceDE w:val="0"/>
                            <w:autoSpaceDN w:val="0"/>
                            <w:adjustRightInd w:val="0"/>
                            <w:rPr>
                              <w:rFonts w:cs="宋体"/>
                              <w:color w:val="000000"/>
                              <w:sz w:val="11"/>
                              <w:szCs w:val="18"/>
                              <w:lang w:val="zh-CN"/>
                            </w:rPr>
                          </w:pPr>
                        </w:p>
                      </w:txbxContent>
                    </v:textbox>
                  </v:rect>
                </v:group>
                <v:rect id="Rectangle 3661" o:spid="_x0000_s1026" o:spt="1" style="position:absolute;left:7131;top:3108;height:1126;width:810;v-text-anchor:middle;" fillcolor="#FFFFFF" filled="t" stroked="t" coordsize="21600,21600" o:gfxdata="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mdtjvQAA&#10;ANw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rect>
                <v:rect id="Rectangle 3662" o:spid="_x0000_s1026" o:spt="1" style="position:absolute;left:5810;top:3112;height:1113;width:823;v-text-anchor:middle;" fillcolor="#FFFFFF" filled="t" stroked="t" coordsize="21600,21600" o:gfxdata="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tFFL4A&#10;AADc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rect>
                <v:rect id="Rectangle 3663" o:spid="_x0000_s1026" o:spt="1" style="position:absolute;left:5861;top:3276;height:936;width:728;" filled="f" stroked="f" coordsize="21600,21600" o:gfxdata="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I1f&#10;LMEAAADcAAAADwAAAAAAAAABACAAAAAiAAAAZHJzL2Rvd25yZXYueG1sUEsBAhQAFAAAAAgAh07i&#10;QDMvBZ47AAAAOQAAABAAAAAAAAAAAQAgAAAAEAEAAGRycy9zaGFwZXhtbC54bWxQSwUGAAAAAAYA&#10;BgBbAQAAugMAAAAA&#10;">
                  <v:fill on="f" focussize="0,0"/>
                  <v:stroke on="f"/>
                  <v:imagedata o:title=""/>
                  <o:lock v:ext="edit" aspectratio="f"/>
                  <v:textbox inset="1.58575mm,2.24755905511811pt,1.58575mm,2.24755905511811pt">
                    <w:txbxContent>
                      <w:p>
                        <w:pPr>
                          <w:autoSpaceDE w:val="0"/>
                          <w:autoSpaceDN w:val="0"/>
                          <w:adjustRightInd w:val="0"/>
                          <w:jc w:val="center"/>
                          <w:rPr>
                            <w:rFonts w:cs="宋体"/>
                            <w:color w:val="000000"/>
                            <w:sz w:val="17"/>
                            <w:szCs w:val="28"/>
                            <w:lang w:val="zh-CN"/>
                          </w:rPr>
                        </w:pPr>
                        <w:r>
                          <w:rPr>
                            <w:rFonts w:hint="eastAsia" w:cs="宋体"/>
                            <w:color w:val="000000"/>
                            <w:sz w:val="17"/>
                            <w:szCs w:val="28"/>
                            <w:lang w:val="zh-CN"/>
                          </w:rPr>
                          <w:t>省级税务端系统</w:t>
                        </w:r>
                      </w:p>
                    </w:txbxContent>
                  </v:textbox>
                </v:rect>
                <v:rect id="Rectangle 3664" o:spid="_x0000_s1026" o:spt="1" style="position:absolute;left:7121;top:3276;height:624;width:882;" filled="f" stroked="f" coordsize="21600,21600" o:gfxdata="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EstevQAA&#10;ANwAAAAPAAAAAAAAAAEAIAAAACIAAABkcnMvZG93bnJldi54bWxQSwECFAAUAAAACACHTuJAMy8F&#10;njsAAAA5AAAAEAAAAAAAAAABACAAAAAMAQAAZHJzL3NoYXBleG1sLnhtbFBLBQYAAAAABgAGAFsB&#10;AAC2AwAAAAA=&#10;">
                  <v:fill on="f" focussize="0,0"/>
                  <v:stroke on="f"/>
                  <v:imagedata o:title=""/>
                  <o:lock v:ext="edit" aspectratio="f"/>
                  <v:textbox inset="1.58575mm,2.24755905511811pt,1.58575mm,2.24755905511811pt">
                    <w:txbxContent>
                      <w:p>
                        <w:pPr>
                          <w:autoSpaceDE w:val="0"/>
                          <w:autoSpaceDN w:val="0"/>
                          <w:adjustRightInd w:val="0"/>
                          <w:jc w:val="center"/>
                          <w:rPr>
                            <w:rFonts w:cs="宋体"/>
                            <w:color w:val="000000"/>
                            <w:sz w:val="17"/>
                            <w:szCs w:val="28"/>
                            <w:lang w:val="zh-CN"/>
                          </w:rPr>
                        </w:pPr>
                        <w:r>
                          <w:rPr>
                            <w:rFonts w:hint="eastAsia" w:cs="宋体"/>
                            <w:color w:val="000000"/>
                            <w:sz w:val="17"/>
                            <w:szCs w:val="28"/>
                            <w:lang w:val="zh-CN"/>
                          </w:rPr>
                          <w:t>总局税务端系统</w:t>
                        </w:r>
                      </w:p>
                    </w:txbxContent>
                  </v:textbox>
                </v:rect>
                <v:line id="Line 3665" o:spid="_x0000_s1026" o:spt="20" style="position:absolute;left:4290;top:3900;flip:y;height:1;width:1520;" filled="f" stroked="t" coordsize="21600,21600" o:gfxdata="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gkN7sAAADc&#10;AAAADwAAAAAAAAABACAAAAAiAAAAZHJzL2Rvd25yZXYueG1sUEsBAhQAFAAAAAgAh07iQDMvBZ47&#10;AAAAOQAAABAAAAAAAAAAAQAgAAAACgEAAGRycy9zaGFwZXhtbC54bWxQSwUGAAAAAAYABgBbAQAA&#10;tAMAAAAA&#10;">
                  <v:fill on="f" focussize="0,0"/>
                  <v:stroke weight="1pt" color="#000000" joinstyle="round" startarrow="classic" endarrow="classic"/>
                  <v:imagedata o:title=""/>
                  <o:lock v:ext="edit" aspectratio="f"/>
                </v:line>
                <v:line id="Line 3666" o:spid="_x0000_s1026" o:spt="20" style="position:absolute;left:6641;top:3812;height:4;width:457;" filled="f" stroked="t" coordsize="21600,21600" o:gfxdata="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o2o725AAAA3AAA&#10;AA8AAAAAAAAAAQAgAAAAIgAAAGRycy9kb3ducmV2LnhtbFBLAQIUABQAAAAIAIdO4kAzLwWeOwAA&#10;ADkAAAAQAAAAAAAAAAEAIAAAAAgBAABkcnMvc2hhcGV4bWwueG1sUEsFBgAAAAAGAAYAWwEAALID&#10;AAAAAA==&#10;">
                  <v:fill on="f" focussize="0,0"/>
                  <v:stroke weight="1pt" color="#000000" joinstyle="round" startarrow="classic" endarrow="classic"/>
                  <v:imagedata o:title=""/>
                  <o:lock v:ext="edit" aspectratio="f"/>
                </v:line>
                <v:line id="Line 3667" o:spid="_x0000_s1026" o:spt="20" style="position:absolute;left:6657;top:3548;height:3;width:457;" filled="f" stroked="t" coordsize="21600,21600" o:gfxdata="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egYmvQAA&#10;ANwAAAAPAAAAAAAAAAEAIAAAACIAAABkcnMvZG93bnJldi54bWxQSwECFAAUAAAACACHTuJAMy8F&#10;njsAAAA5AAAAEAAAAAAAAAABACAAAAAMAQAAZHJzL3NoYXBleG1sLnhtbFBLBQYAAAAABgAGAFsB&#10;AAC2AwAAAAA=&#10;">
                  <v:fill on="f" focussize="0,0"/>
                  <v:stroke weight="1pt" color="#000000" joinstyle="round" startarrow="classic" endarrow="classic"/>
                  <v:imagedata o:title=""/>
                  <o:lock v:ext="edit" aspectratio="f"/>
                </v:line>
                <v:rect id="Rectangle 3668" o:spid="_x0000_s1026" o:spt="1" style="position:absolute;left:355;top:2828;height:829;width:1354;v-text-anchor:middle;" fillcolor="#FFFFFF" filled="t" stroked="t" coordsize="21600,21600" o:gfxdata="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I9zu8AAAA&#10;3AAAAA8AAAAAAAAAAQAgAAAAIgAAAGRycy9kb3ducmV2LnhtbFBLAQIUABQAAAAIAIdO4kAzLwWe&#10;OwAAADkAAAAQAAAAAAAAAAEAIAAAAAsBAABkcnMvc2hhcGV4bWwueG1sUEsFBgAAAAAGAAYAWwEA&#10;ALUDAAAAAA==&#10;">
                  <v:fill on="t" opacity="32768f" focussize="0,0"/>
                  <v:stroke weight="1pt" color="#000000" miterlimit="8" joinstyle="miter"/>
                  <v:imagedata o:title=""/>
                  <o:lock v:ext="edit" aspectratio="f"/>
                </v:rect>
                <v:rect id="Rectangle 3669" o:spid="_x0000_s1026" o:spt="1" style="position:absolute;left:360;top:2844;height:740;width:1440;" filled="f" stroked="f" coordsize="21600,21600" o:gfxdata="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m/P&#10;8sEAAADcAAAADwAAAAAAAAABACAAAAAiAAAAZHJzL2Rvd25yZXYueG1sUEsBAhQAFAAAAAgAh07i&#10;QDMvBZ47AAAAOQAAABAAAAAAAAAAAQAgAAAAEAEAAGRycy9zaGFwZXhtbC54bWxQSwUGAAAAAAYA&#10;BgBbAQAAugMAAAAA&#10;">
                  <v:fill on="f" focussize="0,0"/>
                  <v:stroke on="f"/>
                  <v:imagedata o:title=""/>
                  <o:lock v:ext="edit" aspectratio="f"/>
                  <v:textbox inset="1.58575mm,2.24755905511811pt,1.58575mm,2.24755905511811pt">
                    <w:txbxContent>
                      <w:p>
                        <w:pPr>
                          <w:autoSpaceDE w:val="0"/>
                          <w:autoSpaceDN w:val="0"/>
                          <w:adjustRightInd w:val="0"/>
                          <w:jc w:val="center"/>
                          <w:rPr>
                            <w:rFonts w:cs="宋体"/>
                            <w:color w:val="000000"/>
                            <w:sz w:val="17"/>
                            <w:szCs w:val="28"/>
                            <w:lang w:val="zh-CN"/>
                          </w:rPr>
                        </w:pPr>
                        <w:r>
                          <w:rPr>
                            <w:rFonts w:hint="eastAsia" w:ascii="Open Sans" w:hAnsi="Open Sans" w:eastAsia="Open Sans"/>
                            <w:sz w:val="20"/>
                          </w:rPr>
                          <w:t>合作银行的电子收费业务</w:t>
                        </w:r>
                      </w:p>
                    </w:txbxContent>
                  </v:textbox>
                </v:rect>
                <v:rect id="Rectangle 3670" o:spid="_x0000_s1026" o:spt="1" style="position:absolute;left:326;top:1543;height:566;width:1354;v-text-anchor:middle;" fillcolor="#FFFFFF" filled="t" stroked="t" coordsize="21600,21600" o:gfxdata="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s6Q68AAAA&#10;3AAAAA8AAAAAAAAAAQAgAAAAIgAAAGRycy9kb3ducmV2LnhtbFBLAQIUABQAAAAIAIdO4kAzLwWe&#10;OwAAADkAAAAQAAAAAAAAAAEAIAAAAAsBAABkcnMvc2hhcGV4bWwueG1sUEsFBgAAAAAGAAYAWwEA&#10;ALUDAAAAAA==&#10;">
                  <v:fill on="t" opacity="32768f" focussize="0,0"/>
                  <v:stroke weight="1pt" color="#000000" miterlimit="8" joinstyle="miter"/>
                  <v:imagedata o:title=""/>
                  <o:lock v:ext="edit" aspectratio="f"/>
                </v:rect>
                <v:rect id="Rectangle 3671" o:spid="_x0000_s1026" o:spt="1" style="position:absolute;left:375;top:1501;height:683;width:1245;" filled="f" stroked="f" coordsize="21600,21600" o:gfxdata="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kvR&#10;x8EAAADcAAAADwAAAAAAAAABACAAAAAiAAAAZHJzL2Rvd25yZXYueG1sUEsBAhQAFAAAAAgAh07i&#10;QDMvBZ47AAAAOQAAABAAAAAAAAAAAQAgAAAAEAEAAGRycy9zaGFwZXhtbC54bWxQSwUGAAAAAAYA&#10;BgBbAQAAugMAAAAA&#10;">
                  <v:fill on="f" focussize="0,0"/>
                  <v:stroke on="f"/>
                  <v:imagedata o:title=""/>
                  <o:lock v:ext="edit" aspectratio="f"/>
                  <v:textbox inset="1.58575mm,2.24755905511811pt,1.58575mm,2.24755905511811pt">
                    <w:txbxContent>
                      <w:p>
                        <w:pPr>
                          <w:autoSpaceDE w:val="0"/>
                          <w:autoSpaceDN w:val="0"/>
                          <w:adjustRightInd w:val="0"/>
                          <w:jc w:val="center"/>
                          <w:rPr>
                            <w:rFonts w:cs="宋体"/>
                            <w:color w:val="000000"/>
                            <w:sz w:val="17"/>
                            <w:szCs w:val="28"/>
                          </w:rPr>
                        </w:pPr>
                        <w:r>
                          <w:rPr>
                            <w:rFonts w:hint="eastAsia" w:ascii="Open Sans" w:hAnsi="Open Sans" w:eastAsia="宋体"/>
                            <w:sz w:val="20"/>
                            <w:lang w:eastAsia="zh-CN"/>
                          </w:rPr>
                          <w:t>xx卡</w:t>
                        </w:r>
                        <w:r>
                          <w:rPr>
                            <w:rFonts w:hint="eastAsia" w:ascii="Open Sans" w:hAnsi="Open Sans" w:eastAsia="Open Sans"/>
                            <w:sz w:val="20"/>
                          </w:rPr>
                          <w:t>运营平台</w:t>
                        </w:r>
                      </w:p>
                    </w:txbxContent>
                  </v:textbox>
                </v:rect>
                <v:line id="Line 3672" o:spid="_x0000_s1026" o:spt="20" style="position:absolute;left:1780;top:3115;flip:y;height:1;width:1083;" filled="f" stroked="t" coordsize="21600,21600" o:gfxdata="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E8FQrsAAADc&#10;AAAADwAAAAAAAAABACAAAAAiAAAAZHJzL2Rvd25yZXYueG1sUEsBAhQAFAAAAAgAh07iQDMvBZ47&#10;AAAAOQAAABAAAAAAAAAAAQAgAAAACgEAAGRycy9zaGFwZXhtbC54bWxQSwUGAAAAAAYABgBbAQAA&#10;tAMAAAAA&#10;">
                  <v:fill on="f" focussize="0,0"/>
                  <v:stroke weight="1pt" color="#000000" joinstyle="round" startarrow="classic" endarrow="classic"/>
                  <v:imagedata o:title=""/>
                  <o:lock v:ext="edit" aspectratio="f"/>
                </v:line>
                <v:rect id="Rectangle 3673" o:spid="_x0000_s1026" o:spt="1" style="position:absolute;left:2700;top:1560;height:362;width:1800;" filled="f" stroked="f" coordsize="21600,21600" o:gfxdata="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RAb4A&#10;AADcAAAADwAAAAAAAAABACAAAAAiAAAAZHJzL2Rvd25yZXYueG1sUEsBAhQAFAAAAAgAh07iQDMv&#10;BZ47AAAAOQAAABAAAAAAAAAAAQAgAAAADQEAAGRycy9zaGFwZXhtbC54bWxQSwUGAAAAAAYABgBb&#10;AQAAtwMAAAAA&#10;">
                  <v:fill on="f" focussize="0,0"/>
                  <v:stroke on="f"/>
                  <v:imagedata o:title=""/>
                  <o:lock v:ext="edit" aspectratio="f"/>
                  <v:textbox inset="1.58575mm,2.24755905511811pt,1.58575mm,2.24755905511811pt" style="mso-fit-shape-to-text:t;">
                    <w:txbxContent>
                      <w:p>
                        <w:pPr>
                          <w:autoSpaceDE w:val="0"/>
                          <w:autoSpaceDN w:val="0"/>
                          <w:adjustRightInd w:val="0"/>
                          <w:jc w:val="center"/>
                          <w:rPr>
                            <w:rFonts w:cs="宋体"/>
                            <w:color w:val="000000"/>
                            <w:lang w:val="zh-CN"/>
                          </w:rPr>
                        </w:pPr>
                        <w:r>
                          <w:rPr>
                            <w:rFonts w:hint="eastAsia" w:cs="宋体"/>
                            <w:color w:val="000000"/>
                            <w:lang w:val="en-US" w:eastAsia="zh-CN"/>
                          </w:rPr>
                          <w:t>xx</w:t>
                        </w:r>
                        <w:r>
                          <w:rPr>
                            <w:rFonts w:hint="eastAsia" w:cs="宋体"/>
                            <w:color w:val="000000"/>
                            <w:lang w:val="zh-CN"/>
                          </w:rPr>
                          <w:t>发票系统</w:t>
                        </w:r>
                      </w:p>
                    </w:txbxContent>
                  </v:textbox>
                </v:rect>
                <v:rect id="Rectangle 3674" o:spid="_x0000_s1026" o:spt="1" style="position:absolute;left:2936;top:2845;height:566;width:1354;v-text-anchor:middle;" fillcolor="#FFFFFF" filled="t" stroked="t" coordsize="21600,21600" o:gfxdata="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1h4wu5AAAA3AAA&#10;AA8AAAAAAAAAAQAgAAAAIgAAAGRycy9kb3ducmV2LnhtbFBLAQIUABQAAAAIAIdO4kAzLwWeOwAA&#10;ADkAAAAQAAAAAAAAAAEAIAAAAAgBAABkcnMvc2hhcGV4bWwueG1sUEsFBgAAAAAGAAYAWwEAALID&#10;AAAAAA==&#10;">
                  <v:fill on="t" opacity="32768f" focussize="0,0"/>
                  <v:stroke weight="1pt" color="#000000" miterlimit="8" joinstyle="miter"/>
                  <v:imagedata o:title=""/>
                  <o:lock v:ext="edit" aspectratio="f"/>
                </v:rect>
                <v:rect id="Rectangle 3675" o:spid="_x0000_s1026" o:spt="1" style="position:absolute;left:3044;top:2808;height:629;width:1123;" filled="f" stroked="f" coordsize="21600,21600" o:gfxdata="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tvC&#10;wAAAANwAAAAPAAAAAAAAAAEAIAAAACIAAABkcnMvZG93bnJldi54bWxQSwECFAAUAAAACACHTuJA&#10;My8FnjsAAAA5AAAAEAAAAAAAAAABACAAAAAPAQAAZHJzL3NoYXBleG1sLnhtbFBLBQYAAAAABgAG&#10;AFsBAAC5AwAAAAA=&#10;">
                  <v:fill on="f" focussize="0,0"/>
                  <v:stroke on="f"/>
                  <v:imagedata o:title=""/>
                  <o:lock v:ext="edit" aspectratio="f"/>
                  <v:textbox inset="1.58575mm,2.24755905511811pt,1.58575mm,2.24755905511811pt">
                    <w:txbxContent>
                      <w:p>
                        <w:pPr>
                          <w:autoSpaceDE w:val="0"/>
                          <w:autoSpaceDN w:val="0"/>
                          <w:adjustRightInd w:val="0"/>
                          <w:jc w:val="center"/>
                          <w:rPr>
                            <w:rFonts w:hint="eastAsia" w:eastAsiaTheme="minorEastAsia"/>
                            <w:b/>
                            <w:bCs/>
                            <w:color w:val="000000"/>
                            <w:sz w:val="20"/>
                            <w:szCs w:val="32"/>
                            <w:lang w:eastAsia="zh-CN"/>
                          </w:rPr>
                        </w:pPr>
                        <w:r>
                          <w:rPr>
                            <w:rFonts w:hint="eastAsia"/>
                            <w:b/>
                            <w:bCs/>
                            <w:color w:val="000000"/>
                            <w:sz w:val="20"/>
                            <w:szCs w:val="32"/>
                            <w:lang w:eastAsia="zh-CN"/>
                          </w:rPr>
                          <w:t>接口系统</w:t>
                        </w:r>
                      </w:p>
                      <w:p>
                        <w:pPr>
                          <w:autoSpaceDE w:val="0"/>
                          <w:autoSpaceDN w:val="0"/>
                          <w:adjustRightInd w:val="0"/>
                          <w:jc w:val="center"/>
                          <w:rPr>
                            <w:rFonts w:cs="宋体"/>
                            <w:color w:val="000000"/>
                            <w:sz w:val="17"/>
                            <w:szCs w:val="28"/>
                            <w:lang w:val="zh-CN"/>
                          </w:rPr>
                        </w:pPr>
                      </w:p>
                    </w:txbxContent>
                  </v:textbox>
                </v:rect>
                <v:rect id="Rectangle 3676" o:spid="_x0000_s1026" o:spt="1" style="position:absolute;left:2936;top:2132;height:566;width:1354;v-text-anchor:middle;" fillcolor="#FFFFFF" filled="t" stroked="t" coordsize="21600,21600" o:gfxdata="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bOedC5AAAA3AAA&#10;AA8AAAAAAAAAAQAgAAAAIgAAAGRycy9kb3ducmV2LnhtbFBLAQIUABQAAAAIAIdO4kAzLwWeOwAA&#10;ADkAAAAQAAAAAAAAAAEAIAAAAAgBAABkcnMvc2hhcGV4bWwueG1sUEsFBgAAAAAGAAYAWwEAALID&#10;AAAAAA==&#10;">
                  <v:fill on="t" opacity="32768f" focussize="0,0"/>
                  <v:stroke weight="1pt" color="#000000" miterlimit="8" joinstyle="miter"/>
                  <v:imagedata o:title=""/>
                  <o:lock v:ext="edit" aspectratio="f"/>
                </v:rect>
                <v:rect id="Rectangle 3677" o:spid="_x0000_s1026" o:spt="1" style="position:absolute;left:2985;top:2093;height:666;width:1211;" filled="f" stroked="f" coordsize="21600,21600" o:gfxdata="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qUEZ&#10;wAAAANwAAAAPAAAAAAAAAAEAIAAAACIAAABkcnMvZG93bnJldi54bWxQSwECFAAUAAAACACHTuJA&#10;My8FnjsAAAA5AAAAEAAAAAAAAAABACAAAAAPAQAAZHJzL3NoYXBleG1sLnhtbFBLBQYAAAAABgAG&#10;AFsBAAC5AwAAAAA=&#10;">
                  <v:fill on="f" focussize="0,0"/>
                  <v:stroke on="f"/>
                  <v:imagedata o:title=""/>
                  <o:lock v:ext="edit" aspectratio="f"/>
                  <v:textbox inset="1.58575mm,2.24755905511811pt,1.58575mm,2.24755905511811pt">
                    <w:txbxContent>
                      <w:p>
                        <w:pPr>
                          <w:autoSpaceDE w:val="0"/>
                          <w:autoSpaceDN w:val="0"/>
                          <w:adjustRightInd w:val="0"/>
                          <w:jc w:val="center"/>
                          <w:rPr>
                            <w:rFonts w:cs="宋体"/>
                            <w:color w:val="000000"/>
                            <w:sz w:val="17"/>
                            <w:szCs w:val="28"/>
                            <w:lang w:val="zh-CN"/>
                          </w:rPr>
                        </w:pPr>
                        <w:r>
                          <w:rPr>
                            <w:rFonts w:hint="eastAsia"/>
                            <w:b/>
                            <w:bCs/>
                            <w:color w:val="000000"/>
                            <w:sz w:val="20"/>
                            <w:szCs w:val="32"/>
                          </w:rPr>
                          <w:t>发票管理平台</w:t>
                        </w:r>
                      </w:p>
                    </w:txbxContent>
                  </v:textbox>
                </v:rect>
                <v:rect id="Rectangle 3678" o:spid="_x0000_s1026" o:spt="1" style="position:absolute;left:2936;top:3625;height:566;width:1354;v-text-anchor:middle;" fillcolor="#FFFFFF" filled="t" stroked="t" coordsize="21600,21600" o:gfxdata="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SigC8AAAA&#10;3AAAAA8AAAAAAAAAAQAgAAAAIgAAAGRycy9kb3ducmV2LnhtbFBLAQIUABQAAAAIAIdO4kAzLwWe&#10;OwAAADkAAAAQAAAAAAAAAAEAIAAAAAsBAABkcnMvc2hhcGV4bWwueG1sUEsFBgAAAAAGAAYAWwEA&#10;ALUDAAAAAA==&#10;">
                  <v:fill on="t" opacity="32768f" focussize="0,0"/>
                  <v:stroke weight="1pt" color="#000000" miterlimit="8" joinstyle="miter"/>
                  <v:imagedata o:title=""/>
                  <o:lock v:ext="edit" aspectratio="f"/>
                </v:rect>
                <v:rect id="Rectangle 3679" o:spid="_x0000_s1026" o:spt="1" style="position:absolute;left:3044;top:3588;height:629;width:1123;" filled="f" stroked="f" coordsize="21600,21600" o:gfxdata="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dbLJ&#10;wAAAANwAAAAPAAAAAAAAAAEAIAAAACIAAABkcnMvZG93bnJldi54bWxQSwECFAAUAAAACACHTuJA&#10;My8FnjsAAAA5AAAAEAAAAAAAAAABACAAAAAPAQAAZHJzL3NoYXBleG1sLnhtbFBLBQYAAAAABgAG&#10;AFsBAAC5AwAAAAA=&#10;">
                  <v:fill on="f" focussize="0,0"/>
                  <v:stroke on="f"/>
                  <v:imagedata o:title=""/>
                  <o:lock v:ext="edit" aspectratio="f"/>
                  <v:textbox inset="1.58575mm,2.24755905511811pt,1.58575mm,2.24755905511811pt">
                    <w:txbxContent>
                      <w:p>
                        <w:pPr>
                          <w:autoSpaceDE w:val="0"/>
                          <w:autoSpaceDN w:val="0"/>
                          <w:adjustRightInd w:val="0"/>
                          <w:jc w:val="center"/>
                          <w:rPr>
                            <w:b/>
                            <w:bCs/>
                            <w:color w:val="000000"/>
                            <w:sz w:val="20"/>
                            <w:szCs w:val="32"/>
                          </w:rPr>
                        </w:pPr>
                        <w:r>
                          <w:rPr>
                            <w:rFonts w:hint="eastAsia"/>
                            <w:b/>
                            <w:bCs/>
                            <w:color w:val="000000"/>
                            <w:sz w:val="20"/>
                            <w:szCs w:val="32"/>
                          </w:rPr>
                          <w:t>省级</w:t>
                        </w:r>
                        <w:r>
                          <w:rPr>
                            <w:rFonts w:hint="eastAsia"/>
                            <w:b/>
                            <w:bCs/>
                            <w:color w:val="000000"/>
                            <w:sz w:val="20"/>
                            <w:szCs w:val="32"/>
                            <w:lang w:eastAsia="zh-CN"/>
                          </w:rPr>
                          <w:t>发票管理系统</w:t>
                        </w:r>
                      </w:p>
                      <w:p>
                        <w:pPr>
                          <w:autoSpaceDE w:val="0"/>
                          <w:autoSpaceDN w:val="0"/>
                          <w:adjustRightInd w:val="0"/>
                          <w:jc w:val="center"/>
                          <w:rPr>
                            <w:rFonts w:cs="宋体"/>
                            <w:color w:val="000000"/>
                            <w:sz w:val="17"/>
                            <w:szCs w:val="28"/>
                            <w:lang w:val="zh-CN"/>
                          </w:rPr>
                        </w:pPr>
                      </w:p>
                    </w:txbxContent>
                  </v:textbox>
                </v:rect>
                <v:rect id="Rectangle 3680" o:spid="_x0000_s1026" o:spt="1" style="position:absolute;left:5940;top:624;height:566;width:1354;v-text-anchor:middle;" fillcolor="#FFFFFF" filled="t" stroked="t" coordsize="21600,21600" o:gfxdata="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cG76bgAAADcAAAA&#10;DwAAAAAAAAABACAAAAAiAAAAZHJzL2Rvd25yZXYueG1sUEsBAhQAFAAAAAgAh07iQDMvBZ47AAAA&#10;OQAAABAAAAAAAAAAAQAgAAAABwEAAGRycy9zaGFwZXhtbC54bWxQSwUGAAAAAAYABgBbAQAAsQMA&#10;AAAA&#10;">
                  <v:fill on="t" opacity="32768f" focussize="0,0"/>
                  <v:stroke weight="1pt" color="#000000" miterlimit="8" joinstyle="miter"/>
                  <v:imagedata o:title=""/>
                  <o:lock v:ext="edit" aspectratio="f"/>
                </v:rect>
                <v:rect id="Rectangle 3681" o:spid="_x0000_s1026" o:spt="1" style="position:absolute;left:5940;top:624;height:666;width:1440;" filled="f" stroked="f" coordsize="21600,21600" o:gfxdata="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poMg&#10;wAAAANwAAAAPAAAAAAAAAAEAIAAAACIAAABkcnMvZG93bnJldi54bWxQSwECFAAUAAAACACHTuJA&#10;My8FnjsAAAA5AAAAEAAAAAAAAAABACAAAAAPAQAAZHJzL3NoYXBleG1sLnhtbFBLBQYAAAAABgAG&#10;AFsBAAC5AwAAAAA=&#10;">
                  <v:fill on="f" focussize="0,0"/>
                  <v:stroke on="f"/>
                  <v:imagedata o:title=""/>
                  <o:lock v:ext="edit" aspectratio="f"/>
                  <v:textbox inset="1.58575mm,2.24755905511811pt,1.58575mm,2.24755905511811pt">
                    <w:txbxContent>
                      <w:p>
                        <w:pPr>
                          <w:autoSpaceDE w:val="0"/>
                          <w:autoSpaceDN w:val="0"/>
                          <w:adjustRightInd w:val="0"/>
                          <w:jc w:val="center"/>
                          <w:rPr>
                            <w:rFonts w:cs="宋体"/>
                            <w:color w:val="000000"/>
                            <w:sz w:val="17"/>
                            <w:szCs w:val="28"/>
                            <w:lang w:val="zh-CN"/>
                          </w:rPr>
                        </w:pPr>
                        <w:r>
                          <w:rPr>
                            <w:rFonts w:hint="eastAsia"/>
                            <w:b/>
                            <w:bCs/>
                            <w:color w:val="000000"/>
                            <w:sz w:val="20"/>
                            <w:szCs w:val="32"/>
                          </w:rPr>
                          <w:t>第三方发票服务平台（全国）</w:t>
                        </w:r>
                      </w:p>
                    </w:txbxContent>
                  </v:textbox>
                </v:rect>
                <v:line id="Line 3682" o:spid="_x0000_s1026" o:spt="20" style="position:absolute;left:4382;top:780;flip:y;height:1404;width:1558;" filled="f" stroked="t" coordsize="21600,21600" o:gfxdata="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omqvK5AAAA3AAA&#10;AA8AAAAAAAAAAQAgAAAAIgAAAGRycy9kb3ducmV2LnhtbFBLAQIUABQAAAAIAIdO4kAzLwWeOwAA&#10;ADkAAAAQAAAAAAAAAAEAIAAAAAgBAABkcnMvc2hhcGV4bWwueG1sUEsFBgAAAAAGAAYAWwEAALID&#10;AAAAAA==&#10;">
                  <v:fill on="f" focussize="0,0"/>
                  <v:stroke weight="1pt" color="#000000" joinstyle="round" startarrow="classic" endarrow="classic"/>
                  <v:imagedata o:title=""/>
                  <o:lock v:ext="edit" aspectratio="f"/>
                </v:line>
                <v:rect id="Rectangle 3683" o:spid="_x0000_s1026" o:spt="1" style="position:absolute;left:1180;top:2475;height:490;width:1440;" filled="f" stroked="f" coordsize="21600,21600" o:gfxdata="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vEWb&#10;wAAAANwAAAAPAAAAAAAAAAEAIAAAACIAAABkcnMvZG93bnJldi54bWxQSwECFAAUAAAACACHTuJA&#10;My8FnjsAAAA5AAAAEAAAAAAAAAABACAAAAAPAQAAZHJzL3NoYXBleG1sLnhtbFBLBQYAAAAABgAG&#10;AFsBAAC5AwAAAAA=&#10;">
                  <v:fill on="f" focussize="0,0"/>
                  <v:stroke on="f"/>
                  <v:imagedata o:title=""/>
                  <o:lock v:ext="edit" aspectratio="f"/>
                  <v:textbox inset="1.58575mm,2.24755905511811pt,1.58575mm,2.24755905511811pt">
                    <w:txbxContent>
                      <w:p>
                        <w:pPr>
                          <w:autoSpaceDE w:val="0"/>
                          <w:autoSpaceDN w:val="0"/>
                          <w:adjustRightInd w:val="0"/>
                          <w:jc w:val="center"/>
                          <w:rPr>
                            <w:rFonts w:cs="宋体"/>
                            <w:color w:val="000000"/>
                            <w:lang w:val="zh-CN"/>
                          </w:rPr>
                        </w:pPr>
                        <w:r>
                          <w:rPr>
                            <w:b/>
                            <w:bCs/>
                            <w:color w:val="000000"/>
                          </w:rPr>
                          <w:fldChar w:fldCharType="begin"/>
                        </w:r>
                        <w:r>
                          <w:rPr>
                            <w:b/>
                            <w:bCs/>
                            <w:color w:val="000000"/>
                          </w:rPr>
                          <w:instrText xml:space="preserve"> </w:instrText>
                        </w:r>
                        <w:r>
                          <w:rPr>
                            <w:rFonts w:hint="eastAsia"/>
                            <w:b/>
                            <w:bCs/>
                            <w:color w:val="000000"/>
                          </w:rPr>
                          <w:instrText xml:space="preserve">eq \o\ac(○,</w:instrText>
                        </w:r>
                        <w:r>
                          <w:rPr>
                            <w:rFonts w:hint="eastAsia"/>
                            <w:b/>
                            <w:bCs/>
                            <w:color w:val="000000"/>
                            <w:position w:val="2"/>
                          </w:rPr>
                          <w:instrText xml:space="preserve">1</w:instrText>
                        </w:r>
                        <w:r>
                          <w:rPr>
                            <w:rFonts w:hint="eastAsia"/>
                            <w:b/>
                            <w:bCs/>
                            <w:color w:val="000000"/>
                          </w:rPr>
                          <w:instrText xml:space="preserve">)</w:instrText>
                        </w:r>
                        <w:r>
                          <w:rPr>
                            <w:b/>
                            <w:bCs/>
                            <w:color w:val="000000"/>
                          </w:rPr>
                          <w:fldChar w:fldCharType="end"/>
                        </w:r>
                        <w:r>
                          <w:rPr>
                            <w:b/>
                            <w:bCs/>
                            <w:color w:val="000000"/>
                          </w:rPr>
                          <w:fldChar w:fldCharType="begin"/>
                        </w:r>
                        <w:r>
                          <w:rPr>
                            <w:b/>
                            <w:bCs/>
                            <w:color w:val="000000"/>
                          </w:rPr>
                          <w:instrText xml:space="preserve"> </w:instrText>
                        </w:r>
                        <w:r>
                          <w:rPr>
                            <w:rFonts w:hint="eastAsia"/>
                            <w:b/>
                            <w:bCs/>
                            <w:color w:val="000000"/>
                          </w:rPr>
                          <w:instrText xml:space="preserve">eq \o\ac(○,</w:instrText>
                        </w:r>
                        <w:r>
                          <w:rPr>
                            <w:rFonts w:hint="eastAsia"/>
                            <w:b/>
                            <w:bCs/>
                            <w:color w:val="000000"/>
                            <w:position w:val="2"/>
                          </w:rPr>
                          <w:instrText xml:space="preserve">2</w:instrText>
                        </w:r>
                        <w:r>
                          <w:rPr>
                            <w:rFonts w:hint="eastAsia"/>
                            <w:b/>
                            <w:bCs/>
                            <w:color w:val="000000"/>
                          </w:rPr>
                          <w:instrText xml:space="preserve">)</w:instrText>
                        </w:r>
                        <w:r>
                          <w:rPr>
                            <w:b/>
                            <w:bCs/>
                            <w:color w:val="000000"/>
                          </w:rPr>
                          <w:fldChar w:fldCharType="end"/>
                        </w:r>
                        <w:r>
                          <w:rPr>
                            <w:b/>
                            <w:bCs/>
                            <w:color w:val="000000"/>
                          </w:rPr>
                          <w:fldChar w:fldCharType="begin"/>
                        </w:r>
                        <w:r>
                          <w:rPr>
                            <w:b/>
                            <w:bCs/>
                            <w:color w:val="000000"/>
                          </w:rPr>
                          <w:instrText xml:space="preserve"> </w:instrText>
                        </w:r>
                        <w:r>
                          <w:rPr>
                            <w:rFonts w:hint="eastAsia"/>
                            <w:b/>
                            <w:bCs/>
                            <w:color w:val="000000"/>
                          </w:rPr>
                          <w:instrText xml:space="preserve">eq \o\ac(○,</w:instrText>
                        </w:r>
                        <w:r>
                          <w:rPr>
                            <w:rFonts w:hint="eastAsia"/>
                            <w:b/>
                            <w:bCs/>
                            <w:color w:val="000000"/>
                            <w:position w:val="2"/>
                          </w:rPr>
                          <w:instrText xml:space="preserve">3</w:instrText>
                        </w:r>
                        <w:r>
                          <w:rPr>
                            <w:rFonts w:hint="eastAsia"/>
                            <w:b/>
                            <w:bCs/>
                            <w:color w:val="000000"/>
                          </w:rPr>
                          <w:instrText xml:space="preserve">)</w:instrText>
                        </w:r>
                        <w:r>
                          <w:rPr>
                            <w:b/>
                            <w:bCs/>
                            <w:color w:val="000000"/>
                          </w:rPr>
                          <w:fldChar w:fldCharType="end"/>
                        </w:r>
                        <w:r>
                          <w:rPr>
                            <w:b/>
                            <w:bCs/>
                            <w:color w:val="000000"/>
                          </w:rPr>
                          <w:fldChar w:fldCharType="begin"/>
                        </w:r>
                        <w:r>
                          <w:rPr>
                            <w:b/>
                            <w:bCs/>
                            <w:color w:val="000000"/>
                          </w:rPr>
                          <w:instrText xml:space="preserve"> </w:instrText>
                        </w:r>
                        <w:r>
                          <w:rPr>
                            <w:rFonts w:hint="eastAsia"/>
                            <w:b/>
                            <w:bCs/>
                            <w:color w:val="000000"/>
                          </w:rPr>
                          <w:instrText xml:space="preserve">eq \o\ac(○,</w:instrText>
                        </w:r>
                        <w:r>
                          <w:rPr>
                            <w:rFonts w:hint="eastAsia"/>
                            <w:b/>
                            <w:bCs/>
                            <w:color w:val="000000"/>
                            <w:position w:val="2"/>
                          </w:rPr>
                          <w:instrText xml:space="preserve">4</w:instrText>
                        </w:r>
                        <w:r>
                          <w:rPr>
                            <w:rFonts w:hint="eastAsia"/>
                            <w:b/>
                            <w:bCs/>
                            <w:color w:val="000000"/>
                          </w:rPr>
                          <w:instrText xml:space="preserve">)</w:instrText>
                        </w:r>
                        <w:r>
                          <w:rPr>
                            <w:b/>
                            <w:bCs/>
                            <w:color w:val="000000"/>
                          </w:rPr>
                          <w:fldChar w:fldCharType="end"/>
                        </w:r>
                      </w:p>
                    </w:txbxContent>
                  </v:textbox>
                </v:rect>
                <v:rect id="Rectangle 3684" o:spid="_x0000_s1026" o:spt="1" style="position:absolute;left:4860;top:1290;height:490;width:1440;" filled="f" stroked="f" coordsize="21600,21600" o:gfxdata="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btvs&#10;wAAAANwAAAAPAAAAAAAAAAEAIAAAACIAAABkcnMvZG93bnJldi54bWxQSwECFAAUAAAACACHTuJA&#10;My8FnjsAAAA5AAAAEAAAAAAAAAABACAAAAAPAQAAZHJzL3NoYXBleG1sLnhtbFBLBQYAAAAABgAG&#10;AFsBAAC5AwAAAAA=&#10;">
                  <v:fill on="f" focussize="0,0"/>
                  <v:stroke on="f"/>
                  <v:imagedata o:title=""/>
                  <o:lock v:ext="edit" aspectratio="f"/>
                  <v:textbox inset="1.58575mm,2.24755905511811pt,1.58575mm,2.24755905511811pt">
                    <w:txbxContent>
                      <w:p>
                        <w:pPr>
                          <w:autoSpaceDE w:val="0"/>
                          <w:autoSpaceDN w:val="0"/>
                          <w:adjustRightInd w:val="0"/>
                          <w:jc w:val="center"/>
                          <w:rPr>
                            <w:rFonts w:cs="宋体"/>
                            <w:color w:val="000000"/>
                            <w:sz w:val="18"/>
                            <w:szCs w:val="18"/>
                            <w:lang w:val="zh-CN"/>
                          </w:rPr>
                        </w:pPr>
                        <w:r>
                          <w:rPr>
                            <w:b/>
                            <w:bCs/>
                            <w:color w:val="000000"/>
                            <w:sz w:val="18"/>
                            <w:szCs w:val="18"/>
                          </w:rPr>
                          <w:fldChar w:fldCharType="begin"/>
                        </w:r>
                        <w:r>
                          <w:rPr>
                            <w:b/>
                            <w:bCs/>
                            <w:color w:val="000000"/>
                            <w:sz w:val="18"/>
                            <w:szCs w:val="18"/>
                          </w:rPr>
                          <w:instrText xml:space="preserve"> </w:instrText>
                        </w:r>
                        <w:r>
                          <w:rPr>
                            <w:rFonts w:hint="eastAsia"/>
                            <w:b/>
                            <w:bCs/>
                            <w:color w:val="000000"/>
                            <w:sz w:val="18"/>
                            <w:szCs w:val="18"/>
                          </w:rPr>
                          <w:instrText xml:space="preserve">eq \o\ac(</w:instrText>
                        </w:r>
                        <w:r>
                          <w:rPr>
                            <w:rFonts w:hint="eastAsia"/>
                            <w:b/>
                            <w:bCs/>
                            <w:color w:val="000000"/>
                            <w:position w:val="-3"/>
                            <w:sz w:val="27"/>
                            <w:szCs w:val="18"/>
                          </w:rPr>
                          <w:instrText xml:space="preserve">○</w:instrText>
                        </w:r>
                        <w:r>
                          <w:rPr>
                            <w:rFonts w:hint="eastAsia"/>
                            <w:b/>
                            <w:bCs/>
                            <w:color w:val="000000"/>
                            <w:sz w:val="18"/>
                            <w:szCs w:val="18"/>
                          </w:rPr>
                          <w:instrText xml:space="preserve">,5)</w:instrText>
                        </w:r>
                        <w:r>
                          <w:rPr>
                            <w:b/>
                            <w:bCs/>
                            <w:color w:val="000000"/>
                            <w:sz w:val="18"/>
                            <w:szCs w:val="18"/>
                          </w:rPr>
                          <w:fldChar w:fldCharType="end"/>
                        </w:r>
                        <w:r>
                          <w:rPr>
                            <w:b/>
                            <w:bCs/>
                            <w:color w:val="000000"/>
                            <w:sz w:val="18"/>
                            <w:szCs w:val="18"/>
                          </w:rPr>
                          <w:fldChar w:fldCharType="begin"/>
                        </w:r>
                        <w:r>
                          <w:rPr>
                            <w:b/>
                            <w:bCs/>
                            <w:color w:val="000000"/>
                            <w:sz w:val="18"/>
                            <w:szCs w:val="18"/>
                          </w:rPr>
                          <w:instrText xml:space="preserve"> </w:instrText>
                        </w:r>
                        <w:r>
                          <w:rPr>
                            <w:rFonts w:hint="eastAsia"/>
                            <w:b/>
                            <w:bCs/>
                            <w:color w:val="000000"/>
                            <w:sz w:val="18"/>
                            <w:szCs w:val="18"/>
                          </w:rPr>
                          <w:instrText xml:space="preserve">eq \o\ac(</w:instrText>
                        </w:r>
                        <w:r>
                          <w:rPr>
                            <w:rFonts w:hint="eastAsia"/>
                            <w:b/>
                            <w:bCs/>
                            <w:color w:val="000000"/>
                            <w:position w:val="-3"/>
                            <w:sz w:val="27"/>
                            <w:szCs w:val="18"/>
                          </w:rPr>
                          <w:instrText xml:space="preserve">○</w:instrText>
                        </w:r>
                        <w:r>
                          <w:rPr>
                            <w:rFonts w:hint="eastAsia"/>
                            <w:b/>
                            <w:bCs/>
                            <w:color w:val="000000"/>
                            <w:sz w:val="18"/>
                            <w:szCs w:val="18"/>
                          </w:rPr>
                          <w:instrText xml:space="preserve">,6)</w:instrText>
                        </w:r>
                        <w:r>
                          <w:rPr>
                            <w:b/>
                            <w:bCs/>
                            <w:color w:val="000000"/>
                            <w:sz w:val="18"/>
                            <w:szCs w:val="18"/>
                          </w:rPr>
                          <w:fldChar w:fldCharType="end"/>
                        </w:r>
                        <w:r>
                          <w:rPr>
                            <w:b/>
                            <w:bCs/>
                            <w:color w:val="000000"/>
                            <w:sz w:val="18"/>
                            <w:szCs w:val="18"/>
                          </w:rPr>
                          <w:fldChar w:fldCharType="begin"/>
                        </w:r>
                        <w:r>
                          <w:rPr>
                            <w:b/>
                            <w:bCs/>
                            <w:color w:val="000000"/>
                            <w:sz w:val="18"/>
                            <w:szCs w:val="18"/>
                          </w:rPr>
                          <w:instrText xml:space="preserve"> </w:instrText>
                        </w:r>
                        <w:r>
                          <w:rPr>
                            <w:rFonts w:hint="eastAsia"/>
                            <w:b/>
                            <w:bCs/>
                            <w:color w:val="000000"/>
                            <w:sz w:val="18"/>
                            <w:szCs w:val="18"/>
                          </w:rPr>
                          <w:instrText xml:space="preserve">eq \o\ac(</w:instrText>
                        </w:r>
                        <w:r>
                          <w:rPr>
                            <w:rFonts w:hint="eastAsia"/>
                            <w:b/>
                            <w:bCs/>
                            <w:color w:val="000000"/>
                            <w:position w:val="-3"/>
                            <w:sz w:val="27"/>
                            <w:szCs w:val="18"/>
                          </w:rPr>
                          <w:instrText xml:space="preserve">○</w:instrText>
                        </w:r>
                        <w:r>
                          <w:rPr>
                            <w:rFonts w:hint="eastAsia"/>
                            <w:b/>
                            <w:bCs/>
                            <w:color w:val="000000"/>
                            <w:sz w:val="18"/>
                            <w:szCs w:val="18"/>
                          </w:rPr>
                          <w:instrText xml:space="preserve">,7)</w:instrText>
                        </w:r>
                        <w:r>
                          <w:rPr>
                            <w:b/>
                            <w:bCs/>
                            <w:color w:val="000000"/>
                            <w:sz w:val="18"/>
                            <w:szCs w:val="18"/>
                          </w:rPr>
                          <w:fldChar w:fldCharType="end"/>
                        </w:r>
                      </w:p>
                    </w:txbxContent>
                  </v:textbox>
                </v:rect>
                <v:rect id="Rectangle 3685" o:spid="_x0000_s1026" o:spt="1" style="position:absolute;left:4568;top:3498;height:490;width:1091;" filled="f" stroked="f" coordsize="21600,21600" o:gfxdata="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CJ+&#10;d8EAAADcAAAADwAAAAAAAAABACAAAAAiAAAAZHJzL2Rvd25yZXYueG1sUEsBAhQAFAAAAAgAh07i&#10;QDMvBZ47AAAAOQAAABAAAAAAAAAAAQAgAAAAEAEAAGRycy9zaGFwZXhtbC54bWxQSwUGAAAAAAYA&#10;BgBbAQAAugMAAAAA&#10;">
                  <v:fill on="f" focussize="0,0"/>
                  <v:stroke on="f"/>
                  <v:imagedata o:title=""/>
                  <o:lock v:ext="edit" aspectratio="f"/>
                  <v:textbox inset="1.58575mm,2.24755905511811pt,1.58575mm,2.24755905511811pt">
                    <w:txbxContent>
                      <w:p>
                        <w:pPr>
                          <w:autoSpaceDE w:val="0"/>
                          <w:autoSpaceDN w:val="0"/>
                          <w:adjustRightInd w:val="0"/>
                          <w:jc w:val="center"/>
                          <w:rPr>
                            <w:rFonts w:cs="宋体"/>
                            <w:color w:val="000000"/>
                            <w:sz w:val="18"/>
                            <w:szCs w:val="18"/>
                            <w:lang w:val="zh-CN"/>
                          </w:rPr>
                        </w:pPr>
                        <w:r>
                          <w:rPr>
                            <w:b/>
                            <w:bCs/>
                            <w:color w:val="000000"/>
                            <w:sz w:val="18"/>
                            <w:szCs w:val="18"/>
                          </w:rPr>
                          <w:fldChar w:fldCharType="begin"/>
                        </w:r>
                        <w:r>
                          <w:rPr>
                            <w:b/>
                            <w:bCs/>
                            <w:color w:val="000000"/>
                            <w:sz w:val="18"/>
                            <w:szCs w:val="18"/>
                          </w:rPr>
                          <w:instrText xml:space="preserve"> </w:instrText>
                        </w:r>
                        <w:r>
                          <w:rPr>
                            <w:rFonts w:hint="eastAsia"/>
                            <w:b/>
                            <w:bCs/>
                            <w:color w:val="000000"/>
                            <w:sz w:val="18"/>
                            <w:szCs w:val="18"/>
                          </w:rPr>
                          <w:instrText xml:space="preserve">eq \o\ac(</w:instrText>
                        </w:r>
                        <w:r>
                          <w:rPr>
                            <w:rFonts w:hint="eastAsia"/>
                            <w:b/>
                            <w:bCs/>
                            <w:color w:val="000000"/>
                            <w:position w:val="-3"/>
                            <w:sz w:val="27"/>
                            <w:szCs w:val="18"/>
                          </w:rPr>
                          <w:instrText xml:space="preserve">○</w:instrText>
                        </w:r>
                        <w:r>
                          <w:rPr>
                            <w:rFonts w:hint="eastAsia"/>
                            <w:b/>
                            <w:bCs/>
                            <w:color w:val="000000"/>
                            <w:sz w:val="18"/>
                            <w:szCs w:val="18"/>
                          </w:rPr>
                          <w:instrText xml:space="preserve">,8)</w:instrText>
                        </w:r>
                        <w:r>
                          <w:rPr>
                            <w:b/>
                            <w:bCs/>
                            <w:color w:val="000000"/>
                            <w:sz w:val="18"/>
                            <w:szCs w:val="18"/>
                          </w:rPr>
                          <w:fldChar w:fldCharType="end"/>
                        </w:r>
                        <w:r>
                          <w:rPr>
                            <w:b/>
                            <w:bCs/>
                            <w:color w:val="000000"/>
                            <w:sz w:val="18"/>
                            <w:szCs w:val="18"/>
                          </w:rPr>
                          <w:fldChar w:fldCharType="begin"/>
                        </w:r>
                        <w:r>
                          <w:rPr>
                            <w:b/>
                            <w:bCs/>
                            <w:color w:val="000000"/>
                            <w:sz w:val="18"/>
                            <w:szCs w:val="18"/>
                          </w:rPr>
                          <w:instrText xml:space="preserve"> </w:instrText>
                        </w:r>
                        <w:r>
                          <w:rPr>
                            <w:rFonts w:hint="eastAsia"/>
                            <w:b/>
                            <w:bCs/>
                            <w:color w:val="000000"/>
                            <w:sz w:val="18"/>
                            <w:szCs w:val="18"/>
                          </w:rPr>
                          <w:instrText xml:space="preserve">eq \o\ac(</w:instrText>
                        </w:r>
                        <w:r>
                          <w:rPr>
                            <w:rFonts w:hint="eastAsia"/>
                            <w:b/>
                            <w:bCs/>
                            <w:color w:val="000000"/>
                            <w:position w:val="-3"/>
                            <w:sz w:val="27"/>
                            <w:szCs w:val="18"/>
                          </w:rPr>
                          <w:instrText xml:space="preserve">○</w:instrText>
                        </w:r>
                        <w:r>
                          <w:rPr>
                            <w:rFonts w:hint="eastAsia"/>
                            <w:b/>
                            <w:bCs/>
                            <w:color w:val="000000"/>
                            <w:sz w:val="18"/>
                            <w:szCs w:val="18"/>
                          </w:rPr>
                          <w:instrText xml:space="preserve">,9)</w:instrText>
                        </w:r>
                        <w:r>
                          <w:rPr>
                            <w:b/>
                            <w:bCs/>
                            <w:color w:val="000000"/>
                            <w:sz w:val="18"/>
                            <w:szCs w:val="18"/>
                          </w:rPr>
                          <w:fldChar w:fldCharType="end"/>
                        </w:r>
                      </w:p>
                    </w:txbxContent>
                  </v:textbox>
                </v:rect>
                <v:rect id="Rectangle 3686" o:spid="_x0000_s1026" o:spt="1" style="position:absolute;left:4838;top:3878;height:449;width:956;" filled="f" stroked="f" coordsize="21600,21600" o:gfxdata="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y+YD&#10;wAAAANwAAAAPAAAAAAAAAAEAIAAAACIAAABkcnMvZG93bnJldi54bWxQSwECFAAUAAAACACHTuJA&#10;My8FnjsAAAA5AAAAEAAAAAAAAAABACAAAAAPAQAAZHJzL3NoYXBleG1sLnhtbFBLBQYAAAAABgAG&#10;AFsBAAC5AwAAAAA=&#10;">
                  <v:fill on="f" focussize="0,0"/>
                  <v:stroke on="f"/>
                  <v:imagedata o:title=""/>
                  <o:lock v:ext="edit" aspectratio="f"/>
                  <v:textbox inset="1.58575mm,2.24755905511811pt,1.58575mm,2.24755905511811pt">
                    <w:txbxContent>
                      <w:p>
                        <w:pPr>
                          <w:autoSpaceDE w:val="0"/>
                          <w:autoSpaceDN w:val="0"/>
                          <w:adjustRightInd w:val="0"/>
                          <w:jc w:val="left"/>
                          <w:rPr>
                            <w:rFonts w:cs="宋体"/>
                            <w:color w:val="000000"/>
                            <w:sz w:val="18"/>
                            <w:szCs w:val="18"/>
                            <w:lang w:val="zh-CN"/>
                          </w:rPr>
                        </w:pPr>
                        <w:r>
                          <w:rPr>
                            <w:b/>
                            <w:bCs/>
                            <w:color w:val="000000"/>
                            <w:sz w:val="18"/>
                            <w:szCs w:val="18"/>
                          </w:rPr>
                          <w:fldChar w:fldCharType="begin"/>
                        </w:r>
                        <w:r>
                          <w:rPr>
                            <w:b/>
                            <w:bCs/>
                            <w:color w:val="000000"/>
                            <w:sz w:val="18"/>
                            <w:szCs w:val="18"/>
                          </w:rPr>
                          <w:instrText xml:space="preserve"> </w:instrText>
                        </w:r>
                        <w:r>
                          <w:rPr>
                            <w:rFonts w:hint="eastAsia"/>
                            <w:b/>
                            <w:bCs/>
                            <w:color w:val="000000"/>
                            <w:sz w:val="18"/>
                            <w:szCs w:val="18"/>
                          </w:rPr>
                          <w:instrText xml:space="preserve">eq \o\ac(</w:instrText>
                        </w:r>
                        <w:r>
                          <w:rPr>
                            <w:rFonts w:hint="eastAsia"/>
                            <w:b/>
                            <w:bCs/>
                            <w:color w:val="000000"/>
                            <w:position w:val="-3"/>
                            <w:sz w:val="27"/>
                            <w:szCs w:val="18"/>
                          </w:rPr>
                          <w:instrText xml:space="preserve">○</w:instrText>
                        </w:r>
                        <w:r>
                          <w:rPr>
                            <w:rFonts w:hint="eastAsia"/>
                            <w:b/>
                            <w:bCs/>
                            <w:color w:val="000000"/>
                            <w:sz w:val="18"/>
                            <w:szCs w:val="18"/>
                          </w:rPr>
                          <w:instrText xml:space="preserve">,10)</w:instrText>
                        </w:r>
                        <w:r>
                          <w:rPr>
                            <w:b/>
                            <w:bCs/>
                            <w:color w:val="000000"/>
                            <w:sz w:val="18"/>
                            <w:szCs w:val="18"/>
                          </w:rPr>
                          <w:fldChar w:fldCharType="end"/>
                        </w:r>
                      </w:p>
                    </w:txbxContent>
                  </v:textbox>
                </v:rect>
                <w10:wrap type="none"/>
                <w10:anchorlock/>
              </v:group>
            </w:pict>
          </mc:Fallback>
        </mc:AlternateContent>
      </w:r>
    </w:p>
    <w:p>
      <w:pPr>
        <w:spacing w:line="360" w:lineRule="auto"/>
        <w:ind w:firstLine="480"/>
        <w:rPr>
          <w:sz w:val="24"/>
          <w:szCs w:val="24"/>
        </w:rPr>
      </w:pPr>
      <w:r>
        <w:rPr>
          <w:sz w:val="24"/>
          <w:szCs w:val="24"/>
        </w:rPr>
        <w:t>本系统</w:t>
      </w:r>
      <w:r>
        <w:rPr>
          <w:rFonts w:hint="eastAsia"/>
          <w:sz w:val="24"/>
          <w:szCs w:val="24"/>
        </w:rPr>
        <w:t>需要税局、</w:t>
      </w:r>
      <w:r>
        <w:rPr>
          <w:rFonts w:hint="eastAsia"/>
          <w:sz w:val="24"/>
          <w:szCs w:val="24"/>
          <w:lang w:eastAsia="zh-CN"/>
        </w:rPr>
        <w:t>xx卡</w:t>
      </w:r>
      <w:r>
        <w:rPr>
          <w:rFonts w:hint="eastAsia"/>
          <w:sz w:val="24"/>
          <w:szCs w:val="24"/>
        </w:rPr>
        <w:t>运营平台、发票管理系统、第三方电子发票服务平台等系统平台进行对接，核心接口设计及实现方式如下表。</w:t>
      </w:r>
    </w:p>
    <w:tbl>
      <w:tblPr>
        <w:tblStyle w:val="34"/>
        <w:tblW w:w="836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4"/>
        <w:gridCol w:w="850"/>
        <w:gridCol w:w="992"/>
        <w:gridCol w:w="1134"/>
        <w:gridCol w:w="1134"/>
        <w:gridCol w:w="993"/>
        <w:gridCol w:w="1559"/>
        <w:gridCol w:w="12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74" w:type="dxa"/>
            <w:tcBorders>
              <w:right w:val="single" w:color="auto" w:sz="4" w:space="0"/>
            </w:tcBorders>
            <w:shd w:val="clear" w:color="auto" w:fill="DEEAF6"/>
            <w:vAlign w:val="center"/>
          </w:tcPr>
          <w:p>
            <w:pPr>
              <w:spacing w:line="360" w:lineRule="auto"/>
              <w:rPr>
                <w:rFonts w:ascii="宋体" w:hAnsi="宋体"/>
                <w:b/>
              </w:rPr>
            </w:pPr>
            <w:r>
              <w:rPr>
                <w:rFonts w:ascii="宋体" w:hAnsi="宋体"/>
                <w:b/>
              </w:rPr>
              <w:t>序号</w:t>
            </w:r>
          </w:p>
        </w:tc>
        <w:tc>
          <w:tcPr>
            <w:tcW w:w="850" w:type="dxa"/>
            <w:tcBorders>
              <w:left w:val="single" w:color="auto" w:sz="4" w:space="0"/>
            </w:tcBorders>
            <w:shd w:val="clear" w:color="auto" w:fill="DEEAF6"/>
            <w:vAlign w:val="center"/>
          </w:tcPr>
          <w:p>
            <w:pPr>
              <w:spacing w:line="360" w:lineRule="auto"/>
              <w:rPr>
                <w:rFonts w:ascii="宋体" w:hAnsi="宋体"/>
                <w:b/>
              </w:rPr>
            </w:pPr>
            <w:r>
              <w:rPr>
                <w:rFonts w:hint="eastAsia" w:ascii="宋体" w:hAnsi="宋体"/>
                <w:b/>
              </w:rPr>
              <w:t>接口分类</w:t>
            </w:r>
          </w:p>
        </w:tc>
        <w:tc>
          <w:tcPr>
            <w:tcW w:w="992" w:type="dxa"/>
            <w:shd w:val="clear" w:color="auto" w:fill="DEEAF6"/>
            <w:vAlign w:val="center"/>
          </w:tcPr>
          <w:p>
            <w:pPr>
              <w:spacing w:line="360" w:lineRule="auto"/>
              <w:jc w:val="center"/>
              <w:rPr>
                <w:rFonts w:ascii="宋体" w:hAnsi="宋体"/>
                <w:b/>
              </w:rPr>
            </w:pPr>
            <w:r>
              <w:rPr>
                <w:rFonts w:hint="eastAsia" w:ascii="宋体" w:hAnsi="宋体"/>
                <w:b/>
              </w:rPr>
              <w:t>接口名称</w:t>
            </w:r>
          </w:p>
        </w:tc>
        <w:tc>
          <w:tcPr>
            <w:tcW w:w="1134" w:type="dxa"/>
            <w:shd w:val="clear" w:color="auto" w:fill="DEEAF6"/>
          </w:tcPr>
          <w:p>
            <w:pPr>
              <w:spacing w:line="360" w:lineRule="auto"/>
              <w:jc w:val="center"/>
              <w:rPr>
                <w:rFonts w:ascii="宋体" w:hAnsi="宋体"/>
                <w:b/>
              </w:rPr>
            </w:pPr>
            <w:r>
              <w:rPr>
                <w:rFonts w:hint="eastAsia" w:ascii="宋体" w:hAnsi="宋体"/>
                <w:b/>
              </w:rPr>
              <w:t>通信协议</w:t>
            </w:r>
          </w:p>
        </w:tc>
        <w:tc>
          <w:tcPr>
            <w:tcW w:w="1134" w:type="dxa"/>
            <w:shd w:val="clear" w:color="auto" w:fill="DEEAF6"/>
          </w:tcPr>
          <w:p>
            <w:pPr>
              <w:spacing w:line="360" w:lineRule="auto"/>
              <w:jc w:val="center"/>
              <w:rPr>
                <w:rFonts w:ascii="宋体" w:hAnsi="宋体"/>
                <w:b/>
              </w:rPr>
            </w:pPr>
            <w:r>
              <w:rPr>
                <w:rFonts w:hint="eastAsia" w:ascii="宋体" w:hAnsi="宋体"/>
                <w:b/>
              </w:rPr>
              <w:t>通信文件内容</w:t>
            </w:r>
          </w:p>
        </w:tc>
        <w:tc>
          <w:tcPr>
            <w:tcW w:w="993" w:type="dxa"/>
            <w:shd w:val="clear" w:color="auto" w:fill="DEEAF6"/>
          </w:tcPr>
          <w:p>
            <w:pPr>
              <w:spacing w:line="360" w:lineRule="auto"/>
              <w:jc w:val="center"/>
              <w:rPr>
                <w:rFonts w:ascii="宋体" w:hAnsi="宋体"/>
                <w:b/>
              </w:rPr>
            </w:pPr>
            <w:r>
              <w:rPr>
                <w:rFonts w:hint="eastAsia" w:ascii="宋体" w:hAnsi="宋体"/>
                <w:b/>
              </w:rPr>
              <w:t>文件格式</w:t>
            </w:r>
          </w:p>
        </w:tc>
        <w:tc>
          <w:tcPr>
            <w:tcW w:w="1559" w:type="dxa"/>
            <w:shd w:val="clear" w:color="auto" w:fill="DEEAF6"/>
          </w:tcPr>
          <w:p>
            <w:pPr>
              <w:spacing w:line="360" w:lineRule="auto"/>
              <w:jc w:val="center"/>
              <w:rPr>
                <w:rFonts w:ascii="宋体" w:hAnsi="宋体"/>
                <w:b/>
              </w:rPr>
            </w:pPr>
            <w:r>
              <w:rPr>
                <w:rFonts w:hint="eastAsia" w:ascii="宋体" w:hAnsi="宋体"/>
                <w:b/>
              </w:rPr>
              <w:t>实现方式</w:t>
            </w:r>
          </w:p>
        </w:tc>
        <w:tc>
          <w:tcPr>
            <w:tcW w:w="1227" w:type="dxa"/>
            <w:shd w:val="clear" w:color="auto" w:fill="DEEAF6"/>
            <w:vAlign w:val="center"/>
          </w:tcPr>
          <w:p>
            <w:pPr>
              <w:spacing w:line="360" w:lineRule="auto"/>
              <w:jc w:val="center"/>
              <w:rPr>
                <w:rFonts w:ascii="宋体" w:hAnsi="宋体"/>
                <w:b/>
              </w:rPr>
            </w:pPr>
            <w:r>
              <w:rPr>
                <w:rFonts w:hint="eastAsia" w:ascii="宋体" w:hAnsi="宋体"/>
                <w:b/>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74" w:type="dxa"/>
            <w:tcBorders>
              <w:right w:val="single" w:color="auto" w:sz="4" w:space="0"/>
            </w:tcBorders>
            <w:vAlign w:val="center"/>
          </w:tcPr>
          <w:p>
            <w:pPr>
              <w:spacing w:line="360" w:lineRule="auto"/>
              <w:rPr>
                <w:rFonts w:ascii="宋体" w:hAnsi="宋体"/>
              </w:rPr>
            </w:pPr>
            <w:r>
              <w:rPr>
                <w:rFonts w:hint="eastAsia" w:ascii="宋体" w:hAnsi="宋体"/>
              </w:rPr>
              <w:t>1</w:t>
            </w:r>
          </w:p>
        </w:tc>
        <w:tc>
          <w:tcPr>
            <w:tcW w:w="850" w:type="dxa"/>
            <w:vMerge w:val="restart"/>
            <w:tcBorders>
              <w:left w:val="single" w:color="auto" w:sz="4" w:space="0"/>
            </w:tcBorders>
            <w:vAlign w:val="center"/>
          </w:tcPr>
          <w:p>
            <w:pPr>
              <w:spacing w:line="360" w:lineRule="auto"/>
              <w:rPr>
                <w:rFonts w:ascii="宋体" w:hAnsi="宋体"/>
              </w:rPr>
            </w:pPr>
            <w:r>
              <w:rPr>
                <w:rFonts w:hint="eastAsia" w:ascii="宋体" w:hAnsi="宋体"/>
              </w:rPr>
              <w:t>与</w:t>
            </w:r>
            <w:r>
              <w:rPr>
                <w:rFonts w:hint="eastAsia" w:ascii="宋体" w:hAnsi="宋体"/>
                <w:lang w:eastAsia="zh-CN"/>
              </w:rPr>
              <w:t>xx卡</w:t>
            </w:r>
            <w:r>
              <w:rPr>
                <w:rFonts w:hint="eastAsia" w:ascii="宋体" w:hAnsi="宋体"/>
              </w:rPr>
              <w:t>运营平台、发票管理系统的接口</w:t>
            </w:r>
          </w:p>
        </w:tc>
        <w:tc>
          <w:tcPr>
            <w:tcW w:w="992" w:type="dxa"/>
            <w:vAlign w:val="center"/>
          </w:tcPr>
          <w:p>
            <w:pPr>
              <w:spacing w:line="360" w:lineRule="auto"/>
              <w:rPr>
                <w:rFonts w:ascii="宋体" w:hAnsi="宋体"/>
              </w:rPr>
            </w:pPr>
            <w:r>
              <w:rPr>
                <w:rFonts w:hint="eastAsia" w:ascii="宋体" w:hAnsi="宋体"/>
              </w:rPr>
              <w:t>发票开具</w:t>
            </w:r>
          </w:p>
        </w:tc>
        <w:tc>
          <w:tcPr>
            <w:tcW w:w="1134" w:type="dxa"/>
          </w:tcPr>
          <w:p>
            <w:pPr>
              <w:spacing w:line="360" w:lineRule="auto"/>
              <w:rPr>
                <w:rFonts w:ascii="宋体" w:hAnsi="宋体"/>
              </w:rPr>
            </w:pPr>
            <w:r>
              <w:rPr>
                <w:rFonts w:hint="eastAsia" w:ascii="宋体" w:hAnsi="宋体"/>
              </w:rPr>
              <w:t>webservice</w:t>
            </w:r>
          </w:p>
        </w:tc>
        <w:tc>
          <w:tcPr>
            <w:tcW w:w="1134" w:type="dxa"/>
          </w:tcPr>
          <w:p>
            <w:pPr>
              <w:spacing w:line="360" w:lineRule="auto"/>
              <w:rPr>
                <w:rFonts w:ascii="宋体" w:hAnsi="宋体"/>
              </w:rPr>
            </w:pPr>
            <w:r>
              <w:rPr>
                <w:rFonts w:hint="eastAsia" w:ascii="宋体" w:hAnsi="宋体"/>
              </w:rPr>
              <w:t>交易信息</w:t>
            </w:r>
          </w:p>
        </w:tc>
        <w:tc>
          <w:tcPr>
            <w:tcW w:w="993" w:type="dxa"/>
          </w:tcPr>
          <w:p>
            <w:pPr>
              <w:spacing w:line="360" w:lineRule="auto"/>
              <w:rPr>
                <w:rFonts w:ascii="宋体" w:hAnsi="宋体"/>
              </w:rPr>
            </w:pPr>
            <w:r>
              <w:rPr>
                <w:rFonts w:hint="eastAsia" w:ascii="宋体" w:hAnsi="宋体"/>
              </w:rPr>
              <w:t>XML</w:t>
            </w:r>
          </w:p>
        </w:tc>
        <w:tc>
          <w:tcPr>
            <w:tcW w:w="1559" w:type="dxa"/>
          </w:tcPr>
          <w:p>
            <w:pPr>
              <w:spacing w:line="360" w:lineRule="auto"/>
              <w:rPr>
                <w:rFonts w:ascii="宋体" w:hAnsi="宋体"/>
              </w:rPr>
            </w:pPr>
            <w:r>
              <w:rPr>
                <w:rFonts w:hint="eastAsia" w:ascii="宋体" w:hAnsi="宋体"/>
                <w:lang w:eastAsia="zh-CN"/>
              </w:rPr>
              <w:t>xx卡运营平台</w:t>
            </w:r>
            <w:r>
              <w:rPr>
                <w:rFonts w:hint="eastAsia" w:ascii="宋体" w:hAnsi="宋体"/>
              </w:rPr>
              <w:t>、发票管理系统调用电子发票系统API</w:t>
            </w:r>
          </w:p>
        </w:tc>
        <w:tc>
          <w:tcPr>
            <w:tcW w:w="1227" w:type="dxa"/>
          </w:tcPr>
          <w:p>
            <w:pPr>
              <w:spacing w:line="360" w:lineRule="auto"/>
              <w:rPr>
                <w:rFonts w:ascii="宋体" w:hAnsi="宋体"/>
              </w:rPr>
            </w:pPr>
            <w:r>
              <w:rPr>
                <w:rFonts w:hint="eastAsia" w:ascii="宋体" w:hAnsi="宋体"/>
              </w:rPr>
              <w:t>向业务系统提供电子发票开具、冲红功能。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74" w:type="dxa"/>
            <w:tcBorders>
              <w:right w:val="single" w:color="auto" w:sz="4" w:space="0"/>
            </w:tcBorders>
            <w:vAlign w:val="center"/>
          </w:tcPr>
          <w:p>
            <w:pPr>
              <w:spacing w:line="360" w:lineRule="auto"/>
              <w:rPr>
                <w:rFonts w:ascii="宋体" w:hAnsi="宋体"/>
              </w:rPr>
            </w:pPr>
            <w:r>
              <w:rPr>
                <w:rFonts w:hint="eastAsia" w:ascii="宋体" w:hAnsi="宋体"/>
              </w:rPr>
              <w:t>2</w:t>
            </w:r>
          </w:p>
        </w:tc>
        <w:tc>
          <w:tcPr>
            <w:tcW w:w="850" w:type="dxa"/>
            <w:vMerge w:val="continue"/>
            <w:tcBorders>
              <w:left w:val="single" w:color="auto" w:sz="4" w:space="0"/>
            </w:tcBorders>
            <w:vAlign w:val="center"/>
          </w:tcPr>
          <w:p>
            <w:pPr>
              <w:spacing w:line="360" w:lineRule="auto"/>
              <w:rPr>
                <w:rFonts w:ascii="宋体" w:hAnsi="宋体"/>
              </w:rPr>
            </w:pPr>
          </w:p>
        </w:tc>
        <w:tc>
          <w:tcPr>
            <w:tcW w:w="992" w:type="dxa"/>
            <w:vAlign w:val="center"/>
          </w:tcPr>
          <w:p>
            <w:pPr>
              <w:spacing w:line="360" w:lineRule="auto"/>
              <w:rPr>
                <w:rFonts w:ascii="宋体" w:hAnsi="宋体"/>
              </w:rPr>
            </w:pPr>
            <w:r>
              <w:rPr>
                <w:rFonts w:hint="eastAsia" w:ascii="宋体" w:hAnsi="宋体"/>
              </w:rPr>
              <w:t>开具发票信息下载</w:t>
            </w:r>
          </w:p>
        </w:tc>
        <w:tc>
          <w:tcPr>
            <w:tcW w:w="1134" w:type="dxa"/>
          </w:tcPr>
          <w:p>
            <w:pPr>
              <w:spacing w:line="360" w:lineRule="auto"/>
              <w:rPr>
                <w:rFonts w:ascii="宋体" w:hAnsi="宋体"/>
              </w:rPr>
            </w:pPr>
            <w:r>
              <w:rPr>
                <w:rFonts w:hint="eastAsia" w:ascii="宋体" w:hAnsi="宋体"/>
              </w:rPr>
              <w:t>webservice</w:t>
            </w:r>
          </w:p>
        </w:tc>
        <w:tc>
          <w:tcPr>
            <w:tcW w:w="1134" w:type="dxa"/>
          </w:tcPr>
          <w:p>
            <w:pPr>
              <w:spacing w:line="360" w:lineRule="auto"/>
              <w:rPr>
                <w:rFonts w:ascii="宋体" w:hAnsi="宋体"/>
              </w:rPr>
            </w:pPr>
            <w:r>
              <w:rPr>
                <w:rFonts w:hint="eastAsia" w:ascii="宋体" w:hAnsi="宋体"/>
              </w:rPr>
              <w:t>发票信息及PDF</w:t>
            </w:r>
          </w:p>
        </w:tc>
        <w:tc>
          <w:tcPr>
            <w:tcW w:w="993" w:type="dxa"/>
          </w:tcPr>
          <w:p>
            <w:pPr>
              <w:spacing w:line="360" w:lineRule="auto"/>
              <w:rPr>
                <w:rFonts w:ascii="宋体" w:hAnsi="宋体"/>
              </w:rPr>
            </w:pPr>
            <w:r>
              <w:rPr>
                <w:rFonts w:hint="eastAsia" w:ascii="宋体" w:hAnsi="宋体"/>
              </w:rPr>
              <w:t>XML</w:t>
            </w:r>
          </w:p>
        </w:tc>
        <w:tc>
          <w:tcPr>
            <w:tcW w:w="1559" w:type="dxa"/>
          </w:tcPr>
          <w:p>
            <w:pPr>
              <w:spacing w:line="360" w:lineRule="auto"/>
              <w:rPr>
                <w:rFonts w:ascii="宋体" w:hAnsi="宋体"/>
              </w:rPr>
            </w:pPr>
            <w:r>
              <w:rPr>
                <w:rFonts w:hint="eastAsia" w:ascii="宋体" w:hAnsi="宋体"/>
                <w:lang w:eastAsia="zh-CN"/>
              </w:rPr>
              <w:t>xx卡运营平台</w:t>
            </w:r>
            <w:r>
              <w:rPr>
                <w:rFonts w:hint="eastAsia" w:ascii="宋体" w:hAnsi="宋体"/>
              </w:rPr>
              <w:t>、发票管理系统调用电子发票系统API</w:t>
            </w:r>
          </w:p>
        </w:tc>
        <w:tc>
          <w:tcPr>
            <w:tcW w:w="1227" w:type="dxa"/>
          </w:tcPr>
          <w:p>
            <w:pPr>
              <w:spacing w:line="360" w:lineRule="auto"/>
              <w:rPr>
                <w:rFonts w:ascii="宋体" w:hAnsi="宋体"/>
              </w:rPr>
            </w:pPr>
            <w:r>
              <w:rPr>
                <w:rFonts w:hint="eastAsia" w:ascii="宋体" w:hAnsi="宋体"/>
              </w:rPr>
              <w:t>向业务系统提供发票开具结果查询服务。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74" w:type="dxa"/>
            <w:tcBorders>
              <w:right w:val="single" w:color="auto" w:sz="4" w:space="0"/>
            </w:tcBorders>
            <w:vAlign w:val="center"/>
          </w:tcPr>
          <w:p>
            <w:pPr>
              <w:spacing w:line="360" w:lineRule="auto"/>
              <w:rPr>
                <w:rFonts w:ascii="宋体" w:hAnsi="宋体"/>
              </w:rPr>
            </w:pPr>
            <w:r>
              <w:rPr>
                <w:rFonts w:ascii="宋体" w:hAnsi="宋体"/>
              </w:rPr>
              <w:t>3</w:t>
            </w:r>
          </w:p>
        </w:tc>
        <w:tc>
          <w:tcPr>
            <w:tcW w:w="850" w:type="dxa"/>
            <w:vMerge w:val="continue"/>
            <w:tcBorders>
              <w:left w:val="single" w:color="auto" w:sz="4" w:space="0"/>
            </w:tcBorders>
            <w:vAlign w:val="center"/>
          </w:tcPr>
          <w:p>
            <w:pPr>
              <w:spacing w:line="360" w:lineRule="auto"/>
              <w:rPr>
                <w:rFonts w:ascii="宋体" w:hAnsi="宋体"/>
              </w:rPr>
            </w:pPr>
          </w:p>
        </w:tc>
        <w:tc>
          <w:tcPr>
            <w:tcW w:w="992" w:type="dxa"/>
            <w:vAlign w:val="center"/>
          </w:tcPr>
          <w:p>
            <w:pPr>
              <w:spacing w:line="360" w:lineRule="auto"/>
              <w:rPr>
                <w:rFonts w:ascii="宋体" w:hAnsi="宋体"/>
              </w:rPr>
            </w:pPr>
            <w:r>
              <w:rPr>
                <w:rFonts w:hint="eastAsia" w:ascii="宋体" w:hAnsi="宋体"/>
              </w:rPr>
              <w:t>开具发票信息推送</w:t>
            </w:r>
          </w:p>
        </w:tc>
        <w:tc>
          <w:tcPr>
            <w:tcW w:w="1134" w:type="dxa"/>
          </w:tcPr>
          <w:p>
            <w:pPr>
              <w:spacing w:line="360" w:lineRule="auto"/>
              <w:rPr>
                <w:rFonts w:ascii="宋体" w:hAnsi="宋体"/>
              </w:rPr>
            </w:pPr>
            <w:r>
              <w:rPr>
                <w:rFonts w:hint="eastAsia" w:ascii="宋体" w:hAnsi="宋体"/>
              </w:rPr>
              <w:t>webservice</w:t>
            </w:r>
          </w:p>
        </w:tc>
        <w:tc>
          <w:tcPr>
            <w:tcW w:w="1134" w:type="dxa"/>
          </w:tcPr>
          <w:p>
            <w:pPr>
              <w:spacing w:line="360" w:lineRule="auto"/>
              <w:rPr>
                <w:rFonts w:ascii="宋体" w:hAnsi="宋体"/>
              </w:rPr>
            </w:pPr>
            <w:r>
              <w:rPr>
                <w:rFonts w:hint="eastAsia" w:ascii="宋体" w:hAnsi="宋体"/>
              </w:rPr>
              <w:t>发票信息及PDF</w:t>
            </w:r>
          </w:p>
        </w:tc>
        <w:tc>
          <w:tcPr>
            <w:tcW w:w="993" w:type="dxa"/>
          </w:tcPr>
          <w:p>
            <w:pPr>
              <w:spacing w:line="360" w:lineRule="auto"/>
              <w:rPr>
                <w:rFonts w:ascii="宋体" w:hAnsi="宋体"/>
              </w:rPr>
            </w:pPr>
            <w:r>
              <w:rPr>
                <w:rFonts w:hint="eastAsia" w:ascii="宋体" w:hAnsi="宋体"/>
              </w:rPr>
              <w:t>XML</w:t>
            </w:r>
          </w:p>
        </w:tc>
        <w:tc>
          <w:tcPr>
            <w:tcW w:w="1559" w:type="dxa"/>
          </w:tcPr>
          <w:p>
            <w:pPr>
              <w:spacing w:line="360" w:lineRule="auto"/>
              <w:rPr>
                <w:rFonts w:ascii="宋体" w:hAnsi="宋体"/>
              </w:rPr>
            </w:pPr>
            <w:r>
              <w:rPr>
                <w:rFonts w:hint="eastAsia" w:ascii="宋体" w:hAnsi="宋体"/>
                <w:lang w:eastAsia="zh-CN"/>
              </w:rPr>
              <w:t>xx卡运营平台</w:t>
            </w:r>
            <w:r>
              <w:rPr>
                <w:rFonts w:hint="eastAsia" w:ascii="宋体" w:hAnsi="宋体"/>
              </w:rPr>
              <w:t>、发票管理系统调用电子发票系统API</w:t>
            </w:r>
          </w:p>
        </w:tc>
        <w:tc>
          <w:tcPr>
            <w:tcW w:w="1227" w:type="dxa"/>
          </w:tcPr>
          <w:p>
            <w:pPr>
              <w:spacing w:line="360" w:lineRule="auto"/>
              <w:rPr>
                <w:rFonts w:ascii="宋体" w:hAnsi="宋体"/>
              </w:rPr>
            </w:pPr>
            <w:r>
              <w:rPr>
                <w:rFonts w:hint="eastAsia" w:ascii="宋体" w:hAnsi="宋体"/>
              </w:rPr>
              <w:t>电子发票开具成功后，主动将发票开具结果以及相关数据推送回运营商的业务系统。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74" w:type="dxa"/>
            <w:tcBorders>
              <w:right w:val="single" w:color="auto" w:sz="4" w:space="0"/>
            </w:tcBorders>
            <w:vAlign w:val="center"/>
          </w:tcPr>
          <w:p>
            <w:pPr>
              <w:spacing w:line="360" w:lineRule="auto"/>
              <w:rPr>
                <w:rFonts w:ascii="宋体" w:hAnsi="宋体"/>
              </w:rPr>
            </w:pPr>
            <w:r>
              <w:rPr>
                <w:rFonts w:hint="eastAsia" w:ascii="宋体" w:hAnsi="宋体"/>
              </w:rPr>
              <w:t>4</w:t>
            </w:r>
          </w:p>
        </w:tc>
        <w:tc>
          <w:tcPr>
            <w:tcW w:w="850" w:type="dxa"/>
            <w:vMerge w:val="continue"/>
            <w:tcBorders>
              <w:left w:val="single" w:color="auto" w:sz="4" w:space="0"/>
            </w:tcBorders>
            <w:vAlign w:val="center"/>
          </w:tcPr>
          <w:p>
            <w:pPr>
              <w:spacing w:line="360" w:lineRule="auto"/>
              <w:rPr>
                <w:rFonts w:ascii="宋体" w:hAnsi="宋体"/>
              </w:rPr>
            </w:pPr>
          </w:p>
        </w:tc>
        <w:tc>
          <w:tcPr>
            <w:tcW w:w="992" w:type="dxa"/>
            <w:vAlign w:val="center"/>
          </w:tcPr>
          <w:p>
            <w:pPr>
              <w:spacing w:line="360" w:lineRule="auto"/>
              <w:rPr>
                <w:rFonts w:ascii="宋体" w:hAnsi="宋体"/>
              </w:rPr>
            </w:pPr>
            <w:r>
              <w:rPr>
                <w:rFonts w:hint="eastAsia" w:ascii="宋体" w:hAnsi="宋体"/>
              </w:rPr>
              <w:t>开具发票对帐接口</w:t>
            </w:r>
          </w:p>
        </w:tc>
        <w:tc>
          <w:tcPr>
            <w:tcW w:w="1134" w:type="dxa"/>
          </w:tcPr>
          <w:p>
            <w:pPr>
              <w:spacing w:line="360" w:lineRule="auto"/>
              <w:rPr>
                <w:rFonts w:ascii="宋体" w:hAnsi="宋体"/>
              </w:rPr>
            </w:pPr>
            <w:r>
              <w:rPr>
                <w:rFonts w:hint="eastAsia" w:ascii="宋体" w:hAnsi="宋体"/>
              </w:rPr>
              <w:t>webservice</w:t>
            </w:r>
          </w:p>
        </w:tc>
        <w:tc>
          <w:tcPr>
            <w:tcW w:w="1134" w:type="dxa"/>
          </w:tcPr>
          <w:p>
            <w:pPr>
              <w:spacing w:line="360" w:lineRule="auto"/>
              <w:rPr>
                <w:rFonts w:ascii="宋体" w:hAnsi="宋体"/>
              </w:rPr>
            </w:pPr>
            <w:r>
              <w:rPr>
                <w:rFonts w:hint="eastAsia" w:ascii="宋体" w:hAnsi="宋体"/>
              </w:rPr>
              <w:t>开票汇总信息</w:t>
            </w:r>
          </w:p>
        </w:tc>
        <w:tc>
          <w:tcPr>
            <w:tcW w:w="993" w:type="dxa"/>
          </w:tcPr>
          <w:p>
            <w:pPr>
              <w:spacing w:line="360" w:lineRule="auto"/>
              <w:rPr>
                <w:rFonts w:ascii="宋体" w:hAnsi="宋体"/>
              </w:rPr>
            </w:pPr>
            <w:r>
              <w:rPr>
                <w:rFonts w:hint="eastAsia" w:ascii="宋体" w:hAnsi="宋体"/>
              </w:rPr>
              <w:t>XML</w:t>
            </w:r>
          </w:p>
        </w:tc>
        <w:tc>
          <w:tcPr>
            <w:tcW w:w="1559" w:type="dxa"/>
          </w:tcPr>
          <w:p>
            <w:pPr>
              <w:spacing w:line="360" w:lineRule="auto"/>
              <w:rPr>
                <w:rFonts w:ascii="宋体" w:hAnsi="宋体"/>
              </w:rPr>
            </w:pPr>
            <w:r>
              <w:rPr>
                <w:rFonts w:hint="eastAsia" w:ascii="宋体" w:hAnsi="宋体"/>
                <w:lang w:eastAsia="zh-CN"/>
              </w:rPr>
              <w:t>xx卡运营平台</w:t>
            </w:r>
            <w:r>
              <w:rPr>
                <w:rFonts w:hint="eastAsia" w:ascii="宋体" w:hAnsi="宋体"/>
              </w:rPr>
              <w:t>、发票管理系统调用电子发票系统API</w:t>
            </w:r>
          </w:p>
        </w:tc>
        <w:tc>
          <w:tcPr>
            <w:tcW w:w="1227" w:type="dxa"/>
          </w:tcPr>
          <w:p>
            <w:pPr>
              <w:spacing w:line="360" w:lineRule="auto"/>
              <w:rPr>
                <w:rFonts w:ascii="宋体" w:hAnsi="宋体"/>
              </w:rPr>
            </w:pPr>
            <w:r>
              <w:rPr>
                <w:rFonts w:hint="eastAsia" w:ascii="宋体" w:hAnsi="宋体"/>
              </w:rPr>
              <w:t>提供业务系统与</w:t>
            </w:r>
            <w:r>
              <w:rPr>
                <w:rFonts w:hint="eastAsia" w:ascii="宋体" w:hAnsi="宋体"/>
                <w:lang w:eastAsia="zh-CN"/>
              </w:rPr>
              <w:t>发票管理系统</w:t>
            </w:r>
            <w:r>
              <w:rPr>
                <w:rFonts w:hint="eastAsia" w:ascii="宋体" w:hAnsi="宋体"/>
              </w:rPr>
              <w:t>间的对账功能，对一定时间内的开票请求、发票开具结果进行汇总对账。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74" w:type="dxa"/>
            <w:tcBorders>
              <w:right w:val="single" w:color="auto" w:sz="4" w:space="0"/>
            </w:tcBorders>
            <w:vAlign w:val="center"/>
          </w:tcPr>
          <w:p>
            <w:pPr>
              <w:spacing w:line="360" w:lineRule="auto"/>
              <w:rPr>
                <w:rFonts w:ascii="宋体" w:hAnsi="宋体"/>
              </w:rPr>
            </w:pPr>
            <w:r>
              <w:rPr>
                <w:rFonts w:hint="eastAsia" w:ascii="宋体" w:hAnsi="宋体"/>
              </w:rPr>
              <w:t>5</w:t>
            </w:r>
          </w:p>
        </w:tc>
        <w:tc>
          <w:tcPr>
            <w:tcW w:w="850" w:type="dxa"/>
            <w:vMerge w:val="restart"/>
            <w:tcBorders>
              <w:left w:val="single" w:color="auto" w:sz="4" w:space="0"/>
            </w:tcBorders>
            <w:vAlign w:val="center"/>
          </w:tcPr>
          <w:p>
            <w:pPr>
              <w:spacing w:line="360" w:lineRule="auto"/>
              <w:rPr>
                <w:rFonts w:ascii="宋体" w:hAnsi="宋体"/>
              </w:rPr>
            </w:pPr>
            <w:r>
              <w:rPr>
                <w:rFonts w:hint="eastAsia" w:ascii="宋体" w:hAnsi="宋体"/>
              </w:rPr>
              <w:t>与第三方服务平台的接口</w:t>
            </w:r>
          </w:p>
        </w:tc>
        <w:tc>
          <w:tcPr>
            <w:tcW w:w="992" w:type="dxa"/>
            <w:vAlign w:val="center"/>
          </w:tcPr>
          <w:p>
            <w:pPr>
              <w:spacing w:line="360" w:lineRule="auto"/>
              <w:rPr>
                <w:rFonts w:ascii="宋体" w:hAnsi="宋体"/>
              </w:rPr>
            </w:pPr>
            <w:r>
              <w:rPr>
                <w:rFonts w:hint="eastAsia" w:ascii="宋体" w:hAnsi="宋体"/>
              </w:rPr>
              <w:t>发票验证</w:t>
            </w:r>
          </w:p>
        </w:tc>
        <w:tc>
          <w:tcPr>
            <w:tcW w:w="1134" w:type="dxa"/>
          </w:tcPr>
          <w:p>
            <w:pPr>
              <w:spacing w:line="360" w:lineRule="auto"/>
              <w:rPr>
                <w:rFonts w:ascii="宋体" w:hAnsi="宋体"/>
              </w:rPr>
            </w:pPr>
            <w:r>
              <w:rPr>
                <w:rFonts w:hint="eastAsia" w:ascii="宋体" w:hAnsi="宋体"/>
              </w:rPr>
              <w:t>webservice</w:t>
            </w:r>
          </w:p>
        </w:tc>
        <w:tc>
          <w:tcPr>
            <w:tcW w:w="1134" w:type="dxa"/>
          </w:tcPr>
          <w:p>
            <w:pPr>
              <w:spacing w:line="360" w:lineRule="auto"/>
              <w:rPr>
                <w:rFonts w:ascii="宋体" w:hAnsi="宋体"/>
              </w:rPr>
            </w:pPr>
            <w:r>
              <w:rPr>
                <w:rFonts w:hint="eastAsia" w:ascii="宋体" w:hAnsi="宋体"/>
              </w:rPr>
              <w:t>发票信息及PDF，发票验证结果信息</w:t>
            </w:r>
          </w:p>
        </w:tc>
        <w:tc>
          <w:tcPr>
            <w:tcW w:w="993" w:type="dxa"/>
          </w:tcPr>
          <w:p>
            <w:pPr>
              <w:spacing w:line="360" w:lineRule="auto"/>
              <w:rPr>
                <w:rFonts w:ascii="宋体" w:hAnsi="宋体"/>
              </w:rPr>
            </w:pPr>
            <w:r>
              <w:rPr>
                <w:rFonts w:hint="eastAsia" w:ascii="宋体" w:hAnsi="宋体"/>
              </w:rPr>
              <w:t>XML</w:t>
            </w:r>
          </w:p>
        </w:tc>
        <w:tc>
          <w:tcPr>
            <w:tcW w:w="1559" w:type="dxa"/>
          </w:tcPr>
          <w:p>
            <w:pPr>
              <w:spacing w:line="360" w:lineRule="auto"/>
              <w:rPr>
                <w:rFonts w:ascii="宋体" w:hAnsi="宋体"/>
              </w:rPr>
            </w:pPr>
            <w:r>
              <w:rPr>
                <w:rFonts w:hint="eastAsia" w:ascii="宋体" w:hAnsi="宋体"/>
                <w:lang w:eastAsia="zh-CN"/>
              </w:rPr>
              <w:t>xx交通</w:t>
            </w:r>
            <w:r>
              <w:rPr>
                <w:rFonts w:hint="eastAsia" w:ascii="宋体" w:hAnsi="宋体"/>
              </w:rPr>
              <w:t>电子发票系统调用第三方服务平台API</w:t>
            </w:r>
          </w:p>
        </w:tc>
        <w:tc>
          <w:tcPr>
            <w:tcW w:w="1227" w:type="dxa"/>
            <w:vAlign w:val="center"/>
          </w:tcPr>
          <w:p>
            <w:pPr>
              <w:spacing w:line="360" w:lineRule="auto"/>
              <w:rPr>
                <w:rFonts w:ascii="宋体" w:hAnsi="宋体"/>
              </w:rPr>
            </w:pPr>
            <w:r>
              <w:rPr>
                <w:rFonts w:hint="eastAsia" w:ascii="宋体" w:hAnsi="宋体"/>
              </w:rPr>
              <w:t>验证电子发票信息和版式的真伪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74" w:type="dxa"/>
            <w:tcBorders>
              <w:right w:val="single" w:color="auto" w:sz="4" w:space="0"/>
            </w:tcBorders>
            <w:vAlign w:val="center"/>
          </w:tcPr>
          <w:p>
            <w:pPr>
              <w:spacing w:line="360" w:lineRule="auto"/>
              <w:rPr>
                <w:rFonts w:ascii="宋体" w:hAnsi="宋体"/>
              </w:rPr>
            </w:pPr>
            <w:r>
              <w:rPr>
                <w:rFonts w:hint="eastAsia" w:ascii="宋体" w:hAnsi="宋体"/>
              </w:rPr>
              <w:t>6</w:t>
            </w:r>
          </w:p>
        </w:tc>
        <w:tc>
          <w:tcPr>
            <w:tcW w:w="850" w:type="dxa"/>
            <w:vMerge w:val="continue"/>
            <w:tcBorders>
              <w:left w:val="single" w:color="auto" w:sz="4" w:space="0"/>
            </w:tcBorders>
            <w:vAlign w:val="center"/>
          </w:tcPr>
          <w:p>
            <w:pPr>
              <w:spacing w:line="360" w:lineRule="auto"/>
              <w:rPr>
                <w:rFonts w:ascii="宋体" w:hAnsi="宋体"/>
              </w:rPr>
            </w:pPr>
          </w:p>
        </w:tc>
        <w:tc>
          <w:tcPr>
            <w:tcW w:w="992" w:type="dxa"/>
            <w:vAlign w:val="center"/>
          </w:tcPr>
          <w:p>
            <w:pPr>
              <w:spacing w:line="360" w:lineRule="auto"/>
              <w:rPr>
                <w:rFonts w:ascii="宋体" w:hAnsi="宋体"/>
              </w:rPr>
            </w:pPr>
            <w:r>
              <w:rPr>
                <w:rFonts w:hint="eastAsia" w:ascii="宋体" w:hAnsi="宋体"/>
              </w:rPr>
              <w:t>开具发票上传</w:t>
            </w:r>
          </w:p>
        </w:tc>
        <w:tc>
          <w:tcPr>
            <w:tcW w:w="1134" w:type="dxa"/>
          </w:tcPr>
          <w:p>
            <w:pPr>
              <w:spacing w:line="360" w:lineRule="auto"/>
              <w:rPr>
                <w:rFonts w:ascii="宋体" w:hAnsi="宋体"/>
              </w:rPr>
            </w:pPr>
            <w:r>
              <w:rPr>
                <w:rFonts w:hint="eastAsia" w:ascii="宋体" w:hAnsi="宋体"/>
              </w:rPr>
              <w:t>webservice</w:t>
            </w:r>
          </w:p>
        </w:tc>
        <w:tc>
          <w:tcPr>
            <w:tcW w:w="1134" w:type="dxa"/>
          </w:tcPr>
          <w:p>
            <w:pPr>
              <w:spacing w:line="360" w:lineRule="auto"/>
              <w:rPr>
                <w:rFonts w:ascii="宋体" w:hAnsi="宋体"/>
              </w:rPr>
            </w:pPr>
            <w:r>
              <w:rPr>
                <w:rFonts w:hint="eastAsia" w:ascii="宋体" w:hAnsi="宋体"/>
              </w:rPr>
              <w:t>发票信息及PDF</w:t>
            </w:r>
          </w:p>
        </w:tc>
        <w:tc>
          <w:tcPr>
            <w:tcW w:w="993" w:type="dxa"/>
          </w:tcPr>
          <w:p>
            <w:pPr>
              <w:spacing w:line="360" w:lineRule="auto"/>
              <w:rPr>
                <w:rFonts w:ascii="宋体" w:hAnsi="宋体"/>
              </w:rPr>
            </w:pPr>
            <w:r>
              <w:rPr>
                <w:rFonts w:hint="eastAsia" w:ascii="宋体" w:hAnsi="宋体"/>
              </w:rPr>
              <w:t>XML</w:t>
            </w:r>
          </w:p>
        </w:tc>
        <w:tc>
          <w:tcPr>
            <w:tcW w:w="1559" w:type="dxa"/>
          </w:tcPr>
          <w:p>
            <w:pPr>
              <w:spacing w:line="360" w:lineRule="auto"/>
              <w:rPr>
                <w:rFonts w:ascii="宋体" w:hAnsi="宋体"/>
              </w:rPr>
            </w:pPr>
            <w:r>
              <w:rPr>
                <w:rFonts w:hint="eastAsia" w:ascii="宋体" w:hAnsi="宋体"/>
                <w:lang w:eastAsia="zh-CN"/>
              </w:rPr>
              <w:t>xx交通</w:t>
            </w:r>
            <w:r>
              <w:rPr>
                <w:rFonts w:hint="eastAsia" w:ascii="宋体" w:hAnsi="宋体"/>
              </w:rPr>
              <w:t>电子发票系统调用第三方服务平台API</w:t>
            </w:r>
          </w:p>
        </w:tc>
        <w:tc>
          <w:tcPr>
            <w:tcW w:w="1227" w:type="dxa"/>
            <w:vAlign w:val="center"/>
          </w:tcPr>
          <w:p>
            <w:pPr>
              <w:spacing w:line="360" w:lineRule="auto"/>
              <w:rPr>
                <w:rFonts w:ascii="宋体" w:hAnsi="宋体"/>
              </w:rPr>
            </w:pPr>
            <w:r>
              <w:rPr>
                <w:rFonts w:hint="eastAsia" w:ascii="宋体" w:hAnsi="宋体"/>
              </w:rPr>
              <w:t>接收</w:t>
            </w:r>
            <w:r>
              <w:rPr>
                <w:rFonts w:hint="eastAsia" w:ascii="宋体" w:hAnsi="宋体"/>
                <w:lang w:eastAsia="zh-CN"/>
              </w:rPr>
              <w:t>xx交通</w:t>
            </w:r>
            <w:r>
              <w:rPr>
                <w:rFonts w:hint="eastAsia" w:ascii="宋体" w:hAnsi="宋体"/>
              </w:rPr>
              <w:t>电子发票系统上传的发票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74" w:type="dxa"/>
            <w:tcBorders>
              <w:right w:val="single" w:color="auto" w:sz="4" w:space="0"/>
            </w:tcBorders>
            <w:vAlign w:val="center"/>
          </w:tcPr>
          <w:p>
            <w:pPr>
              <w:spacing w:line="360" w:lineRule="auto"/>
              <w:rPr>
                <w:rFonts w:ascii="宋体" w:hAnsi="宋体"/>
              </w:rPr>
            </w:pPr>
            <w:r>
              <w:rPr>
                <w:rFonts w:hint="eastAsia" w:ascii="宋体" w:hAnsi="宋体"/>
              </w:rPr>
              <w:t>7</w:t>
            </w:r>
          </w:p>
        </w:tc>
        <w:tc>
          <w:tcPr>
            <w:tcW w:w="850" w:type="dxa"/>
            <w:vMerge w:val="continue"/>
            <w:tcBorders>
              <w:left w:val="single" w:color="auto" w:sz="4" w:space="0"/>
            </w:tcBorders>
            <w:vAlign w:val="center"/>
          </w:tcPr>
          <w:p>
            <w:pPr>
              <w:spacing w:line="360" w:lineRule="auto"/>
              <w:rPr>
                <w:rFonts w:ascii="宋体" w:hAnsi="宋体"/>
              </w:rPr>
            </w:pPr>
          </w:p>
        </w:tc>
        <w:tc>
          <w:tcPr>
            <w:tcW w:w="992" w:type="dxa"/>
            <w:vAlign w:val="center"/>
          </w:tcPr>
          <w:p>
            <w:pPr>
              <w:spacing w:line="360" w:lineRule="auto"/>
              <w:rPr>
                <w:rFonts w:ascii="宋体" w:hAnsi="宋体"/>
              </w:rPr>
            </w:pPr>
            <w:r>
              <w:rPr>
                <w:rFonts w:hint="eastAsia" w:ascii="宋体" w:hAnsi="宋体"/>
              </w:rPr>
              <w:t>进项发票下载</w:t>
            </w:r>
          </w:p>
        </w:tc>
        <w:tc>
          <w:tcPr>
            <w:tcW w:w="1134" w:type="dxa"/>
          </w:tcPr>
          <w:p>
            <w:pPr>
              <w:spacing w:line="360" w:lineRule="auto"/>
              <w:rPr>
                <w:rFonts w:ascii="宋体" w:hAnsi="宋体"/>
              </w:rPr>
            </w:pPr>
            <w:r>
              <w:rPr>
                <w:rFonts w:hint="eastAsia" w:ascii="宋体" w:hAnsi="宋体"/>
              </w:rPr>
              <w:t>webservice</w:t>
            </w:r>
          </w:p>
        </w:tc>
        <w:tc>
          <w:tcPr>
            <w:tcW w:w="1134" w:type="dxa"/>
          </w:tcPr>
          <w:p>
            <w:pPr>
              <w:spacing w:line="360" w:lineRule="auto"/>
              <w:rPr>
                <w:rFonts w:ascii="宋体" w:hAnsi="宋体"/>
              </w:rPr>
            </w:pPr>
            <w:r>
              <w:rPr>
                <w:rFonts w:hint="eastAsia" w:ascii="宋体" w:hAnsi="宋体"/>
              </w:rPr>
              <w:t>发票信息及PDF</w:t>
            </w:r>
          </w:p>
        </w:tc>
        <w:tc>
          <w:tcPr>
            <w:tcW w:w="993" w:type="dxa"/>
          </w:tcPr>
          <w:p>
            <w:pPr>
              <w:spacing w:line="360" w:lineRule="auto"/>
              <w:rPr>
                <w:rFonts w:ascii="宋体" w:hAnsi="宋体"/>
              </w:rPr>
            </w:pPr>
            <w:r>
              <w:rPr>
                <w:rFonts w:hint="eastAsia" w:ascii="宋体" w:hAnsi="宋体"/>
              </w:rPr>
              <w:t>XML</w:t>
            </w:r>
          </w:p>
        </w:tc>
        <w:tc>
          <w:tcPr>
            <w:tcW w:w="1559" w:type="dxa"/>
          </w:tcPr>
          <w:p>
            <w:pPr>
              <w:spacing w:line="360" w:lineRule="auto"/>
              <w:rPr>
                <w:rFonts w:ascii="宋体" w:hAnsi="宋体"/>
              </w:rPr>
            </w:pPr>
            <w:r>
              <w:rPr>
                <w:rFonts w:hint="eastAsia" w:ascii="宋体" w:hAnsi="宋体"/>
                <w:lang w:eastAsia="zh-CN"/>
              </w:rPr>
              <w:t>xx交通</w:t>
            </w:r>
            <w:r>
              <w:rPr>
                <w:rFonts w:hint="eastAsia" w:ascii="宋体" w:hAnsi="宋体"/>
              </w:rPr>
              <w:t>电子发票系统调用第三方服务平台API</w:t>
            </w:r>
          </w:p>
        </w:tc>
        <w:tc>
          <w:tcPr>
            <w:tcW w:w="1227" w:type="dxa"/>
            <w:vAlign w:val="center"/>
          </w:tcPr>
          <w:p>
            <w:pPr>
              <w:spacing w:line="360" w:lineRule="auto"/>
              <w:rPr>
                <w:rFonts w:ascii="宋体" w:hAnsi="宋体"/>
              </w:rPr>
            </w:pPr>
            <w:r>
              <w:rPr>
                <w:rFonts w:hint="eastAsia" w:ascii="宋体" w:hAnsi="宋体"/>
                <w:lang w:eastAsia="zh-CN"/>
              </w:rPr>
              <w:t>xx交通</w:t>
            </w:r>
            <w:r>
              <w:rPr>
                <w:rFonts w:hint="eastAsia" w:ascii="宋体" w:hAnsi="宋体"/>
              </w:rPr>
              <w:t>电子发票系统下载第三方服务平台的发票信息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74" w:type="dxa"/>
            <w:tcBorders>
              <w:right w:val="single" w:color="auto" w:sz="4" w:space="0"/>
            </w:tcBorders>
            <w:vAlign w:val="center"/>
          </w:tcPr>
          <w:p>
            <w:pPr>
              <w:spacing w:line="360" w:lineRule="auto"/>
              <w:rPr>
                <w:rFonts w:ascii="宋体" w:hAnsi="宋体"/>
              </w:rPr>
            </w:pPr>
            <w:r>
              <w:rPr>
                <w:rFonts w:hint="eastAsia" w:ascii="宋体" w:hAnsi="宋体"/>
              </w:rPr>
              <w:t>8</w:t>
            </w:r>
          </w:p>
        </w:tc>
        <w:tc>
          <w:tcPr>
            <w:tcW w:w="850" w:type="dxa"/>
            <w:vMerge w:val="restart"/>
            <w:tcBorders>
              <w:left w:val="single" w:color="auto" w:sz="4" w:space="0"/>
            </w:tcBorders>
            <w:vAlign w:val="center"/>
          </w:tcPr>
          <w:p>
            <w:pPr>
              <w:spacing w:line="360" w:lineRule="auto"/>
              <w:rPr>
                <w:rFonts w:ascii="宋体" w:hAnsi="宋体"/>
              </w:rPr>
            </w:pPr>
            <w:r>
              <w:rPr>
                <w:rFonts w:hint="eastAsia" w:ascii="宋体" w:hAnsi="宋体"/>
              </w:rPr>
              <w:t>税局接口</w:t>
            </w:r>
          </w:p>
        </w:tc>
        <w:tc>
          <w:tcPr>
            <w:tcW w:w="992" w:type="dxa"/>
            <w:vAlign w:val="center"/>
          </w:tcPr>
          <w:p>
            <w:pPr>
              <w:spacing w:line="360" w:lineRule="auto"/>
              <w:rPr>
                <w:rFonts w:ascii="宋体" w:hAnsi="宋体"/>
              </w:rPr>
            </w:pPr>
            <w:r>
              <w:rPr>
                <w:rFonts w:hint="eastAsia" w:ascii="宋体" w:hAnsi="宋体"/>
              </w:rPr>
              <w:t>信息同步</w:t>
            </w:r>
          </w:p>
        </w:tc>
        <w:tc>
          <w:tcPr>
            <w:tcW w:w="1134" w:type="dxa"/>
          </w:tcPr>
          <w:p>
            <w:pPr>
              <w:spacing w:line="360" w:lineRule="auto"/>
              <w:rPr>
                <w:rFonts w:ascii="宋体" w:hAnsi="宋体"/>
              </w:rPr>
            </w:pPr>
            <w:r>
              <w:rPr>
                <w:rFonts w:hint="eastAsia" w:ascii="宋体" w:hAnsi="宋体"/>
              </w:rPr>
              <w:t>http，ssl</w:t>
            </w:r>
          </w:p>
        </w:tc>
        <w:tc>
          <w:tcPr>
            <w:tcW w:w="1134" w:type="dxa"/>
          </w:tcPr>
          <w:p>
            <w:pPr>
              <w:spacing w:line="360" w:lineRule="auto"/>
              <w:rPr>
                <w:rFonts w:ascii="宋体" w:hAnsi="宋体"/>
              </w:rPr>
            </w:pPr>
            <w:r>
              <w:rPr>
                <w:rFonts w:hint="eastAsia" w:ascii="宋体" w:hAnsi="宋体"/>
              </w:rPr>
              <w:t xml:space="preserve">同步企业信息 </w:t>
            </w:r>
          </w:p>
        </w:tc>
        <w:tc>
          <w:tcPr>
            <w:tcW w:w="993" w:type="dxa"/>
          </w:tcPr>
          <w:p>
            <w:pPr>
              <w:spacing w:line="360" w:lineRule="auto"/>
              <w:rPr>
                <w:rFonts w:ascii="宋体" w:hAnsi="宋体"/>
              </w:rPr>
            </w:pPr>
            <w:r>
              <w:rPr>
                <w:rFonts w:hint="eastAsia" w:ascii="宋体" w:hAnsi="宋体"/>
              </w:rPr>
              <w:t>XML</w:t>
            </w:r>
          </w:p>
        </w:tc>
        <w:tc>
          <w:tcPr>
            <w:tcW w:w="1559" w:type="dxa"/>
          </w:tcPr>
          <w:p>
            <w:pPr>
              <w:spacing w:line="360" w:lineRule="auto"/>
              <w:rPr>
                <w:rFonts w:ascii="宋体" w:hAnsi="宋体"/>
              </w:rPr>
            </w:pPr>
            <w:r>
              <w:rPr>
                <w:rFonts w:hint="eastAsia" w:ascii="宋体" w:hAnsi="宋体"/>
                <w:lang w:eastAsia="zh-CN"/>
              </w:rPr>
              <w:t>xx交通</w:t>
            </w:r>
            <w:r>
              <w:rPr>
                <w:rFonts w:hint="eastAsia" w:ascii="宋体" w:hAnsi="宋体"/>
              </w:rPr>
              <w:t>电子发票系统调用税局统一API</w:t>
            </w:r>
          </w:p>
        </w:tc>
        <w:tc>
          <w:tcPr>
            <w:tcW w:w="1227" w:type="dxa"/>
            <w:vAlign w:val="center"/>
          </w:tcPr>
          <w:p>
            <w:pPr>
              <w:spacing w:line="360" w:lineRule="auto"/>
              <w:rPr>
                <w:rFonts w:ascii="宋体" w:hAnsi="宋体"/>
              </w:rPr>
            </w:pPr>
            <w:r>
              <w:rPr>
                <w:rFonts w:hint="eastAsia" w:ascii="宋体" w:hAnsi="宋体"/>
                <w:lang w:eastAsia="zh-CN"/>
              </w:rPr>
              <w:t>xx交通</w:t>
            </w:r>
            <w:r>
              <w:rPr>
                <w:rFonts w:hint="eastAsia" w:ascii="宋体" w:hAnsi="宋体"/>
              </w:rPr>
              <w:t>电子发票系统同步税局企业登记信息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74" w:type="dxa"/>
            <w:tcBorders>
              <w:right w:val="single" w:color="auto" w:sz="4" w:space="0"/>
            </w:tcBorders>
            <w:vAlign w:val="center"/>
          </w:tcPr>
          <w:p>
            <w:pPr>
              <w:spacing w:line="360" w:lineRule="auto"/>
              <w:rPr>
                <w:rFonts w:ascii="宋体" w:hAnsi="宋体"/>
              </w:rPr>
            </w:pPr>
            <w:r>
              <w:rPr>
                <w:rFonts w:hint="eastAsia" w:ascii="宋体" w:hAnsi="宋体"/>
              </w:rPr>
              <w:t>9</w:t>
            </w:r>
          </w:p>
        </w:tc>
        <w:tc>
          <w:tcPr>
            <w:tcW w:w="850" w:type="dxa"/>
            <w:vMerge w:val="continue"/>
            <w:tcBorders>
              <w:left w:val="single" w:color="auto" w:sz="4" w:space="0"/>
            </w:tcBorders>
            <w:vAlign w:val="center"/>
          </w:tcPr>
          <w:p>
            <w:pPr>
              <w:spacing w:line="360" w:lineRule="auto"/>
              <w:rPr>
                <w:rFonts w:ascii="宋体" w:hAnsi="宋体"/>
              </w:rPr>
            </w:pPr>
          </w:p>
        </w:tc>
        <w:tc>
          <w:tcPr>
            <w:tcW w:w="992" w:type="dxa"/>
            <w:vAlign w:val="center"/>
          </w:tcPr>
          <w:p>
            <w:pPr>
              <w:spacing w:line="360" w:lineRule="auto"/>
              <w:rPr>
                <w:rFonts w:ascii="宋体" w:hAnsi="宋体"/>
              </w:rPr>
            </w:pPr>
            <w:r>
              <w:rPr>
                <w:rFonts w:hint="eastAsia" w:ascii="宋体" w:hAnsi="宋体"/>
              </w:rPr>
              <w:t>开具发票上传</w:t>
            </w:r>
          </w:p>
        </w:tc>
        <w:tc>
          <w:tcPr>
            <w:tcW w:w="1134" w:type="dxa"/>
          </w:tcPr>
          <w:p>
            <w:pPr>
              <w:spacing w:line="360" w:lineRule="auto"/>
              <w:rPr>
                <w:rFonts w:ascii="宋体" w:hAnsi="宋体"/>
              </w:rPr>
            </w:pPr>
            <w:r>
              <w:rPr>
                <w:rFonts w:hint="eastAsia" w:ascii="宋体" w:hAnsi="宋体"/>
              </w:rPr>
              <w:t>http，ssl</w:t>
            </w:r>
          </w:p>
        </w:tc>
        <w:tc>
          <w:tcPr>
            <w:tcW w:w="1134" w:type="dxa"/>
          </w:tcPr>
          <w:p>
            <w:pPr>
              <w:spacing w:line="360" w:lineRule="auto"/>
              <w:rPr>
                <w:rFonts w:ascii="宋体" w:hAnsi="宋体"/>
              </w:rPr>
            </w:pPr>
            <w:r>
              <w:rPr>
                <w:rFonts w:hint="eastAsia" w:ascii="宋体" w:hAnsi="宋体"/>
              </w:rPr>
              <w:t>上传已开具的发票</w:t>
            </w:r>
          </w:p>
        </w:tc>
        <w:tc>
          <w:tcPr>
            <w:tcW w:w="993" w:type="dxa"/>
          </w:tcPr>
          <w:p>
            <w:pPr>
              <w:spacing w:line="360" w:lineRule="auto"/>
              <w:rPr>
                <w:rFonts w:ascii="宋体" w:hAnsi="宋体"/>
              </w:rPr>
            </w:pPr>
            <w:r>
              <w:rPr>
                <w:rFonts w:hint="eastAsia" w:ascii="宋体" w:hAnsi="宋体"/>
              </w:rPr>
              <w:t>XML</w:t>
            </w:r>
          </w:p>
        </w:tc>
        <w:tc>
          <w:tcPr>
            <w:tcW w:w="1559" w:type="dxa"/>
          </w:tcPr>
          <w:p>
            <w:pPr>
              <w:spacing w:line="360" w:lineRule="auto"/>
              <w:rPr>
                <w:rFonts w:ascii="宋体" w:hAnsi="宋体"/>
              </w:rPr>
            </w:pPr>
            <w:r>
              <w:rPr>
                <w:rFonts w:hint="eastAsia" w:ascii="宋体" w:hAnsi="宋体"/>
                <w:lang w:eastAsia="zh-CN"/>
              </w:rPr>
              <w:t>xx交通</w:t>
            </w:r>
            <w:r>
              <w:rPr>
                <w:rFonts w:hint="eastAsia" w:ascii="宋体" w:hAnsi="宋体"/>
              </w:rPr>
              <w:t>电子发票系统调用税局统一API</w:t>
            </w:r>
          </w:p>
        </w:tc>
        <w:tc>
          <w:tcPr>
            <w:tcW w:w="1227" w:type="dxa"/>
            <w:vAlign w:val="center"/>
          </w:tcPr>
          <w:p>
            <w:pPr>
              <w:spacing w:line="360" w:lineRule="auto"/>
              <w:rPr>
                <w:rFonts w:ascii="宋体" w:hAnsi="宋体"/>
              </w:rPr>
            </w:pPr>
            <w:r>
              <w:rPr>
                <w:rFonts w:hint="eastAsia" w:ascii="宋体" w:hAnsi="宋体"/>
              </w:rPr>
              <w:t>上传已开具的发票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74" w:type="dxa"/>
            <w:tcBorders>
              <w:right w:val="single" w:color="auto" w:sz="4" w:space="0"/>
            </w:tcBorders>
            <w:vAlign w:val="center"/>
          </w:tcPr>
          <w:p>
            <w:pPr>
              <w:spacing w:line="360" w:lineRule="auto"/>
              <w:rPr>
                <w:rFonts w:ascii="宋体" w:hAnsi="宋体"/>
              </w:rPr>
            </w:pPr>
            <w:r>
              <w:rPr>
                <w:rFonts w:hint="eastAsia" w:ascii="宋体" w:hAnsi="宋体"/>
              </w:rPr>
              <w:t>10</w:t>
            </w:r>
          </w:p>
        </w:tc>
        <w:tc>
          <w:tcPr>
            <w:tcW w:w="850" w:type="dxa"/>
            <w:vMerge w:val="continue"/>
            <w:tcBorders>
              <w:left w:val="single" w:color="auto" w:sz="4" w:space="0"/>
            </w:tcBorders>
            <w:vAlign w:val="center"/>
          </w:tcPr>
          <w:p>
            <w:pPr>
              <w:spacing w:line="360" w:lineRule="auto"/>
              <w:rPr>
                <w:rFonts w:ascii="宋体" w:hAnsi="宋体"/>
              </w:rPr>
            </w:pPr>
          </w:p>
        </w:tc>
        <w:tc>
          <w:tcPr>
            <w:tcW w:w="992" w:type="dxa"/>
            <w:vAlign w:val="center"/>
          </w:tcPr>
          <w:p>
            <w:pPr>
              <w:spacing w:line="360" w:lineRule="auto"/>
              <w:rPr>
                <w:rFonts w:ascii="宋体" w:hAnsi="宋体"/>
              </w:rPr>
            </w:pPr>
            <w:r>
              <w:rPr>
                <w:rFonts w:hint="eastAsia" w:ascii="宋体" w:hAnsi="宋体"/>
              </w:rPr>
              <w:t>票源下载</w:t>
            </w:r>
          </w:p>
        </w:tc>
        <w:tc>
          <w:tcPr>
            <w:tcW w:w="1134" w:type="dxa"/>
          </w:tcPr>
          <w:p>
            <w:pPr>
              <w:spacing w:line="360" w:lineRule="auto"/>
              <w:rPr>
                <w:rFonts w:ascii="宋体" w:hAnsi="宋体"/>
              </w:rPr>
            </w:pPr>
            <w:r>
              <w:rPr>
                <w:rFonts w:hint="eastAsia" w:ascii="宋体" w:hAnsi="宋体"/>
              </w:rPr>
              <w:t>http，ssl</w:t>
            </w:r>
          </w:p>
        </w:tc>
        <w:tc>
          <w:tcPr>
            <w:tcW w:w="1134" w:type="dxa"/>
          </w:tcPr>
          <w:p>
            <w:pPr>
              <w:spacing w:line="360" w:lineRule="auto"/>
              <w:rPr>
                <w:rFonts w:ascii="宋体" w:hAnsi="宋体"/>
              </w:rPr>
            </w:pPr>
            <w:r>
              <w:rPr>
                <w:rFonts w:hint="eastAsia" w:ascii="宋体" w:hAnsi="宋体"/>
              </w:rPr>
              <w:t>下载购票信息</w:t>
            </w:r>
          </w:p>
        </w:tc>
        <w:tc>
          <w:tcPr>
            <w:tcW w:w="993" w:type="dxa"/>
          </w:tcPr>
          <w:p>
            <w:pPr>
              <w:spacing w:line="360" w:lineRule="auto"/>
              <w:rPr>
                <w:rFonts w:ascii="宋体" w:hAnsi="宋体"/>
              </w:rPr>
            </w:pPr>
            <w:r>
              <w:rPr>
                <w:rFonts w:hint="eastAsia" w:ascii="宋体" w:hAnsi="宋体"/>
              </w:rPr>
              <w:t>XML</w:t>
            </w:r>
          </w:p>
        </w:tc>
        <w:tc>
          <w:tcPr>
            <w:tcW w:w="1559" w:type="dxa"/>
          </w:tcPr>
          <w:p>
            <w:pPr>
              <w:spacing w:line="360" w:lineRule="auto"/>
              <w:rPr>
                <w:rFonts w:ascii="宋体" w:hAnsi="宋体"/>
              </w:rPr>
            </w:pPr>
            <w:r>
              <w:rPr>
                <w:rFonts w:hint="eastAsia" w:ascii="宋体" w:hAnsi="宋体"/>
                <w:lang w:eastAsia="zh-CN"/>
              </w:rPr>
              <w:t>xx交通</w:t>
            </w:r>
            <w:r>
              <w:rPr>
                <w:rFonts w:hint="eastAsia" w:ascii="宋体" w:hAnsi="宋体"/>
              </w:rPr>
              <w:t>电子发票系统调用税局统一API</w:t>
            </w:r>
          </w:p>
        </w:tc>
        <w:tc>
          <w:tcPr>
            <w:tcW w:w="1227" w:type="dxa"/>
            <w:vAlign w:val="center"/>
          </w:tcPr>
          <w:p>
            <w:pPr>
              <w:spacing w:line="360" w:lineRule="auto"/>
              <w:rPr>
                <w:rFonts w:ascii="宋体" w:hAnsi="宋体"/>
              </w:rPr>
            </w:pPr>
            <w:r>
              <w:rPr>
                <w:rFonts w:hint="eastAsia" w:ascii="宋体" w:hAnsi="宋体"/>
              </w:rPr>
              <w:t>下载已购票的信息</w:t>
            </w:r>
          </w:p>
        </w:tc>
      </w:tr>
    </w:tbl>
    <w:p>
      <w:pPr>
        <w:spacing w:line="360" w:lineRule="auto"/>
        <w:ind w:firstLine="480"/>
        <w:rPr>
          <w:rFonts w:asciiTheme="minorEastAsia" w:hAnsiTheme="minorEastAsia"/>
          <w:sz w:val="24"/>
          <w:szCs w:val="24"/>
        </w:rPr>
      </w:pPr>
      <w:r>
        <w:rPr>
          <w:rFonts w:hint="eastAsia" w:asciiTheme="minorEastAsia" w:hAnsiTheme="minorEastAsia"/>
          <w:sz w:val="24"/>
          <w:szCs w:val="24"/>
        </w:rPr>
        <w:t>与税局对接采用税务提供的升级版对接即可，</w:t>
      </w:r>
      <w:r>
        <w:rPr>
          <w:rFonts w:asciiTheme="minorEastAsia" w:hAnsiTheme="minorEastAsia"/>
          <w:sz w:val="24"/>
          <w:szCs w:val="24"/>
        </w:rPr>
        <w:t>使用标准</w:t>
      </w:r>
      <w:r>
        <w:rPr>
          <w:rFonts w:hint="eastAsia" w:asciiTheme="minorEastAsia" w:hAnsiTheme="minorEastAsia"/>
          <w:sz w:val="24"/>
          <w:szCs w:val="24"/>
        </w:rPr>
        <w:t>的SSL</w:t>
      </w:r>
      <w:r>
        <w:rPr>
          <w:rFonts w:asciiTheme="minorEastAsia" w:hAnsiTheme="minorEastAsia"/>
          <w:sz w:val="24"/>
          <w:szCs w:val="24"/>
        </w:rPr>
        <w:t>协议</w:t>
      </w:r>
      <w:r>
        <w:rPr>
          <w:rFonts w:hint="eastAsia" w:asciiTheme="minorEastAsia" w:hAnsiTheme="minorEastAsia"/>
          <w:sz w:val="24"/>
          <w:szCs w:val="24"/>
        </w:rPr>
        <w:t>，采用https</w:t>
      </w:r>
      <w:r>
        <w:rPr>
          <w:rFonts w:asciiTheme="minorEastAsia" w:hAnsiTheme="minorEastAsia"/>
          <w:sz w:val="24"/>
          <w:szCs w:val="24"/>
        </w:rPr>
        <w:t>通信协议</w:t>
      </w:r>
      <w:r>
        <w:rPr>
          <w:rFonts w:hint="eastAsia" w:asciiTheme="minorEastAsia" w:hAnsiTheme="minorEastAsia"/>
          <w:sz w:val="24"/>
          <w:szCs w:val="24"/>
        </w:rPr>
        <w:t>，交换的数据</w:t>
      </w:r>
      <w:r>
        <w:rPr>
          <w:rFonts w:asciiTheme="minorEastAsia" w:hAnsiTheme="minorEastAsia"/>
          <w:sz w:val="24"/>
          <w:szCs w:val="24"/>
        </w:rPr>
        <w:t>格式</w:t>
      </w:r>
      <w:r>
        <w:rPr>
          <w:rFonts w:hint="eastAsia" w:asciiTheme="minorEastAsia" w:hAnsiTheme="minorEastAsia"/>
          <w:sz w:val="24"/>
          <w:szCs w:val="24"/>
        </w:rPr>
        <w:t>XML，实现的方式为局端系统提供升级版客户端调用的API。</w:t>
      </w:r>
    </w:p>
    <w:p>
      <w:pPr>
        <w:spacing w:line="360" w:lineRule="auto"/>
        <w:ind w:firstLine="480"/>
        <w:rPr>
          <w:rFonts w:asciiTheme="minorEastAsia" w:hAnsiTheme="minorEastAsia"/>
          <w:sz w:val="24"/>
          <w:szCs w:val="24"/>
        </w:rPr>
      </w:pPr>
      <w:r>
        <w:rPr>
          <w:rFonts w:hint="eastAsia" w:asciiTheme="minorEastAsia" w:hAnsiTheme="minorEastAsia"/>
          <w:sz w:val="24"/>
          <w:szCs w:val="24"/>
        </w:rPr>
        <w:t>与</w:t>
      </w:r>
      <w:r>
        <w:rPr>
          <w:rFonts w:hint="eastAsia" w:asciiTheme="minorEastAsia" w:hAnsiTheme="minorEastAsia"/>
          <w:sz w:val="24"/>
          <w:szCs w:val="24"/>
          <w:lang w:eastAsia="zh-CN"/>
        </w:rPr>
        <w:t>xx交通xx卡运营平台、合作银行的电子收费业务</w:t>
      </w:r>
      <w:r>
        <w:rPr>
          <w:rFonts w:hint="eastAsia" w:asciiTheme="minorEastAsia" w:hAnsiTheme="minorEastAsia"/>
          <w:sz w:val="24"/>
          <w:szCs w:val="24"/>
        </w:rPr>
        <w:t>的对接，使用WEBSERVICE协议，采用http通信协议，交换的数据</w:t>
      </w:r>
      <w:r>
        <w:rPr>
          <w:rFonts w:asciiTheme="minorEastAsia" w:hAnsiTheme="minorEastAsia"/>
          <w:sz w:val="24"/>
          <w:szCs w:val="24"/>
        </w:rPr>
        <w:t>格式</w:t>
      </w:r>
      <w:r>
        <w:rPr>
          <w:rFonts w:hint="eastAsia" w:asciiTheme="minorEastAsia" w:hAnsiTheme="minorEastAsia"/>
          <w:sz w:val="24"/>
          <w:szCs w:val="24"/>
        </w:rPr>
        <w:t>XML，实现的方式为系统提供发票开具、发票查询、发票开具对帐接口API给</w:t>
      </w:r>
      <w:r>
        <w:rPr>
          <w:rFonts w:hint="eastAsia" w:asciiTheme="minorEastAsia" w:hAnsiTheme="minorEastAsia"/>
          <w:sz w:val="24"/>
          <w:szCs w:val="24"/>
          <w:lang w:eastAsia="zh-CN"/>
        </w:rPr>
        <w:t>xx交通</w:t>
      </w:r>
      <w:r>
        <w:rPr>
          <w:rFonts w:hint="eastAsia" w:asciiTheme="minorEastAsia" w:hAnsiTheme="minorEastAsia"/>
          <w:sz w:val="24"/>
          <w:szCs w:val="24"/>
        </w:rPr>
        <w:t>业务系统调用，</w:t>
      </w:r>
      <w:r>
        <w:rPr>
          <w:rFonts w:hint="eastAsia" w:asciiTheme="minorEastAsia" w:hAnsiTheme="minorEastAsia"/>
          <w:sz w:val="24"/>
          <w:szCs w:val="24"/>
          <w:lang w:eastAsia="zh-CN"/>
        </w:rPr>
        <w:t>xx交通</w:t>
      </w:r>
      <w:r>
        <w:rPr>
          <w:rFonts w:hint="eastAsia" w:asciiTheme="minorEastAsia" w:hAnsiTheme="minorEastAsia"/>
          <w:sz w:val="24"/>
          <w:szCs w:val="24"/>
        </w:rPr>
        <w:t>业务系统提供发票推送API给电子发票系统调用。</w:t>
      </w:r>
    </w:p>
    <w:p>
      <w:pPr>
        <w:spacing w:line="360" w:lineRule="auto"/>
        <w:ind w:firstLine="480"/>
        <w:rPr>
          <w:rFonts w:asciiTheme="minorEastAsia" w:hAnsiTheme="minorEastAsia"/>
          <w:sz w:val="24"/>
          <w:szCs w:val="24"/>
        </w:rPr>
      </w:pPr>
      <w:r>
        <w:rPr>
          <w:rFonts w:hint="eastAsia" w:asciiTheme="minorEastAsia" w:hAnsiTheme="minorEastAsia"/>
          <w:sz w:val="24"/>
          <w:szCs w:val="24"/>
        </w:rPr>
        <w:t>与第三方服务平台的对接，使用WEBSERVICE协议，采用http通信协议，交换的数据</w:t>
      </w:r>
      <w:r>
        <w:rPr>
          <w:rFonts w:asciiTheme="minorEastAsia" w:hAnsiTheme="minorEastAsia"/>
          <w:sz w:val="24"/>
          <w:szCs w:val="24"/>
        </w:rPr>
        <w:t>格式</w:t>
      </w:r>
      <w:r>
        <w:rPr>
          <w:rFonts w:hint="eastAsia" w:asciiTheme="minorEastAsia" w:hAnsiTheme="minorEastAsia"/>
          <w:sz w:val="24"/>
          <w:szCs w:val="24"/>
        </w:rPr>
        <w:t>XML，实现的方式为第三方服务平台提供发票接收、发票验证灯接口API给电子发票系统调用。</w:t>
      </w:r>
    </w:p>
    <w:p>
      <w:pPr>
        <w:spacing w:line="360" w:lineRule="auto"/>
        <w:ind w:firstLine="480"/>
        <w:rPr>
          <w:rFonts w:asciiTheme="minorEastAsia" w:hAnsiTheme="minorEastAsia"/>
          <w:sz w:val="24"/>
          <w:szCs w:val="24"/>
        </w:rPr>
      </w:pPr>
      <w:r>
        <w:rPr>
          <w:rFonts w:hint="eastAsia" w:asciiTheme="minorEastAsia" w:hAnsiTheme="minorEastAsia"/>
          <w:sz w:val="24"/>
          <w:szCs w:val="24"/>
        </w:rPr>
        <w:t>在本项目中，将以提供Web Services的服务接口为主要技术协议方式之一；同时，将采用XML作为外部接口数据交换的格式标准。</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接口命名规则：外层报文节点使用英文标识，第一个单词小写，从第二个开始单词首字母大写，如果简写则全部为大写；内层报文使用拼音首字母简写大写。</w:t>
      </w:r>
    </w:p>
    <w:p>
      <w:pPr>
        <w:spacing w:line="360" w:lineRule="auto"/>
        <w:rPr>
          <w:rFonts w:asciiTheme="minorEastAsia" w:hAnsiTheme="minorEastAsia"/>
          <w:szCs w:val="21"/>
        </w:rPr>
      </w:pPr>
    </w:p>
    <w:p>
      <w:pPr>
        <w:pStyle w:val="4"/>
        <w:numPr>
          <w:ilvl w:val="2"/>
          <w:numId w:val="3"/>
        </w:numPr>
        <w:spacing w:before="0" w:after="0" w:line="360" w:lineRule="auto"/>
        <w:ind w:left="0" w:leftChars="0" w:firstLine="402" w:firstLineChars="0"/>
      </w:pPr>
      <w:bookmarkStart w:id="97" w:name="_Toc3666"/>
      <w:bookmarkStart w:id="98" w:name="_Toc28214"/>
      <w:bookmarkStart w:id="99" w:name="_Toc30781"/>
      <w:bookmarkStart w:id="100" w:name="_Toc1618"/>
      <w:bookmarkStart w:id="101" w:name="_Toc10847"/>
      <w:bookmarkStart w:id="102" w:name="_Toc434485319"/>
      <w:bookmarkStart w:id="103" w:name="_Toc18350"/>
      <w:bookmarkStart w:id="104" w:name="_Toc442308298"/>
      <w:r>
        <w:rPr>
          <w:rFonts w:hint="eastAsia"/>
        </w:rPr>
        <w:t>3.2.2 通用接口（外层报文）格式</w:t>
      </w:r>
      <w:bookmarkEnd w:id="97"/>
      <w:bookmarkEnd w:id="98"/>
      <w:bookmarkEnd w:id="99"/>
      <w:bookmarkEnd w:id="100"/>
      <w:bookmarkEnd w:id="101"/>
      <w:bookmarkEnd w:id="102"/>
      <w:r>
        <w:rPr>
          <w:rFonts w:hint="eastAsia"/>
        </w:rPr>
        <w:t>设计</w:t>
      </w:r>
      <w:bookmarkEnd w:id="103"/>
      <w:bookmarkEnd w:id="104"/>
    </w:p>
    <w:p>
      <w:pPr>
        <w:autoSpaceDE w:val="0"/>
        <w:autoSpaceDN w:val="0"/>
        <w:adjustRightInd w:val="0"/>
        <w:spacing w:line="360" w:lineRule="auto"/>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xml</w:t>
      </w:r>
      <w:r>
        <w:rPr>
          <w:rFonts w:hint="eastAsia" w:ascii="宋体" w:hAnsi="宋体" w:cs="新宋体"/>
          <w:color w:val="0000FF"/>
          <w:kern w:val="0"/>
          <w:sz w:val="18"/>
          <w:szCs w:val="18"/>
        </w:rPr>
        <w:t xml:space="preserve"> </w:t>
      </w:r>
      <w:r>
        <w:rPr>
          <w:rFonts w:hint="eastAsia" w:ascii="宋体" w:hAnsi="宋体" w:cs="新宋体"/>
          <w:color w:val="FF0000"/>
          <w:kern w:val="0"/>
          <w:sz w:val="18"/>
          <w:szCs w:val="18"/>
        </w:rPr>
        <w:t>version</w:t>
      </w:r>
      <w:r>
        <w:rPr>
          <w:rFonts w:hint="eastAsia" w:ascii="宋体" w:hAnsi="宋体" w:cs="新宋体"/>
          <w:color w:val="0000FF"/>
          <w:kern w:val="0"/>
          <w:sz w:val="18"/>
          <w:szCs w:val="18"/>
        </w:rPr>
        <w:t>=</w:t>
      </w:r>
      <w:r>
        <w:rPr>
          <w:rFonts w:hint="eastAsia" w:ascii="宋体" w:hAnsi="宋体" w:cs="新宋体"/>
          <w:kern w:val="0"/>
          <w:sz w:val="18"/>
          <w:szCs w:val="18"/>
        </w:rPr>
        <w:t>"</w:t>
      </w:r>
      <w:r>
        <w:rPr>
          <w:rFonts w:hint="eastAsia" w:ascii="宋体" w:hAnsi="宋体" w:cs="新宋体"/>
          <w:color w:val="0000FF"/>
          <w:kern w:val="0"/>
          <w:sz w:val="18"/>
          <w:szCs w:val="18"/>
        </w:rPr>
        <w:t>1.0</w:t>
      </w:r>
      <w:r>
        <w:rPr>
          <w:rFonts w:hint="eastAsia" w:ascii="宋体" w:hAnsi="宋体" w:cs="新宋体"/>
          <w:kern w:val="0"/>
          <w:sz w:val="18"/>
          <w:szCs w:val="18"/>
        </w:rPr>
        <w:t>"</w:t>
      </w:r>
      <w:r>
        <w:rPr>
          <w:rFonts w:hint="eastAsia" w:ascii="宋体" w:hAnsi="宋体" w:cs="新宋体"/>
          <w:color w:val="0000FF"/>
          <w:kern w:val="0"/>
          <w:sz w:val="18"/>
          <w:szCs w:val="18"/>
        </w:rPr>
        <w:t xml:space="preserve"> </w:t>
      </w:r>
      <w:r>
        <w:rPr>
          <w:rFonts w:hint="eastAsia" w:ascii="宋体" w:hAnsi="宋体" w:cs="新宋体"/>
          <w:color w:val="FF0000"/>
          <w:kern w:val="0"/>
          <w:sz w:val="18"/>
          <w:szCs w:val="18"/>
        </w:rPr>
        <w:t>encoding</w:t>
      </w:r>
      <w:r>
        <w:rPr>
          <w:rFonts w:hint="eastAsia" w:ascii="宋体" w:hAnsi="宋体" w:cs="新宋体"/>
          <w:color w:val="0000FF"/>
          <w:kern w:val="0"/>
          <w:sz w:val="18"/>
          <w:szCs w:val="18"/>
        </w:rPr>
        <w:t>=</w:t>
      </w:r>
      <w:r>
        <w:rPr>
          <w:rFonts w:hint="eastAsia" w:ascii="宋体" w:hAnsi="宋体" w:cs="新宋体"/>
          <w:kern w:val="0"/>
          <w:sz w:val="18"/>
          <w:szCs w:val="18"/>
        </w:rPr>
        <w:t>"</w:t>
      </w:r>
      <w:r>
        <w:rPr>
          <w:rFonts w:hint="eastAsia" w:ascii="宋体" w:hAnsi="宋体" w:cs="新宋体"/>
          <w:color w:val="0000FF"/>
          <w:kern w:val="0"/>
          <w:sz w:val="18"/>
          <w:szCs w:val="18"/>
        </w:rPr>
        <w:t>utf-8</w:t>
      </w:r>
      <w:r>
        <w:rPr>
          <w:rFonts w:hint="eastAsia" w:ascii="宋体" w:hAnsi="宋体" w:cs="新宋体"/>
          <w:kern w:val="0"/>
          <w:sz w:val="18"/>
          <w:szCs w:val="18"/>
        </w:rPr>
        <w:t>"</w:t>
      </w:r>
      <w:r>
        <w:rPr>
          <w:rFonts w:hint="eastAsia" w:ascii="宋体" w:hAnsi="宋体" w:cs="新宋体"/>
          <w:color w:val="0000FF"/>
          <w:kern w:val="0"/>
          <w:sz w:val="18"/>
          <w:szCs w:val="18"/>
        </w:rPr>
        <w:t xml:space="preserve"> ?&gt;</w:t>
      </w:r>
    </w:p>
    <w:p>
      <w:pPr>
        <w:autoSpaceDE w:val="0"/>
        <w:autoSpaceDN w:val="0"/>
        <w:adjustRightInd w:val="0"/>
        <w:spacing w:line="360" w:lineRule="auto"/>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interface</w:t>
      </w:r>
      <w:r>
        <w:rPr>
          <w:rFonts w:hint="eastAsia" w:ascii="宋体" w:hAnsi="宋体" w:cs="新宋体"/>
          <w:color w:val="0000FF"/>
          <w:kern w:val="0"/>
          <w:sz w:val="18"/>
          <w:szCs w:val="18"/>
        </w:rPr>
        <w:t xml:space="preserve"> </w:t>
      </w:r>
      <w:r>
        <w:rPr>
          <w:rFonts w:hint="eastAsia" w:ascii="宋体" w:hAnsi="宋体" w:cs="新宋体"/>
          <w:color w:val="FF0000"/>
          <w:kern w:val="0"/>
          <w:sz w:val="18"/>
          <w:szCs w:val="18"/>
        </w:rPr>
        <w:t>xmlns</w:t>
      </w:r>
      <w:r>
        <w:rPr>
          <w:rFonts w:hint="eastAsia" w:ascii="宋体" w:hAnsi="宋体" w:cs="新宋体"/>
          <w:color w:val="0000FF"/>
          <w:kern w:val="0"/>
          <w:sz w:val="18"/>
          <w:szCs w:val="18"/>
        </w:rPr>
        <w:t>=</w:t>
      </w:r>
      <w:r>
        <w:rPr>
          <w:rFonts w:hint="eastAsia" w:ascii="宋体" w:hAnsi="宋体" w:cs="新宋体"/>
          <w:kern w:val="0"/>
          <w:sz w:val="18"/>
          <w:szCs w:val="18"/>
        </w:rPr>
        <w:t xml:space="preserve">"" </w:t>
      </w:r>
      <w:r>
        <w:rPr>
          <w:rFonts w:hint="eastAsia" w:ascii="宋体" w:hAnsi="宋体" w:cs="新宋体"/>
          <w:color w:val="FF0000"/>
          <w:kern w:val="0"/>
          <w:sz w:val="18"/>
          <w:szCs w:val="18"/>
        </w:rPr>
        <w:t>xmlns</w:t>
      </w:r>
      <w:r>
        <w:rPr>
          <w:rFonts w:hint="eastAsia" w:ascii="宋体" w:hAnsi="宋体" w:cs="新宋体"/>
          <w:color w:val="0000FF"/>
          <w:kern w:val="0"/>
          <w:sz w:val="18"/>
          <w:szCs w:val="18"/>
        </w:rPr>
        <w:t>:</w:t>
      </w:r>
      <w:r>
        <w:rPr>
          <w:rFonts w:hint="eastAsia" w:ascii="宋体" w:hAnsi="宋体" w:cs="新宋体"/>
          <w:color w:val="FF0000"/>
          <w:kern w:val="0"/>
          <w:sz w:val="18"/>
          <w:szCs w:val="18"/>
        </w:rPr>
        <w:t>xsi</w:t>
      </w:r>
      <w:r>
        <w:rPr>
          <w:rFonts w:hint="eastAsia" w:ascii="宋体" w:hAnsi="宋体" w:cs="新宋体"/>
          <w:color w:val="0000FF"/>
          <w:kern w:val="0"/>
          <w:sz w:val="18"/>
          <w:szCs w:val="18"/>
        </w:rPr>
        <w:t xml:space="preserve">="http://www.w3.org/2001/XMLSchema-instance" </w:t>
      </w:r>
      <w:r>
        <w:rPr>
          <w:rFonts w:hint="eastAsia" w:ascii="宋体" w:hAnsi="宋体" w:cs="新宋体"/>
          <w:color w:val="FF0000"/>
          <w:kern w:val="0"/>
          <w:sz w:val="18"/>
          <w:szCs w:val="18"/>
        </w:rPr>
        <w:t>xsi:schemaLocation</w:t>
      </w:r>
      <w:r>
        <w:rPr>
          <w:rFonts w:hint="eastAsia" w:ascii="宋体" w:hAnsi="宋体" w:cs="新宋体"/>
          <w:color w:val="0000FF"/>
          <w:kern w:val="0"/>
          <w:sz w:val="18"/>
          <w:szCs w:val="18"/>
        </w:rPr>
        <w:t>=</w:t>
      </w:r>
      <w:r>
        <w:rPr>
          <w:rFonts w:hint="eastAsia" w:ascii="宋体" w:hAnsi="宋体" w:cs="新宋体"/>
          <w:kern w:val="0"/>
          <w:sz w:val="18"/>
          <w:szCs w:val="18"/>
        </w:rPr>
        <w:t>"</w:t>
      </w:r>
      <w:r>
        <w:rPr>
          <w:rFonts w:hint="eastAsia" w:ascii="宋体" w:hAnsi="宋体" w:cs="新宋体"/>
          <w:color w:val="0000FF"/>
          <w:kern w:val="0"/>
          <w:sz w:val="18"/>
          <w:szCs w:val="18"/>
        </w:rPr>
        <w:t>http://www.chinatax.gov.cn/tirip/dataspec/interfaces.xsd</w:t>
      </w:r>
      <w:r>
        <w:rPr>
          <w:rFonts w:hint="eastAsia" w:ascii="宋体" w:hAnsi="宋体" w:cs="新宋体"/>
          <w:kern w:val="0"/>
          <w:sz w:val="18"/>
          <w:szCs w:val="18"/>
        </w:rPr>
        <w:t>"</w:t>
      </w:r>
      <w:r>
        <w:rPr>
          <w:rFonts w:hint="eastAsia" w:ascii="宋体" w:hAnsi="宋体" w:cs="新宋体"/>
          <w:color w:val="0000FF"/>
          <w:kern w:val="0"/>
          <w:sz w:val="18"/>
          <w:szCs w:val="18"/>
        </w:rPr>
        <w:t xml:space="preserve"> </w:t>
      </w:r>
      <w:r>
        <w:rPr>
          <w:rFonts w:hint="eastAsia" w:ascii="宋体" w:hAnsi="宋体" w:cs="新宋体"/>
          <w:color w:val="FF0000"/>
          <w:kern w:val="0"/>
          <w:sz w:val="18"/>
          <w:szCs w:val="18"/>
        </w:rPr>
        <w:t>version</w:t>
      </w:r>
      <w:r>
        <w:rPr>
          <w:rFonts w:hint="eastAsia" w:ascii="宋体" w:hAnsi="宋体" w:cs="新宋体"/>
          <w:color w:val="0000FF"/>
          <w:kern w:val="0"/>
          <w:sz w:val="18"/>
          <w:szCs w:val="18"/>
        </w:rPr>
        <w:t>=</w:t>
      </w:r>
      <w:r>
        <w:rPr>
          <w:rFonts w:hint="eastAsia" w:ascii="宋体" w:hAnsi="宋体" w:cs="新宋体"/>
          <w:kern w:val="0"/>
          <w:sz w:val="18"/>
          <w:szCs w:val="18"/>
        </w:rPr>
        <w:t>"</w:t>
      </w:r>
      <w:r>
        <w:rPr>
          <w:rFonts w:hint="eastAsia" w:ascii="宋体" w:hAnsi="宋体" w:cs="新宋体"/>
          <w:color w:val="0000FF"/>
          <w:kern w:val="0"/>
          <w:sz w:val="18"/>
          <w:szCs w:val="18"/>
        </w:rPr>
        <w:t>DZFP1.0</w:t>
      </w:r>
      <w:r>
        <w:rPr>
          <w:rFonts w:hint="eastAsia" w:ascii="宋体" w:hAnsi="宋体" w:cs="新宋体"/>
          <w:kern w:val="0"/>
          <w:sz w:val="18"/>
          <w:szCs w:val="18"/>
        </w:rPr>
        <w:t>"</w:t>
      </w:r>
      <w:r>
        <w:rPr>
          <w:rFonts w:hint="eastAsia" w:ascii="宋体" w:hAnsi="宋体" w:cs="新宋体"/>
          <w:color w:val="0000FF"/>
          <w:kern w:val="0"/>
          <w:sz w:val="18"/>
          <w:szCs w:val="18"/>
        </w:rPr>
        <w:t xml:space="preserve"> &gt;</w:t>
      </w:r>
    </w:p>
    <w:p>
      <w:pPr>
        <w:autoSpaceDE w:val="0"/>
        <w:autoSpaceDN w:val="0"/>
        <w:adjustRightInd w:val="0"/>
        <w:spacing w:line="360" w:lineRule="auto"/>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globalInfo</w:t>
      </w:r>
      <w:r>
        <w:rPr>
          <w:rFonts w:hint="eastAsia" w:ascii="宋体" w:hAnsi="宋体" w:cs="新宋体"/>
          <w:color w:val="0000FF"/>
          <w:kern w:val="0"/>
          <w:sz w:val="18"/>
          <w:szCs w:val="18"/>
        </w:rPr>
        <w:t>&gt;</w:t>
      </w:r>
      <w:r>
        <w:rPr>
          <w:rFonts w:hint="eastAsia" w:ascii="宋体" w:hAnsi="宋体" w:cs="新宋体"/>
          <w:kern w:val="0"/>
          <w:sz w:val="18"/>
          <w:szCs w:val="18"/>
        </w:rPr>
        <w:t>------------全局信息</w:t>
      </w:r>
    </w:p>
    <w:p>
      <w:pPr>
        <w:autoSpaceDE w:val="0"/>
        <w:autoSpaceDN w:val="0"/>
        <w:adjustRightInd w:val="0"/>
        <w:spacing w:line="360" w:lineRule="auto"/>
        <w:ind w:firstLine="345"/>
        <w:rPr>
          <w:rFonts w:ascii="宋体" w:hAnsi="宋体" w:cs="新宋体"/>
          <w:color w:val="0000FF"/>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terminalCode</w:t>
      </w:r>
      <w:r>
        <w:rPr>
          <w:rFonts w:hint="eastAsia" w:ascii="宋体" w:hAnsi="宋体" w:cs="新宋体"/>
          <w:color w:val="0000FF"/>
          <w:kern w:val="0"/>
          <w:sz w:val="18"/>
          <w:szCs w:val="18"/>
        </w:rPr>
        <w:t>&gt;</w:t>
      </w:r>
      <w:r>
        <w:rPr>
          <w:rFonts w:hint="eastAsia" w:ascii="宋体" w:hAnsi="宋体" w:cs="新宋体"/>
          <w:kern w:val="0"/>
          <w:sz w:val="18"/>
          <w:szCs w:val="18"/>
        </w:rPr>
        <w:t>终端类型标识(0:B/S请求来源;1:C/S请求来源)</w:t>
      </w:r>
      <w:r>
        <w:rPr>
          <w:rFonts w:hint="eastAsia" w:ascii="宋体" w:hAnsi="宋体" w:cs="新宋体"/>
          <w:color w:val="0000FF"/>
          <w:kern w:val="0"/>
          <w:sz w:val="18"/>
          <w:szCs w:val="18"/>
        </w:rPr>
        <w:t>&lt;/</w:t>
      </w:r>
      <w:r>
        <w:rPr>
          <w:rFonts w:hint="eastAsia" w:ascii="宋体" w:hAnsi="宋体" w:cs="新宋体"/>
          <w:color w:val="A31515"/>
          <w:kern w:val="0"/>
          <w:sz w:val="18"/>
          <w:szCs w:val="18"/>
        </w:rPr>
        <w:t>terminalCode</w:t>
      </w:r>
      <w:r>
        <w:rPr>
          <w:rFonts w:hint="eastAsia" w:ascii="宋体" w:hAnsi="宋体" w:cs="新宋体"/>
          <w:color w:val="0000FF"/>
          <w:kern w:val="0"/>
          <w:sz w:val="18"/>
          <w:szCs w:val="18"/>
        </w:rPr>
        <w:t>&gt;</w:t>
      </w:r>
    </w:p>
    <w:p>
      <w:pPr>
        <w:autoSpaceDE w:val="0"/>
        <w:autoSpaceDN w:val="0"/>
        <w:adjustRightInd w:val="0"/>
        <w:spacing w:line="360" w:lineRule="auto"/>
        <w:ind w:firstLine="345"/>
        <w:rPr>
          <w:rFonts w:ascii="宋体" w:hAnsi="宋体" w:cs="新宋体"/>
          <w:color w:val="0000FF"/>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appId</w:t>
      </w:r>
      <w:r>
        <w:rPr>
          <w:rFonts w:hint="eastAsia" w:ascii="宋体" w:hAnsi="宋体" w:cs="新宋体"/>
          <w:color w:val="0000FF"/>
          <w:kern w:val="0"/>
          <w:sz w:val="18"/>
          <w:szCs w:val="18"/>
        </w:rPr>
        <w:t>&gt;</w:t>
      </w:r>
      <w:r>
        <w:rPr>
          <w:rFonts w:hint="eastAsia" w:ascii="宋体" w:hAnsi="宋体" w:cs="新宋体"/>
          <w:kern w:val="0"/>
          <w:sz w:val="18"/>
          <w:szCs w:val="18"/>
        </w:rPr>
        <w:t>DZFP</w:t>
      </w:r>
      <w:r>
        <w:rPr>
          <w:rFonts w:hint="eastAsia" w:ascii="宋体" w:hAnsi="宋体" w:cs="新宋体"/>
          <w:color w:val="0000FF"/>
          <w:kern w:val="0"/>
          <w:sz w:val="18"/>
          <w:szCs w:val="18"/>
        </w:rPr>
        <w:t>&lt;/</w:t>
      </w:r>
      <w:r>
        <w:rPr>
          <w:rFonts w:hint="eastAsia" w:ascii="宋体" w:hAnsi="宋体" w:cs="新宋体"/>
          <w:color w:val="A31515"/>
          <w:kern w:val="0"/>
          <w:sz w:val="18"/>
          <w:szCs w:val="18"/>
        </w:rPr>
        <w:t>appId</w:t>
      </w:r>
      <w:r>
        <w:rPr>
          <w:rFonts w:hint="eastAsia" w:ascii="宋体" w:hAnsi="宋体" w:cs="新宋体"/>
          <w:color w:val="0000FF"/>
          <w:kern w:val="0"/>
          <w:sz w:val="18"/>
          <w:szCs w:val="18"/>
        </w:rPr>
        <w:t>&gt;</w:t>
      </w:r>
    </w:p>
    <w:p>
      <w:pPr>
        <w:autoSpaceDE w:val="0"/>
        <w:autoSpaceDN w:val="0"/>
        <w:adjustRightInd w:val="0"/>
        <w:spacing w:line="360" w:lineRule="auto"/>
        <w:ind w:firstLine="345"/>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version</w:t>
      </w:r>
      <w:r>
        <w:rPr>
          <w:rFonts w:hint="eastAsia" w:ascii="宋体" w:hAnsi="宋体" w:cs="新宋体"/>
          <w:color w:val="0000FF"/>
          <w:kern w:val="0"/>
          <w:sz w:val="18"/>
          <w:szCs w:val="18"/>
        </w:rPr>
        <w:t>&gt;</w:t>
      </w:r>
      <w:r>
        <w:rPr>
          <w:rFonts w:hint="eastAsia" w:ascii="宋体" w:hAnsi="宋体" w:cs="新宋体"/>
          <w:kern w:val="0"/>
          <w:sz w:val="18"/>
          <w:szCs w:val="18"/>
        </w:rPr>
        <w:t>接口版本</w:t>
      </w:r>
      <w:r>
        <w:rPr>
          <w:rFonts w:hint="eastAsia" w:ascii="宋体" w:hAnsi="宋体" w:cs="新宋体"/>
          <w:color w:val="0000FF"/>
          <w:kern w:val="0"/>
          <w:sz w:val="18"/>
          <w:szCs w:val="18"/>
        </w:rPr>
        <w:t>&lt;/</w:t>
      </w:r>
      <w:r>
        <w:rPr>
          <w:rFonts w:hint="eastAsia" w:ascii="宋体" w:hAnsi="宋体" w:cs="新宋体"/>
          <w:color w:val="A31515"/>
          <w:kern w:val="0"/>
          <w:sz w:val="18"/>
          <w:szCs w:val="18"/>
        </w:rPr>
        <w:t>version</w:t>
      </w:r>
      <w:r>
        <w:rPr>
          <w:rFonts w:hint="eastAsia" w:ascii="宋体" w:hAnsi="宋体" w:cs="新宋体"/>
          <w:color w:val="0000FF"/>
          <w:kern w:val="0"/>
          <w:sz w:val="18"/>
          <w:szCs w:val="18"/>
        </w:rPr>
        <w:t>&gt;</w:t>
      </w:r>
    </w:p>
    <w:p>
      <w:pPr>
        <w:autoSpaceDE w:val="0"/>
        <w:autoSpaceDN w:val="0"/>
        <w:adjustRightInd w:val="0"/>
        <w:spacing w:line="360" w:lineRule="auto"/>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interfaceCode</w:t>
      </w:r>
      <w:r>
        <w:rPr>
          <w:rFonts w:hint="eastAsia" w:ascii="宋体" w:hAnsi="宋体" w:cs="新宋体"/>
          <w:color w:val="0000FF"/>
          <w:kern w:val="0"/>
          <w:sz w:val="18"/>
          <w:szCs w:val="18"/>
        </w:rPr>
        <w:t>&gt;</w:t>
      </w:r>
      <w:r>
        <w:rPr>
          <w:rFonts w:hint="eastAsia" w:ascii="宋体" w:hAnsi="宋体" w:cs="新宋体"/>
          <w:kern w:val="0"/>
          <w:sz w:val="18"/>
          <w:szCs w:val="18"/>
        </w:rPr>
        <w:t>接口编码</w:t>
      </w:r>
      <w:r>
        <w:rPr>
          <w:rFonts w:hint="eastAsia" w:ascii="宋体" w:hAnsi="宋体" w:cs="新宋体"/>
          <w:color w:val="0000FF"/>
          <w:kern w:val="0"/>
          <w:sz w:val="18"/>
          <w:szCs w:val="18"/>
        </w:rPr>
        <w:t>&lt;/</w:t>
      </w:r>
      <w:r>
        <w:rPr>
          <w:rFonts w:hint="eastAsia" w:ascii="宋体" w:hAnsi="宋体" w:cs="新宋体"/>
          <w:color w:val="A31515"/>
          <w:kern w:val="0"/>
          <w:sz w:val="18"/>
          <w:szCs w:val="18"/>
        </w:rPr>
        <w:t>interfaceCode</w:t>
      </w:r>
      <w:r>
        <w:rPr>
          <w:rFonts w:hint="eastAsia" w:ascii="宋体" w:hAnsi="宋体" w:cs="新宋体"/>
          <w:color w:val="0000FF"/>
          <w:kern w:val="0"/>
          <w:sz w:val="18"/>
          <w:szCs w:val="18"/>
        </w:rPr>
        <w:t>&gt;</w:t>
      </w:r>
    </w:p>
    <w:p>
      <w:pPr>
        <w:autoSpaceDE w:val="0"/>
        <w:autoSpaceDN w:val="0"/>
        <w:adjustRightInd w:val="0"/>
        <w:spacing w:line="360" w:lineRule="auto"/>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userName</w:t>
      </w:r>
      <w:r>
        <w:rPr>
          <w:rFonts w:hint="eastAsia" w:ascii="宋体" w:hAnsi="宋体" w:cs="新宋体"/>
          <w:color w:val="0000FF"/>
          <w:kern w:val="0"/>
          <w:sz w:val="18"/>
          <w:szCs w:val="18"/>
        </w:rPr>
        <w:t>&gt;</w:t>
      </w:r>
      <w:r>
        <w:rPr>
          <w:rFonts w:hint="eastAsia" w:ascii="宋体" w:hAnsi="宋体" w:cs="新宋体"/>
          <w:kern w:val="0"/>
          <w:sz w:val="18"/>
          <w:szCs w:val="18"/>
        </w:rPr>
        <w:t>平台编码</w:t>
      </w:r>
      <w:r>
        <w:rPr>
          <w:rFonts w:hint="eastAsia" w:ascii="宋体" w:hAnsi="宋体" w:cs="新宋体"/>
          <w:color w:val="0000FF"/>
          <w:kern w:val="0"/>
          <w:sz w:val="18"/>
          <w:szCs w:val="18"/>
        </w:rPr>
        <w:t>&lt;/</w:t>
      </w:r>
      <w:r>
        <w:rPr>
          <w:rFonts w:hint="eastAsia" w:ascii="宋体" w:hAnsi="宋体" w:cs="新宋体"/>
          <w:color w:val="A31515"/>
          <w:kern w:val="0"/>
          <w:sz w:val="18"/>
          <w:szCs w:val="18"/>
        </w:rPr>
        <w:t>userName</w:t>
      </w:r>
      <w:r>
        <w:rPr>
          <w:rFonts w:hint="eastAsia" w:ascii="宋体" w:hAnsi="宋体" w:cs="新宋体"/>
          <w:color w:val="0000FF"/>
          <w:kern w:val="0"/>
          <w:sz w:val="18"/>
          <w:szCs w:val="18"/>
        </w:rPr>
        <w:t>&gt;</w:t>
      </w:r>
    </w:p>
    <w:p>
      <w:pPr>
        <w:autoSpaceDE w:val="0"/>
        <w:autoSpaceDN w:val="0"/>
        <w:adjustRightInd w:val="0"/>
        <w:spacing w:line="360" w:lineRule="auto"/>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passWord</w:t>
      </w:r>
      <w:r>
        <w:rPr>
          <w:rFonts w:hint="eastAsia" w:ascii="宋体" w:hAnsi="宋体" w:cs="新宋体"/>
          <w:color w:val="0000FF"/>
          <w:kern w:val="0"/>
          <w:sz w:val="18"/>
          <w:szCs w:val="18"/>
        </w:rPr>
        <w:t>&gt;</w:t>
      </w:r>
      <w:r>
        <w:rPr>
          <w:rFonts w:hint="eastAsia" w:ascii="宋体" w:hAnsi="宋体" w:cs="新宋体"/>
          <w:kern w:val="0"/>
          <w:sz w:val="18"/>
          <w:szCs w:val="18"/>
        </w:rPr>
        <w:t>10位随机数+Base64({（10位随机数+注册码）MD5})</w:t>
      </w:r>
      <w:r>
        <w:rPr>
          <w:rFonts w:hint="eastAsia" w:ascii="宋体" w:hAnsi="宋体" w:cs="新宋体"/>
          <w:color w:val="0000FF"/>
          <w:kern w:val="0"/>
          <w:sz w:val="18"/>
          <w:szCs w:val="18"/>
        </w:rPr>
        <w:t>&lt;/</w:t>
      </w:r>
      <w:r>
        <w:rPr>
          <w:rFonts w:hint="eastAsia" w:ascii="宋体" w:hAnsi="宋体" w:cs="新宋体"/>
          <w:color w:val="A31515"/>
          <w:kern w:val="0"/>
          <w:sz w:val="18"/>
          <w:szCs w:val="18"/>
        </w:rPr>
        <w:t>passWord</w:t>
      </w:r>
      <w:r>
        <w:rPr>
          <w:rFonts w:hint="eastAsia" w:ascii="宋体" w:hAnsi="宋体" w:cs="新宋体"/>
          <w:color w:val="0000FF"/>
          <w:kern w:val="0"/>
          <w:sz w:val="18"/>
          <w:szCs w:val="18"/>
        </w:rPr>
        <w:t>&gt;</w:t>
      </w:r>
    </w:p>
    <w:p>
      <w:pPr>
        <w:autoSpaceDE w:val="0"/>
        <w:autoSpaceDN w:val="0"/>
        <w:adjustRightInd w:val="0"/>
        <w:spacing w:line="360" w:lineRule="auto"/>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rPr>
        <w:t>taxpayerId</w:t>
      </w:r>
      <w:r>
        <w:rPr>
          <w:rFonts w:hint="eastAsia" w:ascii="宋体" w:hAnsi="宋体" w:cs="新宋体"/>
          <w:color w:val="0000FF"/>
          <w:kern w:val="0"/>
          <w:sz w:val="18"/>
          <w:szCs w:val="18"/>
        </w:rPr>
        <w:t>&gt;</w:t>
      </w:r>
      <w:r>
        <w:rPr>
          <w:rFonts w:hint="eastAsia" w:ascii="宋体" w:hAnsi="宋体" w:cs="新宋体"/>
          <w:kern w:val="0"/>
          <w:sz w:val="18"/>
          <w:szCs w:val="18"/>
        </w:rPr>
        <w:t>纳税人识别号</w:t>
      </w:r>
      <w:r>
        <w:rPr>
          <w:rFonts w:hint="eastAsia" w:ascii="宋体" w:hAnsi="宋体" w:cs="新宋体"/>
          <w:color w:val="0000FF"/>
          <w:kern w:val="0"/>
          <w:sz w:val="18"/>
          <w:szCs w:val="18"/>
        </w:rPr>
        <w:t>&lt;/</w:t>
      </w:r>
      <w:r>
        <w:rPr>
          <w:rFonts w:hint="eastAsia" w:ascii="宋体" w:hAnsi="宋体"/>
        </w:rPr>
        <w:t>taxpayerId</w:t>
      </w:r>
      <w:r>
        <w:rPr>
          <w:rFonts w:hint="eastAsia" w:ascii="宋体" w:hAnsi="宋体" w:cs="新宋体"/>
          <w:color w:val="0000FF"/>
          <w:kern w:val="0"/>
          <w:sz w:val="18"/>
          <w:szCs w:val="18"/>
        </w:rPr>
        <w:t>&gt;</w:t>
      </w:r>
    </w:p>
    <w:p>
      <w:pPr>
        <w:autoSpaceDE w:val="0"/>
        <w:autoSpaceDN w:val="0"/>
        <w:adjustRightInd w:val="0"/>
        <w:spacing w:line="360" w:lineRule="auto"/>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authorizationCode</w:t>
      </w:r>
      <w:r>
        <w:rPr>
          <w:rFonts w:hint="eastAsia" w:ascii="宋体" w:hAnsi="宋体" w:cs="新宋体"/>
          <w:color w:val="0000FF"/>
          <w:kern w:val="0"/>
          <w:sz w:val="18"/>
          <w:szCs w:val="18"/>
        </w:rPr>
        <w:t>&gt;</w:t>
      </w:r>
      <w:r>
        <w:rPr>
          <w:rFonts w:hint="eastAsia" w:ascii="宋体" w:hAnsi="宋体" w:cs="新宋体"/>
          <w:kern w:val="0"/>
          <w:sz w:val="18"/>
          <w:szCs w:val="18"/>
        </w:rPr>
        <w:t>接入系统平台授权码（由平台提供）</w:t>
      </w:r>
      <w:r>
        <w:rPr>
          <w:rFonts w:hint="eastAsia" w:ascii="宋体" w:hAnsi="宋体" w:cs="新宋体"/>
          <w:color w:val="0000FF"/>
          <w:kern w:val="0"/>
          <w:sz w:val="18"/>
          <w:szCs w:val="18"/>
        </w:rPr>
        <w:t>&lt;/</w:t>
      </w:r>
      <w:r>
        <w:rPr>
          <w:rFonts w:hint="eastAsia" w:ascii="宋体" w:hAnsi="宋体" w:cs="新宋体"/>
          <w:color w:val="A31515"/>
          <w:kern w:val="0"/>
          <w:sz w:val="18"/>
          <w:szCs w:val="18"/>
        </w:rPr>
        <w:t>authorizationCode</w:t>
      </w:r>
      <w:r>
        <w:rPr>
          <w:rFonts w:hint="eastAsia" w:ascii="宋体" w:hAnsi="宋体" w:cs="新宋体"/>
          <w:color w:val="0000FF"/>
          <w:kern w:val="0"/>
          <w:sz w:val="18"/>
          <w:szCs w:val="18"/>
        </w:rPr>
        <w:t>&gt;</w:t>
      </w:r>
    </w:p>
    <w:p>
      <w:pPr>
        <w:autoSpaceDE w:val="0"/>
        <w:autoSpaceDN w:val="0"/>
        <w:adjustRightInd w:val="0"/>
        <w:spacing w:line="360" w:lineRule="auto"/>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requestCode</w:t>
      </w:r>
      <w:r>
        <w:rPr>
          <w:rFonts w:hint="eastAsia" w:ascii="宋体" w:hAnsi="宋体" w:cs="新宋体"/>
          <w:color w:val="0000FF"/>
          <w:kern w:val="0"/>
          <w:sz w:val="18"/>
          <w:szCs w:val="18"/>
        </w:rPr>
        <w:t>&gt;</w:t>
      </w:r>
      <w:r>
        <w:rPr>
          <w:rFonts w:hint="eastAsia" w:ascii="宋体" w:hAnsi="宋体" w:cs="新宋体"/>
          <w:kern w:val="0"/>
          <w:sz w:val="18"/>
          <w:szCs w:val="18"/>
        </w:rPr>
        <w:t>数据交换请求发出方代码</w:t>
      </w:r>
      <w:r>
        <w:rPr>
          <w:rFonts w:hint="eastAsia" w:ascii="宋体" w:hAnsi="宋体" w:cs="新宋体"/>
          <w:color w:val="0000FF"/>
          <w:kern w:val="0"/>
          <w:sz w:val="18"/>
          <w:szCs w:val="18"/>
        </w:rPr>
        <w:t>&lt;/</w:t>
      </w:r>
      <w:r>
        <w:rPr>
          <w:rFonts w:hint="eastAsia" w:ascii="宋体" w:hAnsi="宋体" w:cs="新宋体"/>
          <w:color w:val="A31515"/>
          <w:kern w:val="0"/>
          <w:sz w:val="18"/>
          <w:szCs w:val="18"/>
        </w:rPr>
        <w:t>requestCode</w:t>
      </w:r>
      <w:r>
        <w:rPr>
          <w:rFonts w:hint="eastAsia" w:ascii="宋体" w:hAnsi="宋体" w:cs="新宋体"/>
          <w:color w:val="0000FF"/>
          <w:kern w:val="0"/>
          <w:sz w:val="18"/>
          <w:szCs w:val="18"/>
        </w:rPr>
        <w:t>&gt;</w:t>
      </w:r>
    </w:p>
    <w:p>
      <w:pPr>
        <w:autoSpaceDE w:val="0"/>
        <w:autoSpaceDN w:val="0"/>
        <w:adjustRightInd w:val="0"/>
        <w:spacing w:line="360" w:lineRule="auto"/>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requestTime</w:t>
      </w:r>
      <w:r>
        <w:rPr>
          <w:rFonts w:hint="eastAsia" w:ascii="宋体" w:hAnsi="宋体" w:cs="新宋体"/>
          <w:color w:val="0000FF"/>
          <w:kern w:val="0"/>
          <w:sz w:val="18"/>
          <w:szCs w:val="18"/>
        </w:rPr>
        <w:t>&gt;</w:t>
      </w:r>
      <w:r>
        <w:rPr>
          <w:rFonts w:hint="eastAsia" w:ascii="宋体" w:hAnsi="宋体" w:cs="新宋体"/>
          <w:kern w:val="0"/>
          <w:sz w:val="18"/>
          <w:szCs w:val="18"/>
        </w:rPr>
        <w:t>数据交换请求发出时间</w:t>
      </w:r>
      <w:r>
        <w:rPr>
          <w:rFonts w:hint="eastAsia" w:ascii="宋体" w:hAnsi="宋体" w:cs="新宋体"/>
          <w:color w:val="0000FF"/>
          <w:kern w:val="0"/>
          <w:sz w:val="18"/>
          <w:szCs w:val="18"/>
        </w:rPr>
        <w:t>&lt;/</w:t>
      </w:r>
      <w:r>
        <w:rPr>
          <w:rFonts w:hint="eastAsia" w:ascii="宋体" w:hAnsi="宋体" w:cs="新宋体"/>
          <w:color w:val="A31515"/>
          <w:kern w:val="0"/>
          <w:sz w:val="18"/>
          <w:szCs w:val="18"/>
        </w:rPr>
        <w:t>requestTime</w:t>
      </w:r>
      <w:r>
        <w:rPr>
          <w:rFonts w:hint="eastAsia" w:ascii="宋体" w:hAnsi="宋体" w:cs="新宋体"/>
          <w:color w:val="0000FF"/>
          <w:kern w:val="0"/>
          <w:sz w:val="18"/>
          <w:szCs w:val="18"/>
        </w:rPr>
        <w:t>&gt;</w:t>
      </w:r>
    </w:p>
    <w:p>
      <w:pPr>
        <w:autoSpaceDE w:val="0"/>
        <w:autoSpaceDN w:val="0"/>
        <w:adjustRightInd w:val="0"/>
        <w:spacing w:line="360" w:lineRule="auto"/>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responseCode</w:t>
      </w:r>
      <w:r>
        <w:rPr>
          <w:rFonts w:hint="eastAsia" w:ascii="宋体" w:hAnsi="宋体" w:cs="新宋体"/>
          <w:color w:val="0000FF"/>
          <w:kern w:val="0"/>
          <w:sz w:val="18"/>
          <w:szCs w:val="18"/>
        </w:rPr>
        <w:t>&gt;</w:t>
      </w:r>
      <w:r>
        <w:rPr>
          <w:rFonts w:hint="eastAsia" w:ascii="宋体" w:hAnsi="宋体" w:cs="新宋体"/>
          <w:kern w:val="0"/>
          <w:sz w:val="18"/>
          <w:szCs w:val="18"/>
        </w:rPr>
        <w:t>数据交换请求接受方代码</w:t>
      </w:r>
      <w:r>
        <w:rPr>
          <w:rFonts w:hint="eastAsia" w:ascii="宋体" w:hAnsi="宋体" w:cs="新宋体"/>
          <w:color w:val="0000FF"/>
          <w:kern w:val="0"/>
          <w:sz w:val="18"/>
          <w:szCs w:val="18"/>
        </w:rPr>
        <w:t>&lt;/</w:t>
      </w:r>
      <w:r>
        <w:rPr>
          <w:rFonts w:hint="eastAsia" w:ascii="宋体" w:hAnsi="宋体" w:cs="新宋体"/>
          <w:color w:val="A31515"/>
          <w:kern w:val="0"/>
          <w:sz w:val="18"/>
          <w:szCs w:val="18"/>
        </w:rPr>
        <w:t>responseCode</w:t>
      </w:r>
      <w:r>
        <w:rPr>
          <w:rFonts w:hint="eastAsia" w:ascii="宋体" w:hAnsi="宋体" w:cs="新宋体"/>
          <w:color w:val="0000FF"/>
          <w:kern w:val="0"/>
          <w:sz w:val="18"/>
          <w:szCs w:val="18"/>
        </w:rPr>
        <w:t>&gt;</w:t>
      </w:r>
    </w:p>
    <w:p>
      <w:pPr>
        <w:autoSpaceDE w:val="0"/>
        <w:autoSpaceDN w:val="0"/>
        <w:adjustRightInd w:val="0"/>
        <w:spacing w:line="360" w:lineRule="auto"/>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dataExchangeId</w:t>
      </w:r>
      <w:r>
        <w:rPr>
          <w:rFonts w:hint="eastAsia" w:ascii="宋体" w:hAnsi="宋体" w:cs="新宋体"/>
          <w:color w:val="0000FF"/>
          <w:kern w:val="0"/>
          <w:sz w:val="18"/>
          <w:szCs w:val="18"/>
        </w:rPr>
        <w:t>&gt;</w:t>
      </w:r>
      <w:r>
        <w:rPr>
          <w:rFonts w:hint="eastAsia" w:ascii="宋体" w:hAnsi="宋体" w:cs="新宋体"/>
          <w:kern w:val="0"/>
          <w:sz w:val="18"/>
          <w:szCs w:val="18"/>
        </w:rPr>
        <w:t>数据交换流水号</w:t>
      </w:r>
      <w:r>
        <w:rPr>
          <w:rFonts w:hint="eastAsia" w:ascii="宋体" w:hAnsi="宋体" w:cs="新宋体"/>
          <w:color w:val="0000FF"/>
          <w:kern w:val="0"/>
          <w:sz w:val="18"/>
          <w:szCs w:val="18"/>
        </w:rPr>
        <w:t>&lt;/</w:t>
      </w:r>
      <w:r>
        <w:rPr>
          <w:rFonts w:hint="eastAsia" w:ascii="宋体" w:hAnsi="宋体" w:cs="新宋体"/>
          <w:color w:val="A31515"/>
          <w:kern w:val="0"/>
          <w:sz w:val="18"/>
          <w:szCs w:val="18"/>
        </w:rPr>
        <w:t>dataExchangeId</w:t>
      </w:r>
      <w:r>
        <w:rPr>
          <w:rFonts w:hint="eastAsia" w:ascii="宋体" w:hAnsi="宋体" w:cs="新宋体"/>
          <w:color w:val="0000FF"/>
          <w:kern w:val="0"/>
          <w:sz w:val="18"/>
          <w:szCs w:val="18"/>
        </w:rPr>
        <w:t>&gt;</w:t>
      </w:r>
    </w:p>
    <w:p>
      <w:pPr>
        <w:autoSpaceDE w:val="0"/>
        <w:autoSpaceDN w:val="0"/>
        <w:adjustRightInd w:val="0"/>
        <w:spacing w:line="360" w:lineRule="auto"/>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globalInfo</w:t>
      </w:r>
      <w:r>
        <w:rPr>
          <w:rFonts w:hint="eastAsia" w:ascii="宋体" w:hAnsi="宋体" w:cs="新宋体"/>
          <w:color w:val="0000FF"/>
          <w:kern w:val="0"/>
          <w:sz w:val="18"/>
          <w:szCs w:val="18"/>
        </w:rPr>
        <w:t>&gt;</w:t>
      </w:r>
    </w:p>
    <w:p>
      <w:pPr>
        <w:autoSpaceDE w:val="0"/>
        <w:autoSpaceDN w:val="0"/>
        <w:adjustRightInd w:val="0"/>
        <w:spacing w:line="360" w:lineRule="auto"/>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returnStateInfo</w:t>
      </w:r>
      <w:r>
        <w:rPr>
          <w:rFonts w:hint="eastAsia" w:ascii="宋体" w:hAnsi="宋体" w:cs="新宋体"/>
          <w:color w:val="0000FF"/>
          <w:kern w:val="0"/>
          <w:sz w:val="18"/>
          <w:szCs w:val="18"/>
        </w:rPr>
        <w:t>&gt;</w:t>
      </w:r>
      <w:r>
        <w:rPr>
          <w:rFonts w:hint="eastAsia" w:ascii="宋体" w:hAnsi="宋体" w:cs="新宋体"/>
          <w:kern w:val="0"/>
          <w:sz w:val="18"/>
          <w:szCs w:val="18"/>
        </w:rPr>
        <w:t>--------------返回信息</w:t>
      </w:r>
    </w:p>
    <w:p>
      <w:pPr>
        <w:autoSpaceDE w:val="0"/>
        <w:autoSpaceDN w:val="0"/>
        <w:adjustRightInd w:val="0"/>
        <w:spacing w:line="360" w:lineRule="auto"/>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returnCode</w:t>
      </w:r>
      <w:r>
        <w:rPr>
          <w:rFonts w:hint="eastAsia" w:ascii="宋体" w:hAnsi="宋体" w:cs="新宋体"/>
          <w:color w:val="0000FF"/>
          <w:kern w:val="0"/>
          <w:sz w:val="18"/>
          <w:szCs w:val="18"/>
        </w:rPr>
        <w:t>&gt;</w:t>
      </w:r>
      <w:r>
        <w:rPr>
          <w:rFonts w:hint="eastAsia" w:ascii="宋体" w:hAnsi="宋体" w:cs="新宋体"/>
          <w:kern w:val="0"/>
          <w:sz w:val="18"/>
          <w:szCs w:val="18"/>
        </w:rPr>
        <w:t>返回代码</w:t>
      </w:r>
      <w:r>
        <w:rPr>
          <w:rFonts w:hint="eastAsia" w:ascii="宋体" w:hAnsi="宋体" w:cs="新宋体"/>
          <w:color w:val="0000FF"/>
          <w:kern w:val="0"/>
          <w:sz w:val="18"/>
          <w:szCs w:val="18"/>
        </w:rPr>
        <w:t>&lt;/</w:t>
      </w:r>
      <w:r>
        <w:rPr>
          <w:rFonts w:hint="eastAsia" w:ascii="宋体" w:hAnsi="宋体" w:cs="新宋体"/>
          <w:color w:val="A31515"/>
          <w:kern w:val="0"/>
          <w:sz w:val="18"/>
          <w:szCs w:val="18"/>
        </w:rPr>
        <w:t>returnCode</w:t>
      </w:r>
      <w:r>
        <w:rPr>
          <w:rFonts w:hint="eastAsia" w:ascii="宋体" w:hAnsi="宋体" w:cs="新宋体"/>
          <w:color w:val="0000FF"/>
          <w:kern w:val="0"/>
          <w:sz w:val="18"/>
          <w:szCs w:val="18"/>
        </w:rPr>
        <w:t>&gt;</w:t>
      </w:r>
    </w:p>
    <w:p>
      <w:pPr>
        <w:autoSpaceDE w:val="0"/>
        <w:autoSpaceDN w:val="0"/>
        <w:adjustRightInd w:val="0"/>
        <w:spacing w:line="360" w:lineRule="auto"/>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returnMessage</w:t>
      </w:r>
      <w:r>
        <w:rPr>
          <w:rFonts w:hint="eastAsia" w:ascii="宋体" w:hAnsi="宋体" w:cs="新宋体"/>
          <w:color w:val="0000FF"/>
          <w:kern w:val="0"/>
          <w:sz w:val="18"/>
          <w:szCs w:val="18"/>
        </w:rPr>
        <w:t>&gt;</w:t>
      </w:r>
      <w:r>
        <w:rPr>
          <w:rFonts w:hint="eastAsia" w:ascii="宋体" w:hAnsi="宋体" w:cs="新宋体"/>
          <w:kern w:val="0"/>
          <w:sz w:val="18"/>
          <w:szCs w:val="18"/>
        </w:rPr>
        <w:t>base64 返回描述</w:t>
      </w:r>
      <w:r>
        <w:rPr>
          <w:rFonts w:hint="eastAsia" w:ascii="宋体" w:hAnsi="宋体" w:cs="新宋体"/>
          <w:color w:val="0000FF"/>
          <w:kern w:val="0"/>
          <w:sz w:val="18"/>
          <w:szCs w:val="18"/>
        </w:rPr>
        <w:t>&lt;/</w:t>
      </w:r>
      <w:r>
        <w:rPr>
          <w:rFonts w:hint="eastAsia" w:ascii="宋体" w:hAnsi="宋体" w:cs="新宋体"/>
          <w:color w:val="A31515"/>
          <w:kern w:val="0"/>
          <w:sz w:val="18"/>
          <w:szCs w:val="18"/>
        </w:rPr>
        <w:t>returnMessage</w:t>
      </w:r>
      <w:r>
        <w:rPr>
          <w:rFonts w:hint="eastAsia" w:ascii="宋体" w:hAnsi="宋体" w:cs="新宋体"/>
          <w:color w:val="0000FF"/>
          <w:kern w:val="0"/>
          <w:sz w:val="18"/>
          <w:szCs w:val="18"/>
        </w:rPr>
        <w:t>&gt;</w:t>
      </w:r>
    </w:p>
    <w:p>
      <w:pPr>
        <w:autoSpaceDE w:val="0"/>
        <w:autoSpaceDN w:val="0"/>
        <w:adjustRightInd w:val="0"/>
        <w:spacing w:line="360" w:lineRule="auto"/>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returnStateInfo</w:t>
      </w:r>
      <w:r>
        <w:rPr>
          <w:rFonts w:hint="eastAsia" w:ascii="宋体" w:hAnsi="宋体" w:cs="新宋体"/>
          <w:color w:val="0000FF"/>
          <w:kern w:val="0"/>
          <w:sz w:val="18"/>
          <w:szCs w:val="18"/>
        </w:rPr>
        <w:t>&gt;</w:t>
      </w:r>
    </w:p>
    <w:p>
      <w:pPr>
        <w:autoSpaceDE w:val="0"/>
        <w:autoSpaceDN w:val="0"/>
        <w:adjustRightInd w:val="0"/>
        <w:spacing w:line="360" w:lineRule="auto"/>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Data</w:t>
      </w:r>
      <w:r>
        <w:rPr>
          <w:rFonts w:hint="eastAsia" w:ascii="宋体" w:hAnsi="宋体" w:cs="新宋体"/>
          <w:color w:val="0000FF"/>
          <w:kern w:val="0"/>
          <w:sz w:val="18"/>
          <w:szCs w:val="18"/>
        </w:rPr>
        <w:t>&gt;</w:t>
      </w:r>
      <w:r>
        <w:rPr>
          <w:rFonts w:hint="eastAsia" w:ascii="宋体" w:hAnsi="宋体" w:cs="新宋体"/>
          <w:kern w:val="0"/>
          <w:sz w:val="18"/>
          <w:szCs w:val="18"/>
        </w:rPr>
        <w:t>-------------交换数据</w:t>
      </w:r>
    </w:p>
    <w:p>
      <w:pPr>
        <w:autoSpaceDE w:val="0"/>
        <w:autoSpaceDN w:val="0"/>
        <w:adjustRightInd w:val="0"/>
        <w:spacing w:line="360" w:lineRule="auto"/>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dataDescription</w:t>
      </w:r>
      <w:r>
        <w:rPr>
          <w:rFonts w:hint="eastAsia" w:ascii="宋体" w:hAnsi="宋体" w:cs="新宋体"/>
          <w:color w:val="0000FF"/>
          <w:kern w:val="0"/>
          <w:sz w:val="18"/>
          <w:szCs w:val="18"/>
        </w:rPr>
        <w:t>&gt;</w:t>
      </w:r>
      <w:r>
        <w:rPr>
          <w:rFonts w:hint="eastAsia" w:ascii="宋体" w:hAnsi="宋体" w:cs="新宋体"/>
          <w:kern w:val="0"/>
          <w:sz w:val="18"/>
          <w:szCs w:val="18"/>
        </w:rPr>
        <w:t>数据描述</w:t>
      </w:r>
    </w:p>
    <w:p>
      <w:pPr>
        <w:autoSpaceDE w:val="0"/>
        <w:autoSpaceDN w:val="0"/>
        <w:adjustRightInd w:val="0"/>
        <w:spacing w:line="360" w:lineRule="auto"/>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zipCode</w:t>
      </w:r>
      <w:r>
        <w:rPr>
          <w:rFonts w:hint="eastAsia" w:ascii="宋体" w:hAnsi="宋体" w:cs="新宋体"/>
          <w:color w:val="0000FF"/>
          <w:kern w:val="0"/>
          <w:sz w:val="18"/>
          <w:szCs w:val="18"/>
        </w:rPr>
        <w:t>&gt;</w:t>
      </w:r>
      <w:r>
        <w:rPr>
          <w:rFonts w:hint="eastAsia" w:ascii="宋体" w:hAnsi="宋体" w:cs="新宋体"/>
          <w:kern w:val="0"/>
          <w:sz w:val="18"/>
          <w:szCs w:val="18"/>
        </w:rPr>
        <w:t>0,1</w:t>
      </w:r>
      <w:r>
        <w:rPr>
          <w:rFonts w:hint="eastAsia" w:ascii="宋体" w:hAnsi="宋体" w:cs="新宋体"/>
          <w:color w:val="0000FF"/>
          <w:kern w:val="0"/>
          <w:sz w:val="18"/>
          <w:szCs w:val="18"/>
        </w:rPr>
        <w:t>&lt;/</w:t>
      </w:r>
      <w:r>
        <w:rPr>
          <w:rFonts w:hint="eastAsia" w:ascii="宋体" w:hAnsi="宋体" w:cs="新宋体"/>
          <w:color w:val="A31515"/>
          <w:kern w:val="0"/>
          <w:sz w:val="18"/>
          <w:szCs w:val="18"/>
        </w:rPr>
        <w:t>zipCode</w:t>
      </w:r>
      <w:r>
        <w:rPr>
          <w:rFonts w:hint="eastAsia" w:ascii="宋体" w:hAnsi="宋体" w:cs="新宋体"/>
          <w:color w:val="0000FF"/>
          <w:kern w:val="0"/>
          <w:sz w:val="18"/>
          <w:szCs w:val="18"/>
        </w:rPr>
        <w:t>&gt;</w:t>
      </w:r>
      <w:r>
        <w:rPr>
          <w:rFonts w:hint="eastAsia" w:ascii="宋体" w:hAnsi="宋体" w:cs="新宋体"/>
          <w:kern w:val="0"/>
          <w:sz w:val="18"/>
          <w:szCs w:val="18"/>
        </w:rPr>
        <w:t xml:space="preserve"> (0,1根据数据包大小判断是否进行压缩)</w:t>
      </w:r>
    </w:p>
    <w:p>
      <w:pPr>
        <w:autoSpaceDE w:val="0"/>
        <w:autoSpaceDN w:val="0"/>
        <w:adjustRightInd w:val="0"/>
        <w:spacing w:line="360" w:lineRule="auto"/>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encryptCode</w:t>
      </w:r>
      <w:r>
        <w:rPr>
          <w:rFonts w:hint="eastAsia" w:ascii="宋体" w:hAnsi="宋体" w:cs="新宋体"/>
          <w:color w:val="0000FF"/>
          <w:kern w:val="0"/>
          <w:sz w:val="18"/>
          <w:szCs w:val="18"/>
        </w:rPr>
        <w:t>&gt;</w:t>
      </w:r>
      <w:r>
        <w:rPr>
          <w:rFonts w:hint="eastAsia" w:ascii="宋体" w:hAnsi="宋体" w:cs="新宋体"/>
          <w:kern w:val="0"/>
          <w:sz w:val="18"/>
          <w:szCs w:val="18"/>
        </w:rPr>
        <w:t>0,1,2</w:t>
      </w:r>
      <w:r>
        <w:rPr>
          <w:rFonts w:hint="eastAsia" w:ascii="宋体" w:hAnsi="宋体" w:cs="新宋体"/>
          <w:color w:val="0000FF"/>
          <w:kern w:val="0"/>
          <w:sz w:val="18"/>
          <w:szCs w:val="18"/>
        </w:rPr>
        <w:t>&lt;/</w:t>
      </w:r>
      <w:r>
        <w:rPr>
          <w:rFonts w:hint="eastAsia" w:ascii="宋体" w:hAnsi="宋体" w:cs="新宋体"/>
          <w:color w:val="A31515"/>
          <w:kern w:val="0"/>
          <w:sz w:val="18"/>
          <w:szCs w:val="18"/>
        </w:rPr>
        <w:t>encryptCode</w:t>
      </w:r>
      <w:r>
        <w:rPr>
          <w:rFonts w:hint="eastAsia" w:ascii="宋体" w:hAnsi="宋体" w:cs="新宋体"/>
          <w:color w:val="0000FF"/>
          <w:kern w:val="0"/>
          <w:sz w:val="18"/>
          <w:szCs w:val="18"/>
        </w:rPr>
        <w:t xml:space="preserve"> &gt;</w:t>
      </w:r>
      <w:r>
        <w:rPr>
          <w:rFonts w:hint="eastAsia" w:ascii="宋体" w:hAnsi="宋体" w:cs="新宋体"/>
          <w:kern w:val="0"/>
          <w:sz w:val="18"/>
          <w:szCs w:val="18"/>
        </w:rPr>
        <w:t>(加密方式代码，0表示不用任何加密)</w:t>
      </w:r>
    </w:p>
    <w:p>
      <w:pPr>
        <w:autoSpaceDE w:val="0"/>
        <w:autoSpaceDN w:val="0"/>
        <w:adjustRightInd w:val="0"/>
        <w:spacing w:line="360" w:lineRule="auto"/>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codeType</w:t>
      </w:r>
      <w:r>
        <w:rPr>
          <w:rFonts w:hint="eastAsia" w:ascii="宋体" w:hAnsi="宋体" w:cs="新宋体"/>
          <w:color w:val="0000FF"/>
          <w:kern w:val="0"/>
          <w:sz w:val="18"/>
          <w:szCs w:val="18"/>
        </w:rPr>
        <w:t>&gt;</w:t>
      </w:r>
      <w:r>
        <w:rPr>
          <w:rFonts w:hint="eastAsia" w:ascii="宋体" w:hAnsi="宋体" w:cs="新宋体"/>
          <w:kern w:val="0"/>
          <w:sz w:val="18"/>
          <w:szCs w:val="18"/>
        </w:rPr>
        <w:t>0,3DES,CA</w:t>
      </w:r>
      <w:r>
        <w:rPr>
          <w:rFonts w:hint="eastAsia" w:ascii="宋体" w:hAnsi="宋体" w:cs="新宋体"/>
          <w:color w:val="0000FF"/>
          <w:kern w:val="0"/>
          <w:sz w:val="18"/>
          <w:szCs w:val="18"/>
        </w:rPr>
        <w:t>&lt;/</w:t>
      </w:r>
      <w:r>
        <w:rPr>
          <w:rFonts w:hint="eastAsia" w:ascii="宋体" w:hAnsi="宋体" w:cs="新宋体"/>
          <w:color w:val="A31515"/>
          <w:kern w:val="0"/>
          <w:sz w:val="18"/>
          <w:szCs w:val="18"/>
        </w:rPr>
        <w:t>codeType</w:t>
      </w:r>
      <w:r>
        <w:rPr>
          <w:rFonts w:hint="eastAsia" w:ascii="宋体" w:hAnsi="宋体" w:cs="新宋体"/>
          <w:color w:val="0000FF"/>
          <w:kern w:val="0"/>
          <w:sz w:val="18"/>
          <w:szCs w:val="18"/>
        </w:rPr>
        <w:t>&gt;</w:t>
      </w:r>
      <w:r>
        <w:rPr>
          <w:rFonts w:hint="eastAsia" w:ascii="宋体" w:hAnsi="宋体" w:cs="新宋体"/>
          <w:kern w:val="0"/>
          <w:sz w:val="18"/>
          <w:szCs w:val="18"/>
        </w:rPr>
        <w:t>(三种加密方式代码，正式使用时通讯用CA)</w:t>
      </w:r>
    </w:p>
    <w:p>
      <w:pPr>
        <w:autoSpaceDE w:val="0"/>
        <w:autoSpaceDN w:val="0"/>
        <w:adjustRightInd w:val="0"/>
        <w:spacing w:line="360" w:lineRule="auto"/>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dataDescription</w:t>
      </w:r>
      <w:r>
        <w:rPr>
          <w:rFonts w:hint="eastAsia" w:ascii="宋体" w:hAnsi="宋体" w:cs="新宋体"/>
          <w:color w:val="0000FF"/>
          <w:kern w:val="0"/>
          <w:sz w:val="18"/>
          <w:szCs w:val="18"/>
        </w:rPr>
        <w:t>&gt;</w:t>
      </w:r>
    </w:p>
    <w:p>
      <w:pPr>
        <w:autoSpaceDE w:val="0"/>
        <w:autoSpaceDN w:val="0"/>
        <w:adjustRightInd w:val="0"/>
        <w:spacing w:line="360" w:lineRule="auto"/>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content</w:t>
      </w:r>
      <w:r>
        <w:rPr>
          <w:rFonts w:hint="eastAsia" w:ascii="宋体" w:hAnsi="宋体" w:cs="新宋体"/>
          <w:color w:val="0000FF"/>
          <w:kern w:val="0"/>
          <w:sz w:val="18"/>
          <w:szCs w:val="18"/>
        </w:rPr>
        <w:t>&gt;</w:t>
      </w:r>
      <w:r>
        <w:rPr>
          <w:rFonts w:hint="eastAsia" w:ascii="宋体" w:hAnsi="宋体" w:cs="新宋体"/>
          <w:kern w:val="0"/>
          <w:sz w:val="18"/>
          <w:szCs w:val="18"/>
        </w:rPr>
        <w:t>base64请求数据内容或返回数据内容</w:t>
      </w:r>
      <w:r>
        <w:rPr>
          <w:rFonts w:hint="eastAsia" w:ascii="宋体" w:hAnsi="宋体" w:cs="新宋体"/>
          <w:color w:val="0000FF"/>
          <w:kern w:val="0"/>
          <w:sz w:val="18"/>
          <w:szCs w:val="18"/>
        </w:rPr>
        <w:t>&lt;/</w:t>
      </w:r>
      <w:r>
        <w:rPr>
          <w:rFonts w:hint="eastAsia" w:ascii="宋体" w:hAnsi="宋体" w:cs="新宋体"/>
          <w:color w:val="A31515"/>
          <w:kern w:val="0"/>
          <w:sz w:val="18"/>
          <w:szCs w:val="18"/>
        </w:rPr>
        <w:t>content</w:t>
      </w:r>
      <w:r>
        <w:rPr>
          <w:rFonts w:hint="eastAsia" w:ascii="宋体" w:hAnsi="宋体" w:cs="新宋体"/>
          <w:color w:val="0000FF"/>
          <w:kern w:val="0"/>
          <w:sz w:val="18"/>
          <w:szCs w:val="18"/>
        </w:rPr>
        <w:t>&gt;</w:t>
      </w:r>
    </w:p>
    <w:p>
      <w:pPr>
        <w:autoSpaceDE w:val="0"/>
        <w:autoSpaceDN w:val="0"/>
        <w:adjustRightInd w:val="0"/>
        <w:spacing w:line="360" w:lineRule="auto"/>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Data</w:t>
      </w:r>
      <w:r>
        <w:rPr>
          <w:rFonts w:hint="eastAsia" w:ascii="宋体" w:hAnsi="宋体" w:cs="新宋体"/>
          <w:color w:val="0000FF"/>
          <w:kern w:val="0"/>
          <w:sz w:val="18"/>
          <w:szCs w:val="18"/>
        </w:rPr>
        <w:t>&gt;</w:t>
      </w:r>
    </w:p>
    <w:p>
      <w:pPr>
        <w:spacing w:line="360" w:lineRule="auto"/>
        <w:ind w:firstLine="360" w:firstLineChars="200"/>
      </w:pPr>
      <w:r>
        <w:rPr>
          <w:rFonts w:hint="eastAsia" w:ascii="宋体" w:hAnsi="宋体" w:cs="新宋体"/>
          <w:color w:val="0000FF"/>
          <w:kern w:val="0"/>
          <w:sz w:val="18"/>
          <w:szCs w:val="18"/>
        </w:rPr>
        <w:t>&lt;/</w:t>
      </w:r>
      <w:r>
        <w:rPr>
          <w:rFonts w:hint="eastAsia" w:ascii="宋体" w:hAnsi="宋体" w:cs="新宋体"/>
          <w:color w:val="A31515"/>
          <w:kern w:val="0"/>
          <w:sz w:val="18"/>
          <w:szCs w:val="18"/>
        </w:rPr>
        <w:t>interface</w:t>
      </w:r>
      <w:r>
        <w:rPr>
          <w:rFonts w:hint="eastAsia" w:ascii="宋体" w:hAnsi="宋体" w:cs="新宋体"/>
          <w:color w:val="0000FF"/>
          <w:kern w:val="0"/>
          <w:sz w:val="18"/>
          <w:szCs w:val="18"/>
        </w:rPr>
        <w:t>&gt;</w:t>
      </w:r>
    </w:p>
    <w:p>
      <w:pPr>
        <w:spacing w:line="360" w:lineRule="auto"/>
      </w:pPr>
    </w:p>
    <w:p>
      <w:pPr>
        <w:pStyle w:val="4"/>
        <w:numPr>
          <w:ilvl w:val="2"/>
          <w:numId w:val="3"/>
        </w:numPr>
        <w:spacing w:before="0" w:after="0" w:line="360" w:lineRule="auto"/>
        <w:ind w:left="0" w:leftChars="0" w:firstLine="402" w:firstLineChars="0"/>
      </w:pPr>
      <w:bookmarkStart w:id="105" w:name="_Toc442308300"/>
      <w:bookmarkStart w:id="106" w:name="_Toc21701"/>
      <w:r>
        <w:rPr>
          <w:rFonts w:hint="eastAsia"/>
        </w:rPr>
        <w:t>3.2.3 与</w:t>
      </w:r>
      <w:r>
        <w:rPr>
          <w:rFonts w:hint="eastAsia"/>
          <w:lang w:eastAsia="zh-CN"/>
        </w:rPr>
        <w:t>xx交通</w:t>
      </w:r>
      <w:r>
        <w:rPr>
          <w:rFonts w:hint="eastAsia"/>
        </w:rPr>
        <w:t>业务系统、发票管理系统的接口设计</w:t>
      </w:r>
      <w:bookmarkEnd w:id="105"/>
      <w:bookmarkEnd w:id="106"/>
    </w:p>
    <w:p>
      <w:pPr>
        <w:pStyle w:val="5"/>
        <w:numPr>
          <w:ilvl w:val="3"/>
          <w:numId w:val="0"/>
        </w:numPr>
        <w:spacing w:before="0" w:after="0" w:line="360" w:lineRule="auto"/>
      </w:pPr>
      <w:bookmarkStart w:id="107" w:name="_Toc25086"/>
      <w:bookmarkStart w:id="108" w:name="_Toc12393"/>
      <w:bookmarkStart w:id="109" w:name="_Toc3174"/>
      <w:bookmarkStart w:id="110" w:name="_Toc12561"/>
      <w:bookmarkStart w:id="111" w:name="_Toc20853"/>
      <w:bookmarkStart w:id="112" w:name="_Toc434485323"/>
      <w:bookmarkStart w:id="113" w:name="_Toc1971"/>
      <w:bookmarkStart w:id="114" w:name="_Toc442308301"/>
      <w:r>
        <w:rPr>
          <w:rFonts w:hint="eastAsia"/>
        </w:rPr>
        <w:t>2.2.3.1发票开具接口</w:t>
      </w:r>
      <w:bookmarkEnd w:id="107"/>
      <w:bookmarkEnd w:id="108"/>
      <w:bookmarkEnd w:id="109"/>
      <w:bookmarkEnd w:id="110"/>
      <w:bookmarkEnd w:id="111"/>
      <w:bookmarkEnd w:id="112"/>
      <w:bookmarkEnd w:id="113"/>
      <w:bookmarkEnd w:id="114"/>
    </w:p>
    <w:p>
      <w:pPr>
        <w:numPr>
          <w:ilvl w:val="0"/>
          <w:numId w:val="6"/>
        </w:numPr>
        <w:spacing w:line="360" w:lineRule="auto"/>
      </w:pPr>
      <w:r>
        <w:rPr>
          <w:rFonts w:hint="eastAsia"/>
          <w:b/>
        </w:rPr>
        <w:t>接口说明：</w:t>
      </w:r>
      <w:r>
        <w:rPr>
          <w:rFonts w:hint="eastAsia"/>
          <w:b/>
          <w:bCs/>
        </w:rPr>
        <w:t>向电子发票系统推送开具电子发票的数据信息</w:t>
      </w:r>
    </w:p>
    <w:p>
      <w:pPr>
        <w:numPr>
          <w:ilvl w:val="0"/>
          <w:numId w:val="6"/>
        </w:numPr>
        <w:spacing w:line="360" w:lineRule="auto"/>
      </w:pPr>
      <w:r>
        <w:rPr>
          <w:rFonts w:hint="eastAsia"/>
          <w:b/>
        </w:rPr>
        <w:t>调用方式：</w:t>
      </w:r>
      <w:r>
        <w:t>WEB SERVICE</w:t>
      </w:r>
      <w:r>
        <w:rPr>
          <w:rFonts w:hint="eastAsia"/>
          <w:b/>
          <w:bCs/>
        </w:rPr>
        <w:t>方式</w:t>
      </w:r>
    </w:p>
    <w:p>
      <w:pPr>
        <w:numPr>
          <w:ilvl w:val="0"/>
          <w:numId w:val="6"/>
        </w:numPr>
        <w:spacing w:line="360" w:lineRule="auto"/>
        <w:rPr>
          <w:b/>
        </w:rPr>
      </w:pPr>
      <w:r>
        <w:rPr>
          <w:rFonts w:hint="eastAsia"/>
          <w:b/>
        </w:rPr>
        <w:t>接口编码</w:t>
      </w:r>
      <w:r>
        <w:rPr>
          <w:rFonts w:hint="eastAsia"/>
        </w:rPr>
        <w:t>：</w:t>
      </w:r>
      <w:r>
        <w:t>ECXML.FPKJ.BC.E_INV</w:t>
      </w:r>
    </w:p>
    <w:p>
      <w:pPr>
        <w:pStyle w:val="43"/>
        <w:numPr>
          <w:ilvl w:val="0"/>
          <w:numId w:val="7"/>
        </w:numPr>
        <w:spacing w:line="360" w:lineRule="auto"/>
        <w:ind w:firstLineChars="0"/>
        <w:rPr>
          <w:sz w:val="28"/>
          <w:szCs w:val="28"/>
        </w:rPr>
      </w:pPr>
      <w:r>
        <w:rPr>
          <w:rFonts w:hint="eastAsia"/>
          <w:sz w:val="28"/>
          <w:szCs w:val="28"/>
        </w:rPr>
        <w:t>请求报文示例与数据项说明</w:t>
      </w:r>
    </w:p>
    <w:p>
      <w:pPr>
        <w:numPr>
          <w:ilvl w:val="0"/>
          <w:numId w:val="6"/>
        </w:numPr>
        <w:spacing w:line="360" w:lineRule="auto"/>
        <w:rPr>
          <w:b/>
        </w:rPr>
      </w:pPr>
      <w:r>
        <w:rPr>
          <w:rFonts w:hint="eastAsia"/>
          <w:b/>
        </w:rPr>
        <w:t>【</w:t>
      </w:r>
      <w:r>
        <w:rPr>
          <w:b/>
        </w:rPr>
        <w:t>content</w:t>
      </w:r>
      <w:r>
        <w:rPr>
          <w:rFonts w:hint="eastAsia"/>
          <w:b/>
        </w:rPr>
        <w:t>中】请求报文示例：</w:t>
      </w:r>
    </w:p>
    <w:p>
      <w:pPr>
        <w:spacing w:line="360" w:lineRule="auto"/>
        <w:rPr>
          <w:color w:val="00B0F0"/>
        </w:rPr>
      </w:pPr>
      <w:r>
        <w:t xml:space="preserve">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REQUEST_FPKJXX</w:t>
      </w:r>
      <w:r>
        <w:rPr>
          <w:rFonts w:hint="eastAsia" w:ascii="宋体" w:hAnsi="宋体" w:cs="新宋体"/>
          <w:color w:val="0000FF"/>
          <w:kern w:val="0"/>
          <w:sz w:val="18"/>
          <w:szCs w:val="18"/>
        </w:rPr>
        <w:t xml:space="preserve"> </w:t>
      </w:r>
      <w:r>
        <w:rPr>
          <w:rFonts w:hint="eastAsia" w:ascii="宋体" w:hAnsi="宋体" w:cs="新宋体"/>
          <w:color w:val="FF0000"/>
          <w:kern w:val="0"/>
          <w:sz w:val="18"/>
          <w:szCs w:val="18"/>
        </w:rPr>
        <w:t>class</w:t>
      </w:r>
      <w:r>
        <w:rPr>
          <w:rFonts w:hint="eastAsia" w:ascii="宋体" w:hAnsi="宋体" w:cs="新宋体"/>
          <w:color w:val="0000FF"/>
          <w:kern w:val="0"/>
          <w:sz w:val="18"/>
          <w:szCs w:val="18"/>
        </w:rPr>
        <w:t>=</w:t>
      </w:r>
      <w:r>
        <w:rPr>
          <w:rFonts w:hint="eastAsia" w:ascii="宋体" w:hAnsi="宋体" w:cs="新宋体"/>
          <w:kern w:val="0"/>
          <w:sz w:val="18"/>
          <w:szCs w:val="18"/>
        </w:rPr>
        <w:t>"</w:t>
      </w:r>
      <w:bookmarkStart w:id="115" w:name="OLE_LINK19"/>
      <w:bookmarkStart w:id="116" w:name="OLE_LINK20"/>
      <w:r>
        <w:rPr>
          <w:rFonts w:hint="eastAsia" w:ascii="宋体" w:hAnsi="宋体" w:cs="新宋体"/>
          <w:color w:val="0000FF"/>
          <w:kern w:val="0"/>
          <w:sz w:val="18"/>
          <w:szCs w:val="18"/>
        </w:rPr>
        <w:t>REQUEST_FPKJ</w:t>
      </w:r>
      <w:bookmarkEnd w:id="115"/>
      <w:bookmarkEnd w:id="116"/>
      <w:r>
        <w:rPr>
          <w:rFonts w:hint="eastAsia" w:ascii="宋体" w:hAnsi="宋体" w:cs="新宋体"/>
          <w:color w:val="0000FF"/>
          <w:kern w:val="0"/>
          <w:sz w:val="18"/>
          <w:szCs w:val="18"/>
        </w:rPr>
        <w:t>XX</w:t>
      </w:r>
      <w:r>
        <w:rPr>
          <w:rFonts w:hint="eastAsia" w:ascii="宋体" w:hAnsi="宋体" w:cs="新宋体"/>
          <w:kern w:val="0"/>
          <w:sz w:val="18"/>
          <w:szCs w:val="18"/>
        </w:rPr>
        <w:t xml:space="preserve"> "</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FPKJXX_FPTXX</w:t>
      </w:r>
      <w:r>
        <w:rPr>
          <w:rFonts w:hint="eastAsia" w:ascii="宋体" w:hAnsi="宋体" w:cs="新宋体"/>
          <w:color w:val="0000FF"/>
          <w:kern w:val="0"/>
          <w:sz w:val="18"/>
          <w:szCs w:val="18"/>
        </w:rPr>
        <w:t xml:space="preserve"> </w:t>
      </w:r>
      <w:r>
        <w:rPr>
          <w:rFonts w:hint="eastAsia" w:ascii="宋体" w:hAnsi="宋体" w:cs="新宋体"/>
          <w:color w:val="FF0000"/>
          <w:kern w:val="0"/>
          <w:sz w:val="18"/>
          <w:szCs w:val="18"/>
        </w:rPr>
        <w:t>class</w:t>
      </w:r>
      <w:r>
        <w:rPr>
          <w:rFonts w:hint="eastAsia" w:ascii="宋体" w:hAnsi="宋体" w:cs="新宋体"/>
          <w:color w:val="0000FF"/>
          <w:kern w:val="0"/>
          <w:sz w:val="18"/>
          <w:szCs w:val="18"/>
        </w:rPr>
        <w:t>=</w:t>
      </w:r>
      <w:r>
        <w:rPr>
          <w:rFonts w:hint="eastAsia" w:ascii="宋体" w:hAnsi="宋体" w:cs="新宋体"/>
          <w:kern w:val="0"/>
          <w:sz w:val="18"/>
          <w:szCs w:val="18"/>
        </w:rPr>
        <w:t>"</w:t>
      </w:r>
      <w:bookmarkStart w:id="117" w:name="OLE_LINK22"/>
      <w:bookmarkStart w:id="118" w:name="OLE_LINK21"/>
      <w:r>
        <w:rPr>
          <w:rFonts w:hint="eastAsia" w:ascii="宋体" w:hAnsi="宋体" w:cs="新宋体"/>
          <w:color w:val="0000FF"/>
          <w:kern w:val="0"/>
          <w:sz w:val="18"/>
          <w:szCs w:val="18"/>
        </w:rPr>
        <w:t>FPKJXX_FPT</w:t>
      </w:r>
      <w:bookmarkEnd w:id="117"/>
      <w:bookmarkEnd w:id="118"/>
      <w:r>
        <w:rPr>
          <w:rFonts w:hint="eastAsia" w:ascii="宋体" w:hAnsi="宋体" w:cs="新宋体"/>
          <w:color w:val="0000FF"/>
          <w:kern w:val="0"/>
          <w:sz w:val="18"/>
          <w:szCs w:val="18"/>
        </w:rPr>
        <w:t>XX</w:t>
      </w:r>
      <w:r>
        <w:rPr>
          <w:rFonts w:hint="eastAsia" w:ascii="宋体" w:hAnsi="宋体" w:cs="新宋体"/>
          <w:kern w:val="0"/>
          <w:sz w:val="18"/>
          <w:szCs w:val="18"/>
        </w:rPr>
        <w:t>"</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FPQQLSH</w:t>
      </w:r>
      <w:r>
        <w:rPr>
          <w:rFonts w:hint="eastAsia" w:ascii="宋体" w:hAnsi="宋体" w:cs="新宋体"/>
          <w:color w:val="0000FF"/>
          <w:kern w:val="0"/>
          <w:sz w:val="18"/>
          <w:szCs w:val="18"/>
        </w:rPr>
        <w:t>&gt;</w:t>
      </w:r>
      <w:r>
        <w:rPr>
          <w:rFonts w:hint="eastAsia" w:ascii="宋体" w:hAnsi="宋体" w:cs="新宋体"/>
          <w:kern w:val="0"/>
          <w:sz w:val="18"/>
          <w:szCs w:val="18"/>
        </w:rPr>
        <w:t>发票请求唯一流水号</w:t>
      </w:r>
      <w:r>
        <w:rPr>
          <w:rFonts w:hint="eastAsia" w:ascii="宋体" w:hAnsi="宋体" w:cs="新宋体"/>
          <w:color w:val="0000FF"/>
          <w:kern w:val="0"/>
          <w:sz w:val="18"/>
          <w:szCs w:val="18"/>
        </w:rPr>
        <w:t>&lt;/</w:t>
      </w:r>
      <w:r>
        <w:rPr>
          <w:rFonts w:hint="eastAsia" w:ascii="宋体" w:hAnsi="宋体" w:cs="新宋体"/>
          <w:color w:val="A31515"/>
          <w:kern w:val="0"/>
          <w:sz w:val="18"/>
          <w:szCs w:val="18"/>
        </w:rPr>
        <w:t>FPQQLSH</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DSPTBM</w:t>
      </w:r>
      <w:r>
        <w:rPr>
          <w:rFonts w:hint="eastAsia" w:ascii="宋体" w:hAnsi="宋体" w:cs="新宋体"/>
          <w:color w:val="0000FF"/>
          <w:kern w:val="0"/>
          <w:sz w:val="18"/>
          <w:szCs w:val="18"/>
        </w:rPr>
        <w:t>&gt;</w:t>
      </w:r>
      <w:r>
        <w:rPr>
          <w:rFonts w:hint="eastAsia" w:ascii="宋体" w:hAnsi="宋体" w:cs="新宋体"/>
          <w:kern w:val="0"/>
          <w:sz w:val="18"/>
          <w:szCs w:val="18"/>
        </w:rPr>
        <w:t>平台编码</w:t>
      </w:r>
      <w:r>
        <w:rPr>
          <w:rFonts w:hint="eastAsia" w:ascii="宋体" w:hAnsi="宋体" w:cs="新宋体"/>
          <w:color w:val="0000FF"/>
          <w:kern w:val="0"/>
          <w:sz w:val="18"/>
          <w:szCs w:val="18"/>
        </w:rPr>
        <w:t>&lt;/</w:t>
      </w:r>
      <w:r>
        <w:rPr>
          <w:rFonts w:hint="eastAsia" w:ascii="宋体" w:hAnsi="宋体" w:cs="新宋体"/>
          <w:color w:val="A31515"/>
          <w:kern w:val="0"/>
          <w:sz w:val="18"/>
          <w:szCs w:val="18"/>
        </w:rPr>
        <w:t>DSPTBM</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NSRSBH</w:t>
      </w:r>
      <w:r>
        <w:rPr>
          <w:rFonts w:hint="eastAsia" w:ascii="宋体" w:hAnsi="宋体" w:cs="新宋体"/>
          <w:color w:val="0000FF"/>
          <w:kern w:val="0"/>
          <w:sz w:val="18"/>
          <w:szCs w:val="18"/>
        </w:rPr>
        <w:t>&gt;</w:t>
      </w:r>
      <w:r>
        <w:rPr>
          <w:rFonts w:hint="eastAsia" w:ascii="宋体" w:hAnsi="宋体" w:cs="新宋体"/>
          <w:kern w:val="0"/>
          <w:sz w:val="18"/>
          <w:szCs w:val="18"/>
        </w:rPr>
        <w:t>开票方识别号</w:t>
      </w:r>
      <w:r>
        <w:rPr>
          <w:rFonts w:hint="eastAsia" w:ascii="宋体" w:hAnsi="宋体" w:cs="新宋体"/>
          <w:color w:val="0000FF"/>
          <w:kern w:val="0"/>
          <w:sz w:val="18"/>
          <w:szCs w:val="18"/>
        </w:rPr>
        <w:t>&lt;/</w:t>
      </w:r>
      <w:r>
        <w:rPr>
          <w:rFonts w:hint="eastAsia" w:ascii="宋体" w:hAnsi="宋体" w:cs="新宋体"/>
          <w:color w:val="A31515"/>
          <w:kern w:val="0"/>
          <w:sz w:val="18"/>
          <w:szCs w:val="18"/>
        </w:rPr>
        <w:t>NSRSBH</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NSRMC</w:t>
      </w:r>
      <w:r>
        <w:rPr>
          <w:rFonts w:hint="eastAsia" w:ascii="宋体" w:hAnsi="宋体" w:cs="新宋体"/>
          <w:color w:val="0000FF"/>
          <w:kern w:val="0"/>
          <w:sz w:val="18"/>
          <w:szCs w:val="18"/>
        </w:rPr>
        <w:t>&gt;</w:t>
      </w:r>
      <w:r>
        <w:rPr>
          <w:rFonts w:hint="eastAsia" w:ascii="宋体" w:hAnsi="宋体" w:cs="新宋体"/>
          <w:kern w:val="0"/>
          <w:sz w:val="18"/>
          <w:szCs w:val="18"/>
        </w:rPr>
        <w:t>开票方名称</w:t>
      </w:r>
      <w:r>
        <w:rPr>
          <w:rFonts w:hint="eastAsia" w:ascii="宋体" w:hAnsi="宋体" w:cs="新宋体"/>
          <w:color w:val="0000FF"/>
          <w:kern w:val="0"/>
          <w:sz w:val="18"/>
          <w:szCs w:val="18"/>
        </w:rPr>
        <w:t>&lt;/</w:t>
      </w:r>
      <w:r>
        <w:rPr>
          <w:rFonts w:hint="eastAsia" w:ascii="宋体" w:hAnsi="宋体" w:cs="新宋体"/>
          <w:color w:val="A31515"/>
          <w:kern w:val="0"/>
          <w:sz w:val="18"/>
          <w:szCs w:val="18"/>
        </w:rPr>
        <w:t>NSRMC</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NSRDZDAH</w:t>
      </w:r>
      <w:r>
        <w:rPr>
          <w:rFonts w:hint="eastAsia" w:ascii="宋体" w:hAnsi="宋体" w:cs="新宋体"/>
          <w:color w:val="0000FF"/>
          <w:kern w:val="0"/>
          <w:sz w:val="18"/>
          <w:szCs w:val="18"/>
        </w:rPr>
        <w:t>&gt;</w:t>
      </w:r>
      <w:r>
        <w:rPr>
          <w:rFonts w:hint="eastAsia" w:ascii="宋体" w:hAnsi="宋体" w:cs="新宋体"/>
          <w:kern w:val="0"/>
          <w:sz w:val="18"/>
          <w:szCs w:val="18"/>
        </w:rPr>
        <w:t>开票方电子档案号</w:t>
      </w:r>
      <w:r>
        <w:rPr>
          <w:rFonts w:hint="eastAsia" w:ascii="宋体" w:hAnsi="宋体" w:cs="新宋体"/>
          <w:color w:val="0000FF"/>
          <w:kern w:val="0"/>
          <w:sz w:val="18"/>
          <w:szCs w:val="18"/>
        </w:rPr>
        <w:t>&lt;/</w:t>
      </w:r>
      <w:r>
        <w:rPr>
          <w:rFonts w:hint="eastAsia" w:ascii="宋体" w:hAnsi="宋体" w:cs="新宋体"/>
          <w:color w:val="A31515"/>
          <w:kern w:val="0"/>
          <w:sz w:val="18"/>
          <w:szCs w:val="18"/>
        </w:rPr>
        <w:t>NSRDZDAH</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SWJG_DM</w:t>
      </w:r>
      <w:r>
        <w:rPr>
          <w:rFonts w:hint="eastAsia" w:ascii="宋体" w:hAnsi="宋体" w:cs="新宋体"/>
          <w:color w:val="0000FF"/>
          <w:kern w:val="0"/>
          <w:sz w:val="18"/>
          <w:szCs w:val="18"/>
        </w:rPr>
        <w:t>&gt;</w:t>
      </w:r>
      <w:r>
        <w:rPr>
          <w:rFonts w:hint="eastAsia" w:ascii="宋体" w:hAnsi="宋体" w:cs="新宋体"/>
          <w:kern w:val="0"/>
          <w:sz w:val="18"/>
          <w:szCs w:val="18"/>
        </w:rPr>
        <w:t>税务机构代码</w:t>
      </w:r>
      <w:r>
        <w:rPr>
          <w:rFonts w:hint="eastAsia" w:ascii="宋体" w:hAnsi="宋体" w:cs="新宋体"/>
          <w:color w:val="0000FF"/>
          <w:kern w:val="0"/>
          <w:sz w:val="18"/>
          <w:szCs w:val="18"/>
        </w:rPr>
        <w:t>&lt;/</w:t>
      </w:r>
      <w:r>
        <w:rPr>
          <w:rFonts w:hint="eastAsia" w:ascii="宋体" w:hAnsi="宋体" w:cs="新宋体"/>
          <w:color w:val="A31515"/>
          <w:kern w:val="0"/>
          <w:sz w:val="18"/>
          <w:szCs w:val="18"/>
        </w:rPr>
        <w:t>SWJG_DM</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DKBZ</w:t>
      </w:r>
      <w:r>
        <w:rPr>
          <w:rFonts w:hint="eastAsia" w:ascii="宋体" w:hAnsi="宋体" w:cs="新宋体"/>
          <w:color w:val="0000FF"/>
          <w:kern w:val="0"/>
          <w:sz w:val="18"/>
          <w:szCs w:val="18"/>
        </w:rPr>
        <w:t>&gt;</w:t>
      </w:r>
      <w:r>
        <w:rPr>
          <w:rFonts w:hint="eastAsia" w:ascii="宋体" w:hAnsi="宋体" w:cs="新宋体"/>
          <w:kern w:val="0"/>
          <w:sz w:val="18"/>
          <w:szCs w:val="18"/>
        </w:rPr>
        <w:t>代开标志</w:t>
      </w:r>
      <w:r>
        <w:rPr>
          <w:rFonts w:hint="eastAsia" w:ascii="宋体" w:hAnsi="宋体" w:cs="新宋体"/>
          <w:color w:val="0000FF"/>
          <w:kern w:val="0"/>
          <w:sz w:val="18"/>
          <w:szCs w:val="18"/>
        </w:rPr>
        <w:t>&lt;/</w:t>
      </w:r>
      <w:r>
        <w:rPr>
          <w:rFonts w:hint="eastAsia" w:ascii="宋体" w:hAnsi="宋体" w:cs="新宋体"/>
          <w:color w:val="A31515"/>
          <w:kern w:val="0"/>
          <w:sz w:val="18"/>
          <w:szCs w:val="18"/>
        </w:rPr>
        <w:t>DKBZ</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PYDM</w:t>
      </w:r>
      <w:r>
        <w:rPr>
          <w:rFonts w:hint="eastAsia" w:ascii="宋体" w:hAnsi="宋体" w:cs="新宋体"/>
          <w:color w:val="0000FF"/>
          <w:kern w:val="0"/>
          <w:sz w:val="18"/>
          <w:szCs w:val="18"/>
        </w:rPr>
        <w:t>&gt;</w:t>
      </w:r>
      <w:r>
        <w:rPr>
          <w:rFonts w:hint="eastAsia" w:ascii="宋体" w:hAnsi="宋体" w:cs="新宋体"/>
          <w:kern w:val="0"/>
          <w:sz w:val="18"/>
          <w:szCs w:val="18"/>
        </w:rPr>
        <w:t>票样代码</w:t>
      </w:r>
      <w:r>
        <w:rPr>
          <w:rFonts w:hint="eastAsia" w:ascii="宋体" w:hAnsi="宋体" w:cs="新宋体"/>
          <w:color w:val="0000FF"/>
          <w:kern w:val="0"/>
          <w:sz w:val="18"/>
          <w:szCs w:val="18"/>
        </w:rPr>
        <w:t>&lt;/</w:t>
      </w:r>
      <w:r>
        <w:rPr>
          <w:rFonts w:hint="eastAsia" w:ascii="宋体" w:hAnsi="宋体" w:cs="新宋体"/>
          <w:color w:val="A31515"/>
          <w:kern w:val="0"/>
          <w:sz w:val="18"/>
          <w:szCs w:val="18"/>
        </w:rPr>
        <w:t>PYDM</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KPXM</w:t>
      </w:r>
      <w:r>
        <w:rPr>
          <w:rFonts w:hint="eastAsia" w:ascii="宋体" w:hAnsi="宋体" w:cs="新宋体"/>
          <w:color w:val="0000FF"/>
          <w:kern w:val="0"/>
          <w:sz w:val="18"/>
          <w:szCs w:val="18"/>
        </w:rPr>
        <w:t>&gt;</w:t>
      </w:r>
      <w:r>
        <w:rPr>
          <w:rFonts w:hint="eastAsia" w:ascii="宋体" w:hAnsi="宋体" w:cs="新宋体"/>
          <w:kern w:val="0"/>
          <w:sz w:val="18"/>
          <w:szCs w:val="18"/>
        </w:rPr>
        <w:t>主要开票项目</w:t>
      </w:r>
      <w:r>
        <w:rPr>
          <w:rFonts w:hint="eastAsia" w:ascii="宋体" w:hAnsi="宋体" w:cs="新宋体"/>
          <w:color w:val="0000FF"/>
          <w:kern w:val="0"/>
          <w:sz w:val="18"/>
          <w:szCs w:val="18"/>
        </w:rPr>
        <w:t>&lt;/</w:t>
      </w:r>
      <w:r>
        <w:rPr>
          <w:rFonts w:hint="eastAsia" w:ascii="宋体" w:hAnsi="宋体" w:cs="新宋体"/>
          <w:color w:val="A31515"/>
          <w:kern w:val="0"/>
          <w:sz w:val="18"/>
          <w:szCs w:val="18"/>
        </w:rPr>
        <w:t>KPXM</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XHF_NSRSBH</w:t>
      </w:r>
      <w:r>
        <w:rPr>
          <w:rFonts w:hint="eastAsia" w:ascii="宋体" w:hAnsi="宋体" w:cs="新宋体"/>
          <w:color w:val="0000FF"/>
          <w:kern w:val="0"/>
          <w:sz w:val="18"/>
          <w:szCs w:val="18"/>
        </w:rPr>
        <w:t>&gt;</w:t>
      </w:r>
      <w:r>
        <w:rPr>
          <w:rFonts w:hint="eastAsia" w:ascii="宋体" w:hAnsi="宋体" w:cs="新宋体"/>
          <w:kern w:val="0"/>
          <w:sz w:val="18"/>
          <w:szCs w:val="18"/>
        </w:rPr>
        <w:t>销货方识别号</w:t>
      </w:r>
      <w:r>
        <w:rPr>
          <w:rFonts w:hint="eastAsia" w:ascii="宋体" w:hAnsi="宋体" w:cs="新宋体"/>
          <w:color w:val="0000FF"/>
          <w:kern w:val="0"/>
          <w:sz w:val="18"/>
          <w:szCs w:val="18"/>
        </w:rPr>
        <w:t>&lt;/</w:t>
      </w:r>
      <w:r>
        <w:rPr>
          <w:rFonts w:hint="eastAsia" w:ascii="宋体" w:hAnsi="宋体" w:cs="新宋体"/>
          <w:color w:val="A31515"/>
          <w:kern w:val="0"/>
          <w:sz w:val="18"/>
          <w:szCs w:val="18"/>
        </w:rPr>
        <w:t>XHF_NSRSBH</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color w:val="0000FF"/>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XHFMC</w:t>
      </w:r>
      <w:r>
        <w:rPr>
          <w:rFonts w:hint="eastAsia" w:ascii="宋体" w:hAnsi="宋体" w:cs="新宋体"/>
          <w:color w:val="0000FF"/>
          <w:kern w:val="0"/>
          <w:sz w:val="18"/>
          <w:szCs w:val="18"/>
        </w:rPr>
        <w:t>&gt;</w:t>
      </w:r>
      <w:r>
        <w:rPr>
          <w:rFonts w:hint="eastAsia" w:ascii="宋体" w:hAnsi="宋体" w:cs="新宋体"/>
          <w:kern w:val="0"/>
          <w:sz w:val="18"/>
          <w:szCs w:val="18"/>
        </w:rPr>
        <w:t>销货方名称</w:t>
      </w:r>
      <w:r>
        <w:rPr>
          <w:rFonts w:hint="eastAsia" w:ascii="宋体" w:hAnsi="宋体" w:cs="新宋体"/>
          <w:color w:val="0000FF"/>
          <w:kern w:val="0"/>
          <w:sz w:val="18"/>
          <w:szCs w:val="18"/>
        </w:rPr>
        <w:t>&lt;/</w:t>
      </w:r>
      <w:r>
        <w:rPr>
          <w:rFonts w:hint="eastAsia" w:ascii="宋体" w:hAnsi="宋体" w:cs="新宋体"/>
          <w:color w:val="A31515"/>
          <w:kern w:val="0"/>
          <w:sz w:val="18"/>
          <w:szCs w:val="18"/>
        </w:rPr>
        <w:t>XHFMC</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color w:val="0000FF"/>
          <w:kern w:val="0"/>
          <w:sz w:val="18"/>
          <w:szCs w:val="18"/>
        </w:rPr>
      </w:pPr>
      <w:r>
        <w:rPr>
          <w:rFonts w:hint="eastAsia" w:ascii="宋体" w:hAnsi="宋体" w:cs="新宋体"/>
          <w:kern w:val="0"/>
          <w:sz w:val="18"/>
          <w:szCs w:val="18"/>
        </w:rPr>
        <w:t xml:space="preserve">        </w:t>
      </w:r>
      <w:r>
        <w:rPr>
          <w:rFonts w:hint="eastAsia" w:ascii="宋体" w:hAnsi="宋体" w:cs="新宋体"/>
          <w:color w:val="0000FF"/>
          <w:kern w:val="0"/>
          <w:sz w:val="18"/>
          <w:szCs w:val="18"/>
        </w:rPr>
        <w:t>&lt;</w:t>
      </w:r>
      <w:r>
        <w:rPr>
          <w:rFonts w:hint="eastAsia" w:ascii="宋体" w:hAnsi="宋体" w:cs="新宋体"/>
          <w:color w:val="A31515"/>
          <w:kern w:val="0"/>
          <w:sz w:val="18"/>
          <w:szCs w:val="18"/>
        </w:rPr>
        <w:t>XHF_DZ</w:t>
      </w:r>
      <w:r>
        <w:rPr>
          <w:rFonts w:hint="eastAsia" w:ascii="宋体" w:hAnsi="宋体" w:cs="新宋体"/>
          <w:color w:val="0000FF"/>
          <w:kern w:val="0"/>
          <w:sz w:val="18"/>
          <w:szCs w:val="18"/>
        </w:rPr>
        <w:t>&gt;</w:t>
      </w:r>
      <w:r>
        <w:rPr>
          <w:rFonts w:hint="eastAsia" w:ascii="宋体" w:hAnsi="宋体" w:cs="新宋体"/>
          <w:kern w:val="0"/>
          <w:sz w:val="18"/>
          <w:szCs w:val="18"/>
        </w:rPr>
        <w:t>销货方地址</w:t>
      </w:r>
      <w:r>
        <w:rPr>
          <w:rFonts w:hint="eastAsia" w:ascii="宋体" w:hAnsi="宋体" w:cs="新宋体"/>
          <w:color w:val="0000FF"/>
          <w:kern w:val="0"/>
          <w:sz w:val="18"/>
          <w:szCs w:val="18"/>
        </w:rPr>
        <w:t>&lt;/</w:t>
      </w:r>
      <w:r>
        <w:rPr>
          <w:rFonts w:hint="eastAsia" w:ascii="宋体" w:hAnsi="宋体" w:cs="新宋体"/>
          <w:color w:val="A31515"/>
          <w:kern w:val="0"/>
          <w:sz w:val="18"/>
          <w:szCs w:val="18"/>
        </w:rPr>
        <w:t>XHF_DZ</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color w:val="0000FF"/>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XHF_DH</w:t>
      </w:r>
      <w:r>
        <w:rPr>
          <w:rFonts w:hint="eastAsia" w:ascii="宋体" w:hAnsi="宋体" w:cs="新宋体"/>
          <w:color w:val="0000FF"/>
          <w:kern w:val="0"/>
          <w:sz w:val="18"/>
          <w:szCs w:val="18"/>
        </w:rPr>
        <w:t>&gt;</w:t>
      </w:r>
      <w:r>
        <w:rPr>
          <w:rFonts w:hint="eastAsia" w:ascii="宋体" w:hAnsi="宋体" w:cs="新宋体"/>
          <w:kern w:val="0"/>
          <w:sz w:val="18"/>
          <w:szCs w:val="18"/>
        </w:rPr>
        <w:t>销货方电话</w:t>
      </w:r>
      <w:r>
        <w:rPr>
          <w:rFonts w:hint="eastAsia" w:ascii="宋体" w:hAnsi="宋体" w:cs="新宋体"/>
          <w:color w:val="0000FF"/>
          <w:kern w:val="0"/>
          <w:sz w:val="18"/>
          <w:szCs w:val="18"/>
        </w:rPr>
        <w:t>&lt;/</w:t>
      </w:r>
      <w:r>
        <w:rPr>
          <w:rFonts w:hint="eastAsia" w:ascii="宋体" w:hAnsi="宋体" w:cs="新宋体"/>
          <w:color w:val="A31515"/>
          <w:kern w:val="0"/>
          <w:sz w:val="18"/>
          <w:szCs w:val="18"/>
        </w:rPr>
        <w:t>XHF_DH</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XHF_YHZH</w:t>
      </w:r>
      <w:r>
        <w:rPr>
          <w:rFonts w:hint="eastAsia" w:ascii="宋体" w:hAnsi="宋体" w:cs="新宋体"/>
          <w:color w:val="0000FF"/>
          <w:kern w:val="0"/>
          <w:sz w:val="18"/>
          <w:szCs w:val="18"/>
        </w:rPr>
        <w:t>&gt;</w:t>
      </w:r>
      <w:r>
        <w:rPr>
          <w:rFonts w:hint="eastAsia" w:ascii="宋体" w:hAnsi="宋体" w:cs="新宋体"/>
          <w:kern w:val="0"/>
          <w:sz w:val="18"/>
          <w:szCs w:val="18"/>
        </w:rPr>
        <w:t>销货方银行账号</w:t>
      </w:r>
      <w:r>
        <w:rPr>
          <w:rFonts w:hint="eastAsia" w:ascii="宋体" w:hAnsi="宋体" w:cs="新宋体"/>
          <w:color w:val="0000FF"/>
          <w:kern w:val="0"/>
          <w:sz w:val="18"/>
          <w:szCs w:val="18"/>
        </w:rPr>
        <w:t>&lt;/</w:t>
      </w:r>
      <w:r>
        <w:rPr>
          <w:rFonts w:hint="eastAsia" w:ascii="宋体" w:hAnsi="宋体" w:cs="新宋体"/>
          <w:color w:val="A31515"/>
          <w:kern w:val="0"/>
          <w:sz w:val="18"/>
          <w:szCs w:val="18"/>
        </w:rPr>
        <w:t>XHF_YHZH</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GHFMC</w:t>
      </w:r>
      <w:r>
        <w:rPr>
          <w:rFonts w:hint="eastAsia" w:ascii="宋体" w:hAnsi="宋体" w:cs="新宋体"/>
          <w:color w:val="0000FF"/>
          <w:kern w:val="0"/>
          <w:sz w:val="18"/>
          <w:szCs w:val="18"/>
        </w:rPr>
        <w:t>&gt;</w:t>
      </w:r>
      <w:r>
        <w:rPr>
          <w:rFonts w:hint="eastAsia" w:ascii="宋体" w:hAnsi="宋体" w:cs="新宋体"/>
          <w:kern w:val="0"/>
          <w:sz w:val="18"/>
          <w:szCs w:val="18"/>
        </w:rPr>
        <w:t>购货方名称</w:t>
      </w:r>
      <w:r>
        <w:rPr>
          <w:rFonts w:hint="eastAsia" w:ascii="宋体" w:hAnsi="宋体" w:cs="新宋体"/>
          <w:color w:val="0000FF"/>
          <w:kern w:val="0"/>
          <w:sz w:val="18"/>
          <w:szCs w:val="18"/>
        </w:rPr>
        <w:t>&lt;/</w:t>
      </w:r>
      <w:r>
        <w:rPr>
          <w:rFonts w:hint="eastAsia" w:ascii="宋体" w:hAnsi="宋体" w:cs="新宋体"/>
          <w:color w:val="A31515"/>
          <w:kern w:val="0"/>
          <w:sz w:val="18"/>
          <w:szCs w:val="18"/>
        </w:rPr>
        <w:t>GHFMC</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GHF_NSRSBH</w:t>
      </w:r>
      <w:r>
        <w:rPr>
          <w:rFonts w:hint="eastAsia" w:ascii="宋体" w:hAnsi="宋体" w:cs="新宋体"/>
          <w:color w:val="0000FF"/>
          <w:kern w:val="0"/>
          <w:sz w:val="18"/>
          <w:szCs w:val="18"/>
        </w:rPr>
        <w:t>&gt;</w:t>
      </w:r>
      <w:r>
        <w:rPr>
          <w:rFonts w:hint="eastAsia" w:ascii="宋体" w:hAnsi="宋体" w:cs="新宋体"/>
          <w:kern w:val="0"/>
          <w:sz w:val="18"/>
          <w:szCs w:val="18"/>
        </w:rPr>
        <w:t>购货方识别号</w:t>
      </w:r>
      <w:r>
        <w:rPr>
          <w:rFonts w:hint="eastAsia" w:ascii="宋体" w:hAnsi="宋体" w:cs="新宋体"/>
          <w:color w:val="0000FF"/>
          <w:kern w:val="0"/>
          <w:sz w:val="18"/>
          <w:szCs w:val="18"/>
        </w:rPr>
        <w:t>&lt;/</w:t>
      </w:r>
      <w:r>
        <w:rPr>
          <w:rFonts w:hint="eastAsia" w:ascii="宋体" w:hAnsi="宋体" w:cs="新宋体"/>
          <w:color w:val="A31515"/>
          <w:kern w:val="0"/>
          <w:sz w:val="18"/>
          <w:szCs w:val="18"/>
        </w:rPr>
        <w:t>GHF_NSRSBH</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GHF_SF</w:t>
      </w:r>
      <w:r>
        <w:rPr>
          <w:rFonts w:hint="eastAsia" w:ascii="宋体" w:hAnsi="宋体" w:cs="新宋体"/>
          <w:color w:val="0000FF"/>
          <w:kern w:val="0"/>
          <w:sz w:val="18"/>
          <w:szCs w:val="18"/>
        </w:rPr>
        <w:t>&gt;</w:t>
      </w:r>
      <w:r>
        <w:rPr>
          <w:rFonts w:hint="eastAsia" w:ascii="宋体" w:hAnsi="宋体" w:cs="新宋体"/>
          <w:kern w:val="0"/>
          <w:sz w:val="18"/>
          <w:szCs w:val="18"/>
        </w:rPr>
        <w:t>购货方省份</w:t>
      </w:r>
      <w:r>
        <w:rPr>
          <w:rFonts w:hint="eastAsia" w:ascii="宋体" w:hAnsi="宋体" w:cs="新宋体"/>
          <w:color w:val="0000FF"/>
          <w:kern w:val="0"/>
          <w:sz w:val="18"/>
          <w:szCs w:val="18"/>
        </w:rPr>
        <w:t>&lt;/</w:t>
      </w:r>
      <w:r>
        <w:rPr>
          <w:rFonts w:hint="eastAsia" w:ascii="宋体" w:hAnsi="宋体" w:cs="新宋体"/>
          <w:color w:val="A31515"/>
          <w:kern w:val="0"/>
          <w:sz w:val="18"/>
          <w:szCs w:val="18"/>
        </w:rPr>
        <w:t>GHF_SF</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GHF_DZ</w:t>
      </w:r>
      <w:r>
        <w:rPr>
          <w:rFonts w:hint="eastAsia" w:ascii="宋体" w:hAnsi="宋体" w:cs="新宋体"/>
          <w:color w:val="0000FF"/>
          <w:kern w:val="0"/>
          <w:sz w:val="18"/>
          <w:szCs w:val="18"/>
        </w:rPr>
        <w:t>&gt;</w:t>
      </w:r>
      <w:r>
        <w:rPr>
          <w:rFonts w:hint="eastAsia" w:ascii="宋体" w:hAnsi="宋体" w:cs="新宋体"/>
          <w:kern w:val="0"/>
          <w:sz w:val="18"/>
          <w:szCs w:val="18"/>
        </w:rPr>
        <w:t>购货方地址</w:t>
      </w:r>
      <w:r>
        <w:rPr>
          <w:rFonts w:hint="eastAsia" w:ascii="宋体" w:hAnsi="宋体" w:cs="新宋体"/>
          <w:color w:val="0000FF"/>
          <w:kern w:val="0"/>
          <w:sz w:val="18"/>
          <w:szCs w:val="18"/>
        </w:rPr>
        <w:t>&lt;/</w:t>
      </w:r>
      <w:r>
        <w:rPr>
          <w:rFonts w:hint="eastAsia" w:ascii="宋体" w:hAnsi="宋体" w:cs="新宋体"/>
          <w:color w:val="A31515"/>
          <w:kern w:val="0"/>
          <w:sz w:val="18"/>
          <w:szCs w:val="18"/>
        </w:rPr>
        <w:t>GHF_DZ</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GHF_GDDH</w:t>
      </w:r>
      <w:r>
        <w:rPr>
          <w:rFonts w:hint="eastAsia" w:ascii="宋体" w:hAnsi="宋体" w:cs="新宋体"/>
          <w:color w:val="0000FF"/>
          <w:kern w:val="0"/>
          <w:sz w:val="18"/>
          <w:szCs w:val="18"/>
        </w:rPr>
        <w:t>&gt;</w:t>
      </w:r>
      <w:r>
        <w:rPr>
          <w:rFonts w:hint="eastAsia" w:ascii="宋体" w:hAnsi="宋体" w:cs="新宋体"/>
          <w:kern w:val="0"/>
          <w:sz w:val="18"/>
          <w:szCs w:val="18"/>
        </w:rPr>
        <w:t>购货方固定电话</w:t>
      </w:r>
      <w:r>
        <w:rPr>
          <w:rFonts w:hint="eastAsia" w:ascii="宋体" w:hAnsi="宋体" w:cs="新宋体"/>
          <w:color w:val="0000FF"/>
          <w:kern w:val="0"/>
          <w:sz w:val="18"/>
          <w:szCs w:val="18"/>
        </w:rPr>
        <w:t>&lt;/</w:t>
      </w:r>
      <w:r>
        <w:rPr>
          <w:rFonts w:hint="eastAsia" w:ascii="宋体" w:hAnsi="宋体" w:cs="新宋体"/>
          <w:color w:val="A31515"/>
          <w:kern w:val="0"/>
          <w:sz w:val="18"/>
          <w:szCs w:val="18"/>
        </w:rPr>
        <w:t>GHF_GDDH</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GHF_SJ</w:t>
      </w:r>
      <w:r>
        <w:rPr>
          <w:rFonts w:hint="eastAsia" w:ascii="宋体" w:hAnsi="宋体" w:cs="新宋体"/>
          <w:color w:val="0000FF"/>
          <w:kern w:val="0"/>
          <w:sz w:val="18"/>
          <w:szCs w:val="18"/>
        </w:rPr>
        <w:t>&gt;</w:t>
      </w:r>
      <w:r>
        <w:rPr>
          <w:rFonts w:hint="eastAsia" w:ascii="宋体" w:hAnsi="宋体" w:cs="新宋体"/>
          <w:kern w:val="0"/>
          <w:sz w:val="18"/>
          <w:szCs w:val="18"/>
        </w:rPr>
        <w:t>购货方手机</w:t>
      </w:r>
      <w:r>
        <w:rPr>
          <w:rFonts w:hint="eastAsia" w:ascii="宋体" w:hAnsi="宋体" w:cs="新宋体"/>
          <w:color w:val="0000FF"/>
          <w:kern w:val="0"/>
          <w:sz w:val="18"/>
          <w:szCs w:val="18"/>
        </w:rPr>
        <w:t>&lt;/</w:t>
      </w:r>
      <w:r>
        <w:rPr>
          <w:rFonts w:hint="eastAsia" w:ascii="宋体" w:hAnsi="宋体" w:cs="新宋体"/>
          <w:color w:val="A31515"/>
          <w:kern w:val="0"/>
          <w:sz w:val="18"/>
          <w:szCs w:val="18"/>
        </w:rPr>
        <w:t>GHF_SJ</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GHF_EMAIL</w:t>
      </w:r>
      <w:r>
        <w:rPr>
          <w:rFonts w:hint="eastAsia" w:ascii="宋体" w:hAnsi="宋体" w:cs="新宋体"/>
          <w:color w:val="0000FF"/>
          <w:kern w:val="0"/>
          <w:sz w:val="18"/>
          <w:szCs w:val="18"/>
        </w:rPr>
        <w:t>&gt;</w:t>
      </w:r>
      <w:r>
        <w:rPr>
          <w:rFonts w:hint="eastAsia" w:ascii="宋体" w:hAnsi="宋体" w:cs="新宋体"/>
          <w:kern w:val="0"/>
          <w:sz w:val="18"/>
          <w:szCs w:val="18"/>
        </w:rPr>
        <w:t>购货方邮箱</w:t>
      </w:r>
      <w:r>
        <w:rPr>
          <w:rFonts w:hint="eastAsia" w:ascii="宋体" w:hAnsi="宋体" w:cs="新宋体"/>
          <w:color w:val="0000FF"/>
          <w:kern w:val="0"/>
          <w:sz w:val="18"/>
          <w:szCs w:val="18"/>
        </w:rPr>
        <w:t>&lt;/</w:t>
      </w:r>
      <w:r>
        <w:rPr>
          <w:rFonts w:hint="eastAsia" w:ascii="宋体" w:hAnsi="宋体" w:cs="新宋体"/>
          <w:color w:val="A31515"/>
          <w:kern w:val="0"/>
          <w:sz w:val="18"/>
          <w:szCs w:val="18"/>
        </w:rPr>
        <w:t>GHF_EMAIL</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color w:val="0000FF"/>
          <w:kern w:val="0"/>
          <w:sz w:val="18"/>
          <w:szCs w:val="18"/>
        </w:rPr>
      </w:pPr>
      <w:r>
        <w:rPr>
          <w:rFonts w:hint="eastAsia" w:ascii="宋体" w:hAnsi="宋体" w:cs="新宋体"/>
          <w:color w:val="0000FF"/>
          <w:kern w:val="0"/>
          <w:sz w:val="18"/>
          <w:szCs w:val="18"/>
        </w:rPr>
        <w:t xml:space="preserve">        </w:t>
      </w:r>
      <w:bookmarkStart w:id="119" w:name="OLE_LINK25"/>
      <w:bookmarkStart w:id="120" w:name="OLE_LINK26"/>
      <w:r>
        <w:rPr>
          <w:rFonts w:hint="eastAsia" w:ascii="宋体" w:hAnsi="宋体" w:cs="新宋体"/>
          <w:color w:val="0000FF"/>
          <w:kern w:val="0"/>
          <w:sz w:val="18"/>
          <w:szCs w:val="18"/>
        </w:rPr>
        <w:t>&lt;</w:t>
      </w:r>
      <w:r>
        <w:rPr>
          <w:rFonts w:hint="eastAsia" w:ascii="宋体" w:hAnsi="宋体" w:cs="新宋体"/>
          <w:color w:val="A31515"/>
          <w:kern w:val="0"/>
          <w:sz w:val="18"/>
          <w:szCs w:val="18"/>
        </w:rPr>
        <w:t>GHFQYLX</w:t>
      </w:r>
      <w:r>
        <w:rPr>
          <w:rFonts w:hint="eastAsia" w:ascii="宋体" w:hAnsi="宋体" w:cs="新宋体"/>
          <w:color w:val="0000FF"/>
          <w:kern w:val="0"/>
          <w:sz w:val="18"/>
          <w:szCs w:val="18"/>
        </w:rPr>
        <w:t>&gt;</w:t>
      </w:r>
      <w:r>
        <w:rPr>
          <w:rFonts w:hint="eastAsia" w:ascii="宋体" w:hAnsi="宋体" w:cs="新宋体"/>
          <w:kern w:val="0"/>
          <w:sz w:val="18"/>
          <w:szCs w:val="18"/>
        </w:rPr>
        <w:t>01</w:t>
      </w:r>
      <w:r>
        <w:rPr>
          <w:rFonts w:hint="eastAsia" w:ascii="宋体" w:hAnsi="宋体" w:cs="新宋体"/>
          <w:color w:val="0000FF"/>
          <w:kern w:val="0"/>
          <w:sz w:val="18"/>
          <w:szCs w:val="18"/>
        </w:rPr>
        <w:t>&lt;/</w:t>
      </w:r>
      <w:r>
        <w:rPr>
          <w:rFonts w:hint="eastAsia" w:ascii="宋体" w:hAnsi="宋体" w:cs="新宋体"/>
          <w:color w:val="A31515"/>
          <w:kern w:val="0"/>
          <w:sz w:val="18"/>
          <w:szCs w:val="18"/>
        </w:rPr>
        <w:t>GHFQYLX</w:t>
      </w:r>
      <w:r>
        <w:rPr>
          <w:rFonts w:hint="eastAsia" w:ascii="宋体" w:hAnsi="宋体" w:cs="新宋体"/>
          <w:color w:val="0000FF"/>
          <w:kern w:val="0"/>
          <w:sz w:val="18"/>
          <w:szCs w:val="18"/>
        </w:rPr>
        <w:t>&gt;</w:t>
      </w:r>
      <w:bookmarkEnd w:id="119"/>
      <w:bookmarkEnd w:id="120"/>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GHF_YHZH</w:t>
      </w:r>
      <w:r>
        <w:rPr>
          <w:rFonts w:hint="eastAsia" w:ascii="宋体" w:hAnsi="宋体" w:cs="新宋体"/>
          <w:color w:val="0000FF"/>
          <w:kern w:val="0"/>
          <w:sz w:val="18"/>
          <w:szCs w:val="18"/>
        </w:rPr>
        <w:t>&gt;</w:t>
      </w:r>
      <w:r>
        <w:rPr>
          <w:rFonts w:hint="eastAsia" w:ascii="宋体" w:hAnsi="宋体" w:cs="新宋体"/>
          <w:kern w:val="0"/>
          <w:sz w:val="18"/>
          <w:szCs w:val="18"/>
        </w:rPr>
        <w:t>01</w:t>
      </w:r>
      <w:r>
        <w:rPr>
          <w:rFonts w:hint="eastAsia" w:ascii="宋体" w:hAnsi="宋体" w:cs="新宋体"/>
          <w:color w:val="0000FF"/>
          <w:kern w:val="0"/>
          <w:sz w:val="18"/>
          <w:szCs w:val="18"/>
        </w:rPr>
        <w:t>&lt;/</w:t>
      </w:r>
      <w:r>
        <w:rPr>
          <w:rFonts w:hint="eastAsia" w:ascii="宋体" w:hAnsi="宋体" w:cs="新宋体"/>
          <w:color w:val="A31515"/>
          <w:kern w:val="0"/>
          <w:sz w:val="18"/>
          <w:szCs w:val="18"/>
        </w:rPr>
        <w:t>GHF_YHZH</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HY_DM</w:t>
      </w:r>
      <w:r>
        <w:rPr>
          <w:rFonts w:hint="eastAsia" w:ascii="宋体" w:hAnsi="宋体" w:cs="新宋体"/>
          <w:color w:val="0000FF"/>
          <w:kern w:val="0"/>
          <w:sz w:val="18"/>
          <w:szCs w:val="18"/>
        </w:rPr>
        <w:t>&gt;</w:t>
      </w:r>
      <w:r>
        <w:rPr>
          <w:rFonts w:hint="eastAsia" w:ascii="宋体" w:hAnsi="宋体" w:cs="新宋体"/>
          <w:kern w:val="0"/>
          <w:sz w:val="18"/>
          <w:szCs w:val="18"/>
        </w:rPr>
        <w:t>行业代码</w:t>
      </w:r>
      <w:r>
        <w:rPr>
          <w:rFonts w:hint="eastAsia" w:ascii="宋体" w:hAnsi="宋体" w:cs="新宋体"/>
          <w:color w:val="0000FF"/>
          <w:kern w:val="0"/>
          <w:sz w:val="18"/>
          <w:szCs w:val="18"/>
        </w:rPr>
        <w:t>&lt;/</w:t>
      </w:r>
      <w:r>
        <w:rPr>
          <w:rFonts w:hint="eastAsia" w:ascii="宋体" w:hAnsi="宋体" w:cs="新宋体"/>
          <w:color w:val="A31515"/>
          <w:kern w:val="0"/>
          <w:sz w:val="18"/>
          <w:szCs w:val="18"/>
        </w:rPr>
        <w:t>HY_DM</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bookmarkStart w:id="121" w:name="OLE_LINK28"/>
      <w:bookmarkStart w:id="122" w:name="OLE_LINK29"/>
      <w:bookmarkStart w:id="123" w:name="OLE_LINK27"/>
      <w:r>
        <w:rPr>
          <w:rFonts w:hint="eastAsia" w:ascii="宋体" w:hAnsi="宋体" w:cs="新宋体"/>
          <w:color w:val="A31515"/>
          <w:kern w:val="0"/>
          <w:sz w:val="18"/>
          <w:szCs w:val="18"/>
        </w:rPr>
        <w:t>HY_MC</w:t>
      </w:r>
      <w:bookmarkEnd w:id="121"/>
      <w:bookmarkEnd w:id="122"/>
      <w:bookmarkEnd w:id="123"/>
      <w:r>
        <w:rPr>
          <w:rFonts w:hint="eastAsia" w:ascii="宋体" w:hAnsi="宋体" w:cs="新宋体"/>
          <w:color w:val="0000FF"/>
          <w:kern w:val="0"/>
          <w:sz w:val="18"/>
          <w:szCs w:val="18"/>
        </w:rPr>
        <w:t>&gt;</w:t>
      </w:r>
      <w:r>
        <w:rPr>
          <w:rFonts w:hint="eastAsia" w:ascii="宋体" w:hAnsi="宋体" w:cs="新宋体"/>
          <w:kern w:val="0"/>
          <w:sz w:val="18"/>
          <w:szCs w:val="18"/>
        </w:rPr>
        <w:t>行业名称</w:t>
      </w:r>
      <w:r>
        <w:rPr>
          <w:rFonts w:hint="eastAsia" w:ascii="宋体" w:hAnsi="宋体" w:cs="新宋体"/>
          <w:color w:val="0000FF"/>
          <w:kern w:val="0"/>
          <w:sz w:val="18"/>
          <w:szCs w:val="18"/>
        </w:rPr>
        <w:t>&lt;/</w:t>
      </w:r>
      <w:r>
        <w:rPr>
          <w:rFonts w:hint="eastAsia" w:ascii="宋体" w:hAnsi="宋体" w:cs="新宋体"/>
          <w:color w:val="A31515"/>
          <w:kern w:val="0"/>
          <w:sz w:val="18"/>
          <w:szCs w:val="18"/>
        </w:rPr>
        <w:t>HY_MC</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KPY</w:t>
      </w:r>
      <w:r>
        <w:rPr>
          <w:rFonts w:hint="eastAsia" w:ascii="宋体" w:hAnsi="宋体" w:cs="新宋体"/>
          <w:color w:val="0000FF"/>
          <w:kern w:val="0"/>
          <w:sz w:val="18"/>
          <w:szCs w:val="18"/>
        </w:rPr>
        <w:t>&gt;</w:t>
      </w:r>
      <w:r>
        <w:rPr>
          <w:rFonts w:hint="eastAsia" w:ascii="宋体" w:hAnsi="宋体" w:cs="新宋体"/>
          <w:kern w:val="0"/>
          <w:sz w:val="18"/>
          <w:szCs w:val="18"/>
        </w:rPr>
        <w:t>开票员</w:t>
      </w:r>
      <w:r>
        <w:rPr>
          <w:rFonts w:hint="eastAsia" w:ascii="宋体" w:hAnsi="宋体" w:cs="新宋体"/>
          <w:color w:val="0000FF"/>
          <w:kern w:val="0"/>
          <w:sz w:val="18"/>
          <w:szCs w:val="18"/>
        </w:rPr>
        <w:t>&lt;/</w:t>
      </w:r>
      <w:r>
        <w:rPr>
          <w:rFonts w:hint="eastAsia" w:ascii="宋体" w:hAnsi="宋体" w:cs="新宋体"/>
          <w:color w:val="A31515"/>
          <w:kern w:val="0"/>
          <w:sz w:val="18"/>
          <w:szCs w:val="18"/>
        </w:rPr>
        <w:t>KPY</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color w:val="0000FF"/>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SKY</w:t>
      </w:r>
      <w:r>
        <w:rPr>
          <w:rFonts w:hint="eastAsia" w:ascii="宋体" w:hAnsi="宋体" w:cs="新宋体"/>
          <w:color w:val="0000FF"/>
          <w:kern w:val="0"/>
          <w:sz w:val="18"/>
          <w:szCs w:val="18"/>
        </w:rPr>
        <w:t>&gt;</w:t>
      </w:r>
      <w:r>
        <w:rPr>
          <w:rFonts w:hint="eastAsia" w:ascii="宋体" w:hAnsi="宋体" w:cs="新宋体"/>
          <w:kern w:val="0"/>
          <w:sz w:val="18"/>
          <w:szCs w:val="18"/>
        </w:rPr>
        <w:t>收款员</w:t>
      </w:r>
      <w:r>
        <w:rPr>
          <w:rFonts w:hint="eastAsia" w:ascii="宋体" w:hAnsi="宋体" w:cs="新宋体"/>
          <w:color w:val="0000FF"/>
          <w:kern w:val="0"/>
          <w:sz w:val="18"/>
          <w:szCs w:val="18"/>
        </w:rPr>
        <w:t>&lt;/</w:t>
      </w:r>
      <w:r>
        <w:rPr>
          <w:rFonts w:hint="eastAsia" w:ascii="宋体" w:hAnsi="宋体" w:cs="新宋体"/>
          <w:color w:val="A31515"/>
          <w:kern w:val="0"/>
          <w:sz w:val="18"/>
          <w:szCs w:val="18"/>
        </w:rPr>
        <w:t>SKY</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FHR</w:t>
      </w:r>
      <w:r>
        <w:rPr>
          <w:rFonts w:hint="eastAsia" w:ascii="宋体" w:hAnsi="宋体" w:cs="新宋体"/>
          <w:color w:val="0000FF"/>
          <w:kern w:val="0"/>
          <w:sz w:val="18"/>
          <w:szCs w:val="18"/>
        </w:rPr>
        <w:t>&gt;</w:t>
      </w:r>
      <w:r>
        <w:rPr>
          <w:rFonts w:hint="eastAsia" w:ascii="宋体" w:hAnsi="宋体" w:cs="新宋体"/>
          <w:kern w:val="0"/>
          <w:sz w:val="18"/>
          <w:szCs w:val="18"/>
        </w:rPr>
        <w:t>复核人</w:t>
      </w:r>
      <w:r>
        <w:rPr>
          <w:rFonts w:hint="eastAsia" w:ascii="宋体" w:hAnsi="宋体" w:cs="新宋体"/>
          <w:color w:val="0000FF"/>
          <w:kern w:val="0"/>
          <w:sz w:val="18"/>
          <w:szCs w:val="18"/>
        </w:rPr>
        <w:t>&lt;/</w:t>
      </w:r>
      <w:r>
        <w:rPr>
          <w:rFonts w:hint="eastAsia" w:ascii="宋体" w:hAnsi="宋体" w:cs="新宋体"/>
          <w:color w:val="A31515"/>
          <w:kern w:val="0"/>
          <w:sz w:val="18"/>
          <w:szCs w:val="18"/>
        </w:rPr>
        <w:t>FHR</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KPRQ</w:t>
      </w:r>
      <w:r>
        <w:rPr>
          <w:rFonts w:hint="eastAsia" w:ascii="宋体" w:hAnsi="宋体" w:cs="新宋体"/>
          <w:color w:val="0000FF"/>
          <w:kern w:val="0"/>
          <w:sz w:val="18"/>
          <w:szCs w:val="18"/>
        </w:rPr>
        <w:t>&gt;</w:t>
      </w:r>
      <w:r>
        <w:rPr>
          <w:rFonts w:hint="eastAsia" w:ascii="宋体" w:hAnsi="宋体" w:cs="新宋体"/>
          <w:kern w:val="0"/>
          <w:sz w:val="18"/>
          <w:szCs w:val="18"/>
        </w:rPr>
        <w:t>开票日期</w:t>
      </w:r>
      <w:r>
        <w:rPr>
          <w:rFonts w:hint="eastAsia" w:ascii="宋体" w:hAnsi="宋体" w:cs="新宋体"/>
          <w:color w:val="0000FF"/>
          <w:kern w:val="0"/>
          <w:sz w:val="18"/>
          <w:szCs w:val="18"/>
        </w:rPr>
        <w:t>&lt;/</w:t>
      </w:r>
      <w:r>
        <w:rPr>
          <w:rFonts w:hint="eastAsia" w:ascii="宋体" w:hAnsi="宋体" w:cs="新宋体"/>
          <w:color w:val="A31515"/>
          <w:kern w:val="0"/>
          <w:sz w:val="18"/>
          <w:szCs w:val="18"/>
        </w:rPr>
        <w:t>KPRQ</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KPLX</w:t>
      </w:r>
      <w:r>
        <w:rPr>
          <w:rFonts w:hint="eastAsia" w:ascii="宋体" w:hAnsi="宋体" w:cs="新宋体"/>
          <w:color w:val="0000FF"/>
          <w:kern w:val="0"/>
          <w:sz w:val="18"/>
          <w:szCs w:val="18"/>
        </w:rPr>
        <w:t>&gt;</w:t>
      </w:r>
      <w:r>
        <w:rPr>
          <w:rFonts w:hint="eastAsia" w:ascii="宋体" w:hAnsi="宋体" w:cs="新宋体"/>
          <w:kern w:val="0"/>
          <w:sz w:val="18"/>
          <w:szCs w:val="18"/>
        </w:rPr>
        <w:t>开票类型</w:t>
      </w:r>
      <w:r>
        <w:rPr>
          <w:rFonts w:hint="eastAsia" w:ascii="宋体" w:hAnsi="宋体" w:cs="新宋体"/>
          <w:color w:val="0000FF"/>
          <w:kern w:val="0"/>
          <w:sz w:val="18"/>
          <w:szCs w:val="18"/>
        </w:rPr>
        <w:t>&lt;/</w:t>
      </w:r>
      <w:r>
        <w:rPr>
          <w:rFonts w:hint="eastAsia" w:ascii="宋体" w:hAnsi="宋体" w:cs="新宋体"/>
          <w:color w:val="A31515"/>
          <w:kern w:val="0"/>
          <w:sz w:val="18"/>
          <w:szCs w:val="18"/>
        </w:rPr>
        <w:t>KPLX</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YFP_DM</w:t>
      </w:r>
      <w:r>
        <w:rPr>
          <w:rFonts w:hint="eastAsia" w:ascii="宋体" w:hAnsi="宋体" w:cs="新宋体"/>
          <w:color w:val="0000FF"/>
          <w:kern w:val="0"/>
          <w:sz w:val="18"/>
          <w:szCs w:val="18"/>
        </w:rPr>
        <w:t>&gt;</w:t>
      </w:r>
      <w:r>
        <w:rPr>
          <w:rFonts w:hint="eastAsia" w:ascii="宋体" w:hAnsi="宋体" w:cs="新宋体"/>
          <w:kern w:val="0"/>
          <w:sz w:val="18"/>
          <w:szCs w:val="18"/>
        </w:rPr>
        <w:t>原发票代码</w:t>
      </w:r>
      <w:r>
        <w:rPr>
          <w:rFonts w:hint="eastAsia" w:ascii="宋体" w:hAnsi="宋体" w:cs="新宋体"/>
          <w:color w:val="0000FF"/>
          <w:kern w:val="0"/>
          <w:sz w:val="18"/>
          <w:szCs w:val="18"/>
        </w:rPr>
        <w:t>&lt;/</w:t>
      </w:r>
      <w:r>
        <w:rPr>
          <w:rFonts w:hint="eastAsia" w:ascii="宋体" w:hAnsi="宋体" w:cs="新宋体"/>
          <w:color w:val="A31515"/>
          <w:kern w:val="0"/>
          <w:sz w:val="18"/>
          <w:szCs w:val="18"/>
        </w:rPr>
        <w:t>YFP_DM</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YFP_HM</w:t>
      </w:r>
      <w:r>
        <w:rPr>
          <w:rFonts w:hint="eastAsia" w:ascii="宋体" w:hAnsi="宋体" w:cs="新宋体"/>
          <w:color w:val="0000FF"/>
          <w:kern w:val="0"/>
          <w:sz w:val="18"/>
          <w:szCs w:val="18"/>
        </w:rPr>
        <w:t>&gt;</w:t>
      </w:r>
      <w:r>
        <w:rPr>
          <w:rFonts w:hint="eastAsia" w:ascii="宋体" w:hAnsi="宋体" w:cs="新宋体"/>
          <w:kern w:val="0"/>
          <w:sz w:val="18"/>
          <w:szCs w:val="18"/>
        </w:rPr>
        <w:t>原发票号码</w:t>
      </w:r>
      <w:r>
        <w:rPr>
          <w:rFonts w:hint="eastAsia" w:ascii="宋体" w:hAnsi="宋体" w:cs="新宋体"/>
          <w:color w:val="0000FF"/>
          <w:kern w:val="0"/>
          <w:sz w:val="18"/>
          <w:szCs w:val="18"/>
        </w:rPr>
        <w:t>&lt;/</w:t>
      </w:r>
      <w:r>
        <w:rPr>
          <w:rFonts w:hint="eastAsia" w:ascii="宋体" w:hAnsi="宋体" w:cs="新宋体"/>
          <w:color w:val="A31515"/>
          <w:kern w:val="0"/>
          <w:sz w:val="18"/>
          <w:szCs w:val="18"/>
        </w:rPr>
        <w:t>YFP_HM</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CZDM</w:t>
      </w:r>
      <w:r>
        <w:rPr>
          <w:rFonts w:hint="eastAsia" w:ascii="宋体" w:hAnsi="宋体" w:cs="新宋体"/>
          <w:color w:val="0000FF"/>
          <w:kern w:val="0"/>
          <w:sz w:val="18"/>
          <w:szCs w:val="18"/>
        </w:rPr>
        <w:t>&gt;</w:t>
      </w:r>
      <w:r>
        <w:rPr>
          <w:rFonts w:hint="eastAsia" w:ascii="宋体" w:hAnsi="宋体" w:cs="新宋体"/>
          <w:kern w:val="0"/>
          <w:sz w:val="18"/>
          <w:szCs w:val="18"/>
        </w:rPr>
        <w:t>操作代码</w:t>
      </w:r>
      <w:r>
        <w:rPr>
          <w:rFonts w:hint="eastAsia" w:ascii="宋体" w:hAnsi="宋体" w:cs="新宋体"/>
          <w:color w:val="0000FF"/>
          <w:kern w:val="0"/>
          <w:sz w:val="18"/>
          <w:szCs w:val="18"/>
        </w:rPr>
        <w:t>&lt;/</w:t>
      </w:r>
      <w:r>
        <w:rPr>
          <w:rFonts w:hint="eastAsia" w:ascii="宋体" w:hAnsi="宋体" w:cs="新宋体"/>
          <w:color w:val="A31515"/>
          <w:kern w:val="0"/>
          <w:sz w:val="18"/>
          <w:szCs w:val="18"/>
        </w:rPr>
        <w:t>CZDM</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CHYY</w:t>
      </w:r>
      <w:r>
        <w:rPr>
          <w:rFonts w:hint="eastAsia" w:ascii="宋体" w:hAnsi="宋体" w:cs="新宋体"/>
          <w:color w:val="0000FF"/>
          <w:kern w:val="0"/>
          <w:sz w:val="18"/>
          <w:szCs w:val="18"/>
        </w:rPr>
        <w:t>&gt;</w:t>
      </w:r>
      <w:r>
        <w:rPr>
          <w:rFonts w:hint="eastAsia" w:ascii="宋体" w:hAnsi="宋体" w:cs="新宋体"/>
          <w:kern w:val="0"/>
          <w:sz w:val="18"/>
          <w:szCs w:val="18"/>
        </w:rPr>
        <w:t>冲红原因</w:t>
      </w:r>
      <w:r>
        <w:rPr>
          <w:rFonts w:hint="eastAsia" w:ascii="宋体" w:hAnsi="宋体" w:cs="新宋体"/>
          <w:color w:val="0000FF"/>
          <w:kern w:val="0"/>
          <w:sz w:val="18"/>
          <w:szCs w:val="18"/>
        </w:rPr>
        <w:t>&lt;/</w:t>
      </w:r>
      <w:r>
        <w:rPr>
          <w:rFonts w:hint="eastAsia" w:ascii="宋体" w:hAnsi="宋体" w:cs="新宋体"/>
          <w:color w:val="A31515"/>
          <w:kern w:val="0"/>
          <w:sz w:val="18"/>
          <w:szCs w:val="18"/>
        </w:rPr>
        <w:t>CHYY</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TSCHBZ</w:t>
      </w:r>
      <w:r>
        <w:rPr>
          <w:rFonts w:hint="eastAsia" w:ascii="宋体" w:hAnsi="宋体" w:cs="新宋体"/>
          <w:color w:val="0000FF"/>
          <w:kern w:val="0"/>
          <w:sz w:val="18"/>
          <w:szCs w:val="18"/>
        </w:rPr>
        <w:t>&gt;</w:t>
      </w:r>
      <w:r>
        <w:rPr>
          <w:rFonts w:hint="eastAsia" w:ascii="宋体" w:hAnsi="宋体" w:cs="新宋体"/>
          <w:kern w:val="0"/>
          <w:sz w:val="18"/>
          <w:szCs w:val="18"/>
        </w:rPr>
        <w:t>特殊冲红标志</w:t>
      </w:r>
      <w:r>
        <w:rPr>
          <w:rFonts w:hint="eastAsia" w:ascii="宋体" w:hAnsi="宋体" w:cs="新宋体"/>
          <w:color w:val="0000FF"/>
          <w:kern w:val="0"/>
          <w:sz w:val="18"/>
          <w:szCs w:val="18"/>
        </w:rPr>
        <w:t>&lt;/</w:t>
      </w:r>
      <w:r>
        <w:rPr>
          <w:rFonts w:hint="eastAsia" w:ascii="宋体" w:hAnsi="宋体" w:cs="新宋体"/>
          <w:color w:val="A31515"/>
          <w:kern w:val="0"/>
          <w:sz w:val="18"/>
          <w:szCs w:val="18"/>
        </w:rPr>
        <w:t>TSCHBZ</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color w:val="0000FF"/>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KPHJJE</w:t>
      </w:r>
      <w:r>
        <w:rPr>
          <w:rFonts w:hint="eastAsia" w:ascii="宋体" w:hAnsi="宋体" w:cs="新宋体"/>
          <w:color w:val="0000FF"/>
          <w:kern w:val="0"/>
          <w:sz w:val="18"/>
          <w:szCs w:val="18"/>
        </w:rPr>
        <w:t>&gt;</w:t>
      </w:r>
      <w:r>
        <w:rPr>
          <w:rFonts w:hint="eastAsia" w:ascii="宋体" w:hAnsi="宋体" w:cs="新宋体"/>
          <w:kern w:val="0"/>
          <w:sz w:val="18"/>
          <w:szCs w:val="18"/>
        </w:rPr>
        <w:t>价税合计金额</w:t>
      </w:r>
      <w:r>
        <w:rPr>
          <w:rFonts w:hint="eastAsia" w:ascii="宋体" w:hAnsi="宋体" w:cs="新宋体"/>
          <w:color w:val="0000FF"/>
          <w:kern w:val="0"/>
          <w:sz w:val="18"/>
          <w:szCs w:val="18"/>
        </w:rPr>
        <w:t>&lt;/</w:t>
      </w:r>
      <w:r>
        <w:rPr>
          <w:rFonts w:hint="eastAsia" w:ascii="宋体" w:hAnsi="宋体" w:cs="新宋体"/>
          <w:color w:val="A31515"/>
          <w:kern w:val="0"/>
          <w:sz w:val="18"/>
          <w:szCs w:val="18"/>
        </w:rPr>
        <w:t>KPHJJE</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color w:val="0000FF"/>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HJBHSJE</w:t>
      </w:r>
      <w:r>
        <w:rPr>
          <w:rFonts w:hint="eastAsia" w:ascii="宋体" w:hAnsi="宋体" w:cs="新宋体"/>
          <w:color w:val="0000FF"/>
          <w:kern w:val="0"/>
          <w:sz w:val="18"/>
          <w:szCs w:val="18"/>
        </w:rPr>
        <w:t>&gt;</w:t>
      </w:r>
      <w:r>
        <w:rPr>
          <w:rFonts w:hint="eastAsia" w:ascii="宋体" w:hAnsi="宋体" w:cs="新宋体"/>
          <w:kern w:val="0"/>
          <w:sz w:val="18"/>
          <w:szCs w:val="18"/>
        </w:rPr>
        <w:t>合计不含税金额</w:t>
      </w:r>
      <w:r>
        <w:rPr>
          <w:rFonts w:hint="eastAsia" w:ascii="宋体" w:hAnsi="宋体" w:cs="新宋体"/>
          <w:color w:val="0000FF"/>
          <w:kern w:val="0"/>
          <w:sz w:val="18"/>
          <w:szCs w:val="18"/>
        </w:rPr>
        <w:t>&lt;/</w:t>
      </w:r>
      <w:r>
        <w:rPr>
          <w:rFonts w:hint="eastAsia" w:ascii="宋体" w:hAnsi="宋体" w:cs="新宋体"/>
          <w:color w:val="A31515"/>
          <w:kern w:val="0"/>
          <w:sz w:val="18"/>
          <w:szCs w:val="18"/>
        </w:rPr>
        <w:t>HJBHSJE</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HJSE</w:t>
      </w:r>
      <w:r>
        <w:rPr>
          <w:rFonts w:hint="eastAsia" w:ascii="宋体" w:hAnsi="宋体" w:cs="新宋体"/>
          <w:color w:val="0000FF"/>
          <w:kern w:val="0"/>
          <w:sz w:val="18"/>
          <w:szCs w:val="18"/>
        </w:rPr>
        <w:t>&gt;</w:t>
      </w:r>
      <w:r>
        <w:rPr>
          <w:rFonts w:hint="eastAsia" w:ascii="宋体" w:hAnsi="宋体" w:cs="新宋体"/>
          <w:kern w:val="0"/>
          <w:sz w:val="18"/>
          <w:szCs w:val="18"/>
        </w:rPr>
        <w:t>合计税额</w:t>
      </w:r>
      <w:r>
        <w:rPr>
          <w:rFonts w:hint="eastAsia" w:ascii="宋体" w:hAnsi="宋体" w:cs="新宋体"/>
          <w:color w:val="0000FF"/>
          <w:kern w:val="0"/>
          <w:sz w:val="18"/>
          <w:szCs w:val="18"/>
        </w:rPr>
        <w:t>&lt;/</w:t>
      </w:r>
      <w:r>
        <w:rPr>
          <w:rFonts w:hint="eastAsia" w:ascii="宋体" w:hAnsi="宋体" w:cs="新宋体"/>
          <w:color w:val="A31515"/>
          <w:kern w:val="0"/>
          <w:sz w:val="18"/>
          <w:szCs w:val="18"/>
        </w:rPr>
        <w:t>HJSE</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BZ</w:t>
      </w:r>
      <w:r>
        <w:rPr>
          <w:rFonts w:hint="eastAsia" w:ascii="宋体" w:hAnsi="宋体" w:cs="新宋体"/>
          <w:color w:val="0000FF"/>
          <w:kern w:val="0"/>
          <w:sz w:val="18"/>
          <w:szCs w:val="18"/>
        </w:rPr>
        <w:t>&gt;</w:t>
      </w:r>
      <w:r>
        <w:rPr>
          <w:rFonts w:hint="eastAsia" w:ascii="宋体" w:hAnsi="宋体" w:cs="新宋体"/>
          <w:kern w:val="0"/>
          <w:sz w:val="18"/>
          <w:szCs w:val="18"/>
        </w:rPr>
        <w:t>备注</w:t>
      </w:r>
      <w:r>
        <w:rPr>
          <w:rFonts w:hint="eastAsia" w:ascii="宋体" w:hAnsi="宋体" w:cs="新宋体"/>
          <w:color w:val="0000FF"/>
          <w:kern w:val="0"/>
          <w:sz w:val="18"/>
          <w:szCs w:val="18"/>
        </w:rPr>
        <w:t>&lt;/</w:t>
      </w:r>
      <w:r>
        <w:rPr>
          <w:rFonts w:hint="eastAsia" w:ascii="宋体" w:hAnsi="宋体" w:cs="新宋体"/>
          <w:color w:val="A31515"/>
          <w:kern w:val="0"/>
          <w:sz w:val="18"/>
          <w:szCs w:val="18"/>
        </w:rPr>
        <w:t>BZ</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BYZD1</w:t>
      </w:r>
      <w:r>
        <w:rPr>
          <w:rFonts w:hint="eastAsia" w:ascii="宋体" w:hAnsi="宋体" w:cs="新宋体"/>
          <w:color w:val="0000FF"/>
          <w:kern w:val="0"/>
          <w:sz w:val="18"/>
          <w:szCs w:val="18"/>
        </w:rPr>
        <w:t>&gt;</w:t>
      </w:r>
      <w:r>
        <w:rPr>
          <w:rFonts w:hint="eastAsia" w:ascii="宋体" w:hAnsi="宋体" w:cs="新宋体"/>
          <w:kern w:val="0"/>
          <w:sz w:val="18"/>
          <w:szCs w:val="18"/>
        </w:rPr>
        <w:t>备用字段</w:t>
      </w:r>
      <w:r>
        <w:rPr>
          <w:rFonts w:hint="eastAsia" w:ascii="宋体" w:hAnsi="宋体" w:cs="新宋体"/>
          <w:color w:val="0000FF"/>
          <w:kern w:val="0"/>
          <w:sz w:val="18"/>
          <w:szCs w:val="18"/>
        </w:rPr>
        <w:t>&lt;/</w:t>
      </w:r>
      <w:r>
        <w:rPr>
          <w:rFonts w:hint="eastAsia" w:ascii="宋体" w:hAnsi="宋体" w:cs="新宋体"/>
          <w:color w:val="A31515"/>
          <w:kern w:val="0"/>
          <w:sz w:val="18"/>
          <w:szCs w:val="18"/>
        </w:rPr>
        <w:t>BYZD1</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BYZD2</w:t>
      </w:r>
      <w:r>
        <w:rPr>
          <w:rFonts w:hint="eastAsia" w:ascii="宋体" w:hAnsi="宋体" w:cs="新宋体"/>
          <w:color w:val="0000FF"/>
          <w:kern w:val="0"/>
          <w:sz w:val="18"/>
          <w:szCs w:val="18"/>
        </w:rPr>
        <w:t>&gt;</w:t>
      </w:r>
      <w:r>
        <w:rPr>
          <w:rFonts w:hint="eastAsia" w:ascii="宋体" w:hAnsi="宋体" w:cs="新宋体"/>
          <w:kern w:val="0"/>
          <w:sz w:val="18"/>
          <w:szCs w:val="18"/>
        </w:rPr>
        <w:t>备用字段</w:t>
      </w:r>
      <w:r>
        <w:rPr>
          <w:rFonts w:hint="eastAsia" w:ascii="宋体" w:hAnsi="宋体" w:cs="新宋体"/>
          <w:color w:val="0000FF"/>
          <w:kern w:val="0"/>
          <w:sz w:val="18"/>
          <w:szCs w:val="18"/>
        </w:rPr>
        <w:t>&lt;/</w:t>
      </w:r>
      <w:r>
        <w:rPr>
          <w:rFonts w:hint="eastAsia" w:ascii="宋体" w:hAnsi="宋体" w:cs="新宋体"/>
          <w:color w:val="A31515"/>
          <w:kern w:val="0"/>
          <w:sz w:val="18"/>
          <w:szCs w:val="18"/>
        </w:rPr>
        <w:t>BYZD2</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BYZD3</w:t>
      </w:r>
      <w:r>
        <w:rPr>
          <w:rFonts w:hint="eastAsia" w:ascii="宋体" w:hAnsi="宋体" w:cs="新宋体"/>
          <w:color w:val="0000FF"/>
          <w:kern w:val="0"/>
          <w:sz w:val="18"/>
          <w:szCs w:val="18"/>
        </w:rPr>
        <w:t>&gt;</w:t>
      </w:r>
      <w:r>
        <w:rPr>
          <w:rFonts w:hint="eastAsia" w:ascii="宋体" w:hAnsi="宋体" w:cs="新宋体"/>
          <w:kern w:val="0"/>
          <w:sz w:val="18"/>
          <w:szCs w:val="18"/>
        </w:rPr>
        <w:t>备用字段</w:t>
      </w:r>
      <w:r>
        <w:rPr>
          <w:rFonts w:hint="eastAsia" w:ascii="宋体" w:hAnsi="宋体" w:cs="新宋体"/>
          <w:color w:val="0000FF"/>
          <w:kern w:val="0"/>
          <w:sz w:val="18"/>
          <w:szCs w:val="18"/>
        </w:rPr>
        <w:t>&lt;/</w:t>
      </w:r>
      <w:r>
        <w:rPr>
          <w:rFonts w:hint="eastAsia" w:ascii="宋体" w:hAnsi="宋体" w:cs="新宋体"/>
          <w:color w:val="A31515"/>
          <w:kern w:val="0"/>
          <w:sz w:val="18"/>
          <w:szCs w:val="18"/>
        </w:rPr>
        <w:t>BYZD3</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BYZD4</w:t>
      </w:r>
      <w:r>
        <w:rPr>
          <w:rFonts w:hint="eastAsia" w:ascii="宋体" w:hAnsi="宋体" w:cs="新宋体"/>
          <w:color w:val="0000FF"/>
          <w:kern w:val="0"/>
          <w:sz w:val="18"/>
          <w:szCs w:val="18"/>
        </w:rPr>
        <w:t>&gt;</w:t>
      </w:r>
      <w:r>
        <w:rPr>
          <w:rFonts w:hint="eastAsia" w:ascii="宋体" w:hAnsi="宋体" w:cs="新宋体"/>
          <w:kern w:val="0"/>
          <w:sz w:val="18"/>
          <w:szCs w:val="18"/>
        </w:rPr>
        <w:t>备用字段</w:t>
      </w:r>
      <w:r>
        <w:rPr>
          <w:rFonts w:hint="eastAsia" w:ascii="宋体" w:hAnsi="宋体" w:cs="新宋体"/>
          <w:color w:val="0000FF"/>
          <w:kern w:val="0"/>
          <w:sz w:val="18"/>
          <w:szCs w:val="18"/>
        </w:rPr>
        <w:t>&lt;/</w:t>
      </w:r>
      <w:r>
        <w:rPr>
          <w:rFonts w:hint="eastAsia" w:ascii="宋体" w:hAnsi="宋体" w:cs="新宋体"/>
          <w:color w:val="A31515"/>
          <w:kern w:val="0"/>
          <w:sz w:val="18"/>
          <w:szCs w:val="18"/>
        </w:rPr>
        <w:t>BYZD4</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BYZD5</w:t>
      </w:r>
      <w:r>
        <w:rPr>
          <w:rFonts w:hint="eastAsia" w:ascii="宋体" w:hAnsi="宋体" w:cs="新宋体"/>
          <w:color w:val="0000FF"/>
          <w:kern w:val="0"/>
          <w:sz w:val="18"/>
          <w:szCs w:val="18"/>
        </w:rPr>
        <w:t>&gt;</w:t>
      </w:r>
      <w:r>
        <w:rPr>
          <w:rFonts w:hint="eastAsia" w:ascii="宋体" w:hAnsi="宋体" w:cs="新宋体"/>
          <w:kern w:val="0"/>
          <w:sz w:val="18"/>
          <w:szCs w:val="18"/>
        </w:rPr>
        <w:t>备用字段</w:t>
      </w:r>
      <w:r>
        <w:rPr>
          <w:rFonts w:hint="eastAsia" w:ascii="宋体" w:hAnsi="宋体" w:cs="新宋体"/>
          <w:color w:val="0000FF"/>
          <w:kern w:val="0"/>
          <w:sz w:val="18"/>
          <w:szCs w:val="18"/>
        </w:rPr>
        <w:t>&lt;/</w:t>
      </w:r>
      <w:r>
        <w:rPr>
          <w:rFonts w:hint="eastAsia" w:ascii="宋体" w:hAnsi="宋体" w:cs="新宋体"/>
          <w:color w:val="A31515"/>
          <w:kern w:val="0"/>
          <w:sz w:val="18"/>
          <w:szCs w:val="18"/>
        </w:rPr>
        <w:t>BYZD5</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FPKJXX_FPTXX</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FPKJXX_XMXXS</w:t>
      </w:r>
      <w:r>
        <w:rPr>
          <w:rFonts w:hint="eastAsia" w:ascii="宋体" w:hAnsi="宋体" w:cs="新宋体"/>
          <w:color w:val="0000FF"/>
          <w:kern w:val="0"/>
          <w:sz w:val="18"/>
          <w:szCs w:val="18"/>
        </w:rPr>
        <w:t xml:space="preserve"> </w:t>
      </w:r>
      <w:r>
        <w:rPr>
          <w:rFonts w:hint="eastAsia" w:ascii="宋体" w:hAnsi="宋体" w:cs="新宋体"/>
          <w:color w:val="FF0000"/>
          <w:kern w:val="0"/>
          <w:sz w:val="18"/>
          <w:szCs w:val="18"/>
        </w:rPr>
        <w:t>class</w:t>
      </w:r>
      <w:r>
        <w:rPr>
          <w:rFonts w:hint="eastAsia" w:ascii="宋体" w:hAnsi="宋体" w:cs="新宋体"/>
          <w:color w:val="0000FF"/>
          <w:kern w:val="0"/>
          <w:sz w:val="18"/>
          <w:szCs w:val="18"/>
        </w:rPr>
        <w:t>=</w:t>
      </w:r>
      <w:r>
        <w:rPr>
          <w:rFonts w:hint="eastAsia" w:ascii="宋体" w:hAnsi="宋体" w:cs="新宋体"/>
          <w:kern w:val="0"/>
          <w:sz w:val="18"/>
          <w:szCs w:val="18"/>
        </w:rPr>
        <w:t>"</w:t>
      </w:r>
      <w:r>
        <w:rPr>
          <w:rFonts w:hint="eastAsia" w:ascii="宋体" w:hAnsi="宋体" w:cs="新宋体"/>
          <w:color w:val="0000FF"/>
          <w:kern w:val="0"/>
          <w:sz w:val="18"/>
          <w:szCs w:val="18"/>
        </w:rPr>
        <w:t>FPKJXX_XMXX;</w:t>
      </w:r>
      <w:r>
        <w:rPr>
          <w:rFonts w:hint="eastAsia" w:ascii="宋体" w:hAnsi="宋体" w:cs="新宋体"/>
          <w:kern w:val="0"/>
          <w:sz w:val="18"/>
          <w:szCs w:val="18"/>
        </w:rPr>
        <w:t>"</w:t>
      </w:r>
      <w:r>
        <w:rPr>
          <w:rFonts w:hint="eastAsia" w:ascii="宋体" w:hAnsi="宋体" w:cs="新宋体"/>
          <w:color w:val="0000FF"/>
          <w:kern w:val="0"/>
          <w:sz w:val="18"/>
          <w:szCs w:val="18"/>
        </w:rPr>
        <w:t xml:space="preserve"> </w:t>
      </w:r>
      <w:r>
        <w:rPr>
          <w:rFonts w:hint="eastAsia" w:ascii="宋体" w:hAnsi="宋体" w:cs="新宋体"/>
          <w:color w:val="FF0000"/>
          <w:kern w:val="0"/>
          <w:sz w:val="18"/>
          <w:szCs w:val="18"/>
        </w:rPr>
        <w:t>size</w:t>
      </w:r>
      <w:r>
        <w:rPr>
          <w:rFonts w:hint="eastAsia" w:ascii="宋体" w:hAnsi="宋体" w:cs="新宋体"/>
          <w:color w:val="0000FF"/>
          <w:kern w:val="0"/>
          <w:sz w:val="18"/>
          <w:szCs w:val="18"/>
        </w:rPr>
        <w:t>=</w:t>
      </w:r>
      <w:r>
        <w:rPr>
          <w:rFonts w:hint="eastAsia" w:ascii="宋体" w:hAnsi="宋体" w:cs="新宋体"/>
          <w:kern w:val="0"/>
          <w:sz w:val="18"/>
          <w:szCs w:val="18"/>
        </w:rPr>
        <w:t>"</w:t>
      </w:r>
      <w:r>
        <w:rPr>
          <w:rFonts w:hint="eastAsia" w:ascii="宋体" w:hAnsi="宋体" w:cs="新宋体"/>
          <w:color w:val="0000FF"/>
          <w:kern w:val="0"/>
          <w:sz w:val="18"/>
          <w:szCs w:val="18"/>
        </w:rPr>
        <w:t>1</w:t>
      </w:r>
      <w:r>
        <w:rPr>
          <w:rFonts w:hint="eastAsia" w:ascii="宋体" w:hAnsi="宋体" w:cs="新宋体"/>
          <w:kern w:val="0"/>
          <w:sz w:val="18"/>
          <w:szCs w:val="18"/>
        </w:rPr>
        <w:t>"</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FPKJXX_XMXX</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XMMC</w:t>
      </w:r>
      <w:r>
        <w:rPr>
          <w:rFonts w:hint="eastAsia" w:ascii="宋体" w:hAnsi="宋体" w:cs="新宋体"/>
          <w:color w:val="0000FF"/>
          <w:kern w:val="0"/>
          <w:sz w:val="18"/>
          <w:szCs w:val="18"/>
        </w:rPr>
        <w:t>&gt;</w:t>
      </w:r>
      <w:r>
        <w:rPr>
          <w:rFonts w:hint="eastAsia" w:ascii="宋体" w:hAnsi="宋体" w:cs="新宋体"/>
          <w:kern w:val="0"/>
          <w:sz w:val="18"/>
          <w:szCs w:val="18"/>
        </w:rPr>
        <w:t>项目名称</w:t>
      </w:r>
      <w:r>
        <w:rPr>
          <w:rFonts w:hint="eastAsia" w:ascii="宋体" w:hAnsi="宋体" w:cs="新宋体"/>
          <w:color w:val="0000FF"/>
          <w:kern w:val="0"/>
          <w:sz w:val="18"/>
          <w:szCs w:val="18"/>
        </w:rPr>
        <w:t>&lt;/</w:t>
      </w:r>
      <w:r>
        <w:rPr>
          <w:rFonts w:hint="eastAsia" w:ascii="宋体" w:hAnsi="宋体" w:cs="新宋体"/>
          <w:color w:val="A31515"/>
          <w:kern w:val="0"/>
          <w:sz w:val="18"/>
          <w:szCs w:val="18"/>
        </w:rPr>
        <w:t>XMMC</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XMDW</w:t>
      </w:r>
      <w:r>
        <w:rPr>
          <w:rFonts w:hint="eastAsia" w:ascii="宋体" w:hAnsi="宋体" w:cs="新宋体"/>
          <w:color w:val="0000FF"/>
          <w:kern w:val="0"/>
          <w:sz w:val="18"/>
          <w:szCs w:val="18"/>
        </w:rPr>
        <w:t>&gt;</w:t>
      </w:r>
      <w:r>
        <w:rPr>
          <w:rFonts w:hint="eastAsia" w:ascii="宋体" w:hAnsi="宋体" w:cs="新宋体"/>
          <w:kern w:val="0"/>
          <w:sz w:val="18"/>
          <w:szCs w:val="18"/>
        </w:rPr>
        <w:t>项目单位</w:t>
      </w:r>
      <w:r>
        <w:rPr>
          <w:rFonts w:hint="eastAsia" w:ascii="宋体" w:hAnsi="宋体" w:cs="新宋体"/>
          <w:color w:val="0000FF"/>
          <w:kern w:val="0"/>
          <w:sz w:val="18"/>
          <w:szCs w:val="18"/>
        </w:rPr>
        <w:t>&lt;/</w:t>
      </w:r>
      <w:r>
        <w:rPr>
          <w:rFonts w:hint="eastAsia" w:ascii="宋体" w:hAnsi="宋体" w:cs="新宋体"/>
          <w:color w:val="A31515"/>
          <w:kern w:val="0"/>
          <w:sz w:val="18"/>
          <w:szCs w:val="18"/>
        </w:rPr>
        <w:t>XMDW</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GGXH</w:t>
      </w:r>
      <w:r>
        <w:rPr>
          <w:rFonts w:hint="eastAsia" w:ascii="宋体" w:hAnsi="宋体" w:cs="新宋体"/>
          <w:color w:val="0000FF"/>
          <w:kern w:val="0"/>
          <w:sz w:val="18"/>
          <w:szCs w:val="18"/>
        </w:rPr>
        <w:t>&gt;</w:t>
      </w:r>
      <w:r>
        <w:rPr>
          <w:rFonts w:hint="eastAsia" w:ascii="宋体" w:hAnsi="宋体" w:cs="新宋体"/>
          <w:kern w:val="0"/>
          <w:sz w:val="18"/>
          <w:szCs w:val="18"/>
        </w:rPr>
        <w:t>规格型号</w:t>
      </w:r>
      <w:r>
        <w:rPr>
          <w:rFonts w:hint="eastAsia" w:ascii="宋体" w:hAnsi="宋体" w:cs="新宋体"/>
          <w:color w:val="0000FF"/>
          <w:kern w:val="0"/>
          <w:sz w:val="18"/>
          <w:szCs w:val="18"/>
        </w:rPr>
        <w:t>&lt;/</w:t>
      </w:r>
      <w:r>
        <w:rPr>
          <w:rFonts w:hint="eastAsia" w:ascii="宋体" w:hAnsi="宋体" w:cs="新宋体"/>
          <w:color w:val="A31515"/>
          <w:kern w:val="0"/>
          <w:sz w:val="18"/>
          <w:szCs w:val="18"/>
        </w:rPr>
        <w:t>GGXH</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color w:val="0000FF"/>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XMSL</w:t>
      </w:r>
      <w:r>
        <w:rPr>
          <w:rFonts w:hint="eastAsia" w:ascii="宋体" w:hAnsi="宋体" w:cs="新宋体"/>
          <w:color w:val="0000FF"/>
          <w:kern w:val="0"/>
          <w:sz w:val="18"/>
          <w:szCs w:val="18"/>
        </w:rPr>
        <w:t>&gt;</w:t>
      </w:r>
      <w:r>
        <w:rPr>
          <w:rFonts w:hint="eastAsia" w:ascii="宋体" w:hAnsi="宋体" w:cs="新宋体"/>
          <w:kern w:val="0"/>
          <w:sz w:val="18"/>
          <w:szCs w:val="18"/>
        </w:rPr>
        <w:t>项目数量</w:t>
      </w:r>
      <w:r>
        <w:rPr>
          <w:rFonts w:hint="eastAsia" w:ascii="宋体" w:hAnsi="宋体" w:cs="新宋体"/>
          <w:color w:val="0000FF"/>
          <w:kern w:val="0"/>
          <w:sz w:val="18"/>
          <w:szCs w:val="18"/>
        </w:rPr>
        <w:t>&lt;/</w:t>
      </w:r>
      <w:r>
        <w:rPr>
          <w:rFonts w:hint="eastAsia" w:ascii="宋体" w:hAnsi="宋体" w:cs="新宋体"/>
          <w:color w:val="A31515"/>
          <w:kern w:val="0"/>
          <w:sz w:val="18"/>
          <w:szCs w:val="18"/>
        </w:rPr>
        <w:t>XMSL</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HSBZ</w:t>
      </w:r>
      <w:r>
        <w:rPr>
          <w:rFonts w:hint="eastAsia" w:ascii="宋体" w:hAnsi="宋体" w:cs="新宋体"/>
          <w:color w:val="0000FF"/>
          <w:kern w:val="0"/>
          <w:sz w:val="18"/>
          <w:szCs w:val="18"/>
        </w:rPr>
        <w:t>&gt;</w:t>
      </w:r>
      <w:r>
        <w:rPr>
          <w:rFonts w:hint="eastAsia" w:ascii="宋体" w:hAnsi="宋体" w:cs="新宋体"/>
          <w:kern w:val="0"/>
          <w:sz w:val="18"/>
          <w:szCs w:val="18"/>
        </w:rPr>
        <w:t>含税标志</w:t>
      </w:r>
      <w:r>
        <w:rPr>
          <w:rFonts w:hint="eastAsia" w:ascii="宋体" w:hAnsi="宋体" w:cs="新宋体"/>
          <w:color w:val="0000FF"/>
          <w:kern w:val="0"/>
          <w:sz w:val="18"/>
          <w:szCs w:val="18"/>
        </w:rPr>
        <w:t>&lt;/</w:t>
      </w:r>
      <w:r>
        <w:rPr>
          <w:rFonts w:hint="eastAsia" w:ascii="宋体" w:hAnsi="宋体" w:cs="新宋体"/>
          <w:color w:val="A31515"/>
          <w:kern w:val="0"/>
          <w:sz w:val="18"/>
          <w:szCs w:val="18"/>
        </w:rPr>
        <w:t>HSBZ</w:t>
      </w:r>
      <w:r>
        <w:rPr>
          <w:rFonts w:hint="eastAsia" w:ascii="宋体" w:hAnsi="宋体" w:cs="新宋体"/>
          <w:color w:val="0000FF"/>
          <w:kern w:val="0"/>
          <w:sz w:val="18"/>
          <w:szCs w:val="18"/>
        </w:rPr>
        <w:t xml:space="preserve">&gt;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XMDJ</w:t>
      </w:r>
      <w:r>
        <w:rPr>
          <w:rFonts w:hint="eastAsia" w:ascii="宋体" w:hAnsi="宋体" w:cs="新宋体"/>
          <w:color w:val="0000FF"/>
          <w:kern w:val="0"/>
          <w:sz w:val="18"/>
          <w:szCs w:val="18"/>
        </w:rPr>
        <w:t>&gt;</w:t>
      </w:r>
      <w:r>
        <w:rPr>
          <w:rFonts w:hint="eastAsia" w:ascii="宋体" w:hAnsi="宋体" w:cs="新宋体"/>
          <w:kern w:val="0"/>
          <w:sz w:val="18"/>
          <w:szCs w:val="18"/>
        </w:rPr>
        <w:t>项目单价</w:t>
      </w:r>
      <w:r>
        <w:rPr>
          <w:rFonts w:hint="eastAsia" w:ascii="宋体" w:hAnsi="宋体" w:cs="新宋体"/>
          <w:color w:val="0000FF"/>
          <w:kern w:val="0"/>
          <w:sz w:val="18"/>
          <w:szCs w:val="18"/>
        </w:rPr>
        <w:t>&lt;/</w:t>
      </w:r>
      <w:r>
        <w:rPr>
          <w:rFonts w:hint="eastAsia" w:ascii="宋体" w:hAnsi="宋体" w:cs="新宋体"/>
          <w:color w:val="A31515"/>
          <w:kern w:val="0"/>
          <w:sz w:val="18"/>
          <w:szCs w:val="18"/>
        </w:rPr>
        <w:t>XMDJ</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XMBM</w:t>
      </w:r>
      <w:r>
        <w:rPr>
          <w:rFonts w:hint="eastAsia" w:ascii="宋体" w:hAnsi="宋体" w:cs="新宋体"/>
          <w:color w:val="0000FF"/>
          <w:kern w:val="0"/>
          <w:sz w:val="18"/>
          <w:szCs w:val="18"/>
        </w:rPr>
        <w:t>&gt;</w:t>
      </w:r>
      <w:r>
        <w:rPr>
          <w:rFonts w:hint="eastAsia" w:ascii="宋体" w:hAnsi="宋体" w:cs="新宋体"/>
          <w:kern w:val="0"/>
          <w:sz w:val="18"/>
          <w:szCs w:val="18"/>
        </w:rPr>
        <w:t>项目编码</w:t>
      </w:r>
      <w:r>
        <w:rPr>
          <w:rFonts w:hint="eastAsia" w:ascii="宋体" w:hAnsi="宋体" w:cs="新宋体"/>
          <w:color w:val="0000FF"/>
          <w:kern w:val="0"/>
          <w:sz w:val="18"/>
          <w:szCs w:val="18"/>
        </w:rPr>
        <w:t>&lt;/</w:t>
      </w:r>
      <w:r>
        <w:rPr>
          <w:rFonts w:hint="eastAsia" w:ascii="宋体" w:hAnsi="宋体" w:cs="新宋体"/>
          <w:color w:val="A31515"/>
          <w:kern w:val="0"/>
          <w:sz w:val="18"/>
          <w:szCs w:val="18"/>
        </w:rPr>
        <w:t>XMBM</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color w:val="0000FF"/>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XMJE</w:t>
      </w:r>
      <w:r>
        <w:rPr>
          <w:rFonts w:hint="eastAsia" w:ascii="宋体" w:hAnsi="宋体" w:cs="新宋体"/>
          <w:color w:val="0000FF"/>
          <w:kern w:val="0"/>
          <w:sz w:val="18"/>
          <w:szCs w:val="18"/>
        </w:rPr>
        <w:t>&gt;</w:t>
      </w:r>
      <w:r>
        <w:rPr>
          <w:rFonts w:hint="eastAsia" w:ascii="宋体" w:hAnsi="宋体" w:cs="新宋体"/>
          <w:kern w:val="0"/>
          <w:sz w:val="18"/>
          <w:szCs w:val="18"/>
        </w:rPr>
        <w:t>项目金额</w:t>
      </w:r>
      <w:r>
        <w:rPr>
          <w:rFonts w:hint="eastAsia" w:ascii="宋体" w:hAnsi="宋体" w:cs="新宋体"/>
          <w:color w:val="0000FF"/>
          <w:kern w:val="0"/>
          <w:sz w:val="18"/>
          <w:szCs w:val="18"/>
        </w:rPr>
        <w:t>&lt;/</w:t>
      </w:r>
      <w:r>
        <w:rPr>
          <w:rFonts w:hint="eastAsia" w:ascii="宋体" w:hAnsi="宋体" w:cs="新宋体"/>
          <w:color w:val="A31515"/>
          <w:kern w:val="0"/>
          <w:sz w:val="18"/>
          <w:szCs w:val="18"/>
        </w:rPr>
        <w:t>XMJE</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color w:val="0000FF"/>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SL</w:t>
      </w:r>
      <w:r>
        <w:rPr>
          <w:rFonts w:hint="eastAsia" w:ascii="宋体" w:hAnsi="宋体" w:cs="新宋体"/>
          <w:color w:val="0000FF"/>
          <w:kern w:val="0"/>
          <w:sz w:val="18"/>
          <w:szCs w:val="18"/>
        </w:rPr>
        <w:t>&gt;</w:t>
      </w:r>
      <w:r>
        <w:rPr>
          <w:rFonts w:hint="eastAsia" w:ascii="宋体" w:hAnsi="宋体" w:cs="新宋体"/>
          <w:kern w:val="0"/>
          <w:sz w:val="18"/>
          <w:szCs w:val="18"/>
        </w:rPr>
        <w:t>税率</w:t>
      </w:r>
      <w:r>
        <w:rPr>
          <w:rFonts w:hint="eastAsia" w:ascii="宋体" w:hAnsi="宋体" w:cs="新宋体"/>
          <w:color w:val="0000FF"/>
          <w:kern w:val="0"/>
          <w:sz w:val="18"/>
          <w:szCs w:val="18"/>
        </w:rPr>
        <w:t>&lt;/</w:t>
      </w:r>
      <w:r>
        <w:rPr>
          <w:rFonts w:hint="eastAsia" w:ascii="宋体" w:hAnsi="宋体" w:cs="新宋体"/>
          <w:color w:val="A31515"/>
          <w:kern w:val="0"/>
          <w:sz w:val="18"/>
          <w:szCs w:val="18"/>
        </w:rPr>
        <w:t>SL</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SE&gt;</w:t>
      </w:r>
      <w:r>
        <w:rPr>
          <w:rFonts w:hint="eastAsia" w:ascii="宋体" w:hAnsi="宋体" w:cs="新宋体"/>
          <w:kern w:val="0"/>
          <w:sz w:val="18"/>
          <w:szCs w:val="18"/>
        </w:rPr>
        <w:t>税额</w:t>
      </w:r>
      <w:r>
        <w:rPr>
          <w:rFonts w:hint="eastAsia" w:ascii="宋体" w:hAnsi="宋体" w:cs="新宋体"/>
          <w:color w:val="0000FF"/>
          <w:kern w:val="0"/>
          <w:sz w:val="18"/>
          <w:szCs w:val="18"/>
        </w:rPr>
        <w:t>&lt;/</w:t>
      </w:r>
      <w:r>
        <w:rPr>
          <w:rFonts w:hint="eastAsia" w:ascii="宋体" w:hAnsi="宋体" w:cs="新宋体"/>
          <w:color w:val="A31515"/>
          <w:kern w:val="0"/>
          <w:sz w:val="18"/>
          <w:szCs w:val="18"/>
        </w:rPr>
        <w:t>SE</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BYZD1</w:t>
      </w:r>
      <w:r>
        <w:rPr>
          <w:rFonts w:hint="eastAsia" w:ascii="宋体" w:hAnsi="宋体" w:cs="新宋体"/>
          <w:color w:val="0000FF"/>
          <w:kern w:val="0"/>
          <w:sz w:val="18"/>
          <w:szCs w:val="18"/>
        </w:rPr>
        <w:t>&gt;</w:t>
      </w:r>
      <w:r>
        <w:rPr>
          <w:rFonts w:hint="eastAsia" w:ascii="宋体" w:hAnsi="宋体" w:cs="新宋体"/>
          <w:kern w:val="0"/>
          <w:sz w:val="18"/>
          <w:szCs w:val="18"/>
        </w:rPr>
        <w:t>备用字段</w:t>
      </w:r>
      <w:r>
        <w:rPr>
          <w:rFonts w:hint="eastAsia" w:ascii="宋体" w:hAnsi="宋体" w:cs="新宋体"/>
          <w:color w:val="0000FF"/>
          <w:kern w:val="0"/>
          <w:sz w:val="18"/>
          <w:szCs w:val="18"/>
        </w:rPr>
        <w:t>&lt;/</w:t>
      </w:r>
      <w:r>
        <w:rPr>
          <w:rFonts w:hint="eastAsia" w:ascii="宋体" w:hAnsi="宋体" w:cs="新宋体"/>
          <w:color w:val="A31515"/>
          <w:kern w:val="0"/>
          <w:sz w:val="18"/>
          <w:szCs w:val="18"/>
        </w:rPr>
        <w:t>BYZD1</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BYZD2</w:t>
      </w:r>
      <w:r>
        <w:rPr>
          <w:rFonts w:hint="eastAsia" w:ascii="宋体" w:hAnsi="宋体" w:cs="新宋体"/>
          <w:color w:val="0000FF"/>
          <w:kern w:val="0"/>
          <w:sz w:val="18"/>
          <w:szCs w:val="18"/>
        </w:rPr>
        <w:t>&gt;</w:t>
      </w:r>
      <w:r>
        <w:rPr>
          <w:rFonts w:hint="eastAsia" w:ascii="宋体" w:hAnsi="宋体" w:cs="新宋体"/>
          <w:kern w:val="0"/>
          <w:sz w:val="18"/>
          <w:szCs w:val="18"/>
        </w:rPr>
        <w:t>备用字段</w:t>
      </w:r>
      <w:r>
        <w:rPr>
          <w:rFonts w:hint="eastAsia" w:ascii="宋体" w:hAnsi="宋体" w:cs="新宋体"/>
          <w:color w:val="0000FF"/>
          <w:kern w:val="0"/>
          <w:sz w:val="18"/>
          <w:szCs w:val="18"/>
        </w:rPr>
        <w:t>&lt;/</w:t>
      </w:r>
      <w:r>
        <w:rPr>
          <w:rFonts w:hint="eastAsia" w:ascii="宋体" w:hAnsi="宋体" w:cs="新宋体"/>
          <w:color w:val="A31515"/>
          <w:kern w:val="0"/>
          <w:sz w:val="18"/>
          <w:szCs w:val="18"/>
        </w:rPr>
        <w:t>BYZD2</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BYZD3</w:t>
      </w:r>
      <w:r>
        <w:rPr>
          <w:rFonts w:hint="eastAsia" w:ascii="宋体" w:hAnsi="宋体" w:cs="新宋体"/>
          <w:color w:val="0000FF"/>
          <w:kern w:val="0"/>
          <w:sz w:val="18"/>
          <w:szCs w:val="18"/>
        </w:rPr>
        <w:t>&gt;</w:t>
      </w:r>
      <w:r>
        <w:rPr>
          <w:rFonts w:hint="eastAsia" w:ascii="宋体" w:hAnsi="宋体" w:cs="新宋体"/>
          <w:kern w:val="0"/>
          <w:sz w:val="18"/>
          <w:szCs w:val="18"/>
        </w:rPr>
        <w:t>备用字段</w:t>
      </w:r>
      <w:r>
        <w:rPr>
          <w:rFonts w:hint="eastAsia" w:ascii="宋体" w:hAnsi="宋体" w:cs="新宋体"/>
          <w:color w:val="0000FF"/>
          <w:kern w:val="0"/>
          <w:sz w:val="18"/>
          <w:szCs w:val="18"/>
        </w:rPr>
        <w:t>&lt;/</w:t>
      </w:r>
      <w:r>
        <w:rPr>
          <w:rFonts w:hint="eastAsia" w:ascii="宋体" w:hAnsi="宋体" w:cs="新宋体"/>
          <w:color w:val="A31515"/>
          <w:kern w:val="0"/>
          <w:sz w:val="18"/>
          <w:szCs w:val="18"/>
        </w:rPr>
        <w:t>BYZD3</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BYZD4</w:t>
      </w:r>
      <w:r>
        <w:rPr>
          <w:rFonts w:hint="eastAsia" w:ascii="宋体" w:hAnsi="宋体" w:cs="新宋体"/>
          <w:color w:val="0000FF"/>
          <w:kern w:val="0"/>
          <w:sz w:val="18"/>
          <w:szCs w:val="18"/>
        </w:rPr>
        <w:t>&gt;</w:t>
      </w:r>
      <w:r>
        <w:rPr>
          <w:rFonts w:hint="eastAsia" w:ascii="宋体" w:hAnsi="宋体" w:cs="新宋体"/>
          <w:kern w:val="0"/>
          <w:sz w:val="18"/>
          <w:szCs w:val="18"/>
        </w:rPr>
        <w:t>备用字段</w:t>
      </w:r>
      <w:r>
        <w:rPr>
          <w:rFonts w:hint="eastAsia" w:ascii="宋体" w:hAnsi="宋体" w:cs="新宋体"/>
          <w:color w:val="0000FF"/>
          <w:kern w:val="0"/>
          <w:sz w:val="18"/>
          <w:szCs w:val="18"/>
        </w:rPr>
        <w:t>&lt;/</w:t>
      </w:r>
      <w:r>
        <w:rPr>
          <w:rFonts w:hint="eastAsia" w:ascii="宋体" w:hAnsi="宋体" w:cs="新宋体"/>
          <w:color w:val="A31515"/>
          <w:kern w:val="0"/>
          <w:sz w:val="18"/>
          <w:szCs w:val="18"/>
        </w:rPr>
        <w:t>BYZD4</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BYZD5</w:t>
      </w:r>
      <w:r>
        <w:rPr>
          <w:rFonts w:hint="eastAsia" w:ascii="宋体" w:hAnsi="宋体" w:cs="新宋体"/>
          <w:color w:val="0000FF"/>
          <w:kern w:val="0"/>
          <w:sz w:val="18"/>
          <w:szCs w:val="18"/>
        </w:rPr>
        <w:t>&gt;</w:t>
      </w:r>
      <w:r>
        <w:rPr>
          <w:rFonts w:hint="eastAsia" w:ascii="宋体" w:hAnsi="宋体" w:cs="新宋体"/>
          <w:kern w:val="0"/>
          <w:sz w:val="18"/>
          <w:szCs w:val="18"/>
        </w:rPr>
        <w:t>备用字段</w:t>
      </w:r>
      <w:r>
        <w:rPr>
          <w:rFonts w:hint="eastAsia" w:ascii="宋体" w:hAnsi="宋体" w:cs="新宋体"/>
          <w:color w:val="0000FF"/>
          <w:kern w:val="0"/>
          <w:sz w:val="18"/>
          <w:szCs w:val="18"/>
        </w:rPr>
        <w:t>&lt;/</w:t>
      </w:r>
      <w:r>
        <w:rPr>
          <w:rFonts w:hint="eastAsia" w:ascii="宋体" w:hAnsi="宋体" w:cs="新宋体"/>
          <w:color w:val="A31515"/>
          <w:kern w:val="0"/>
          <w:sz w:val="18"/>
          <w:szCs w:val="18"/>
        </w:rPr>
        <w:t>BYZD5</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FPKJXX_XMXX</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FPKJXX_XMXXS</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FPKJXX_DDXX</w:t>
      </w:r>
      <w:r>
        <w:rPr>
          <w:rFonts w:hint="eastAsia" w:ascii="宋体" w:hAnsi="宋体" w:cs="新宋体"/>
          <w:color w:val="0000FF"/>
          <w:kern w:val="0"/>
          <w:sz w:val="18"/>
          <w:szCs w:val="18"/>
        </w:rPr>
        <w:t xml:space="preserve"> </w:t>
      </w:r>
      <w:r>
        <w:rPr>
          <w:rFonts w:hint="eastAsia" w:ascii="宋体" w:hAnsi="宋体" w:cs="新宋体"/>
          <w:color w:val="FF0000"/>
          <w:kern w:val="0"/>
          <w:sz w:val="18"/>
          <w:szCs w:val="18"/>
        </w:rPr>
        <w:t>class</w:t>
      </w:r>
      <w:r>
        <w:rPr>
          <w:rFonts w:hint="eastAsia" w:ascii="宋体" w:hAnsi="宋体" w:cs="新宋体"/>
          <w:color w:val="0000FF"/>
          <w:kern w:val="0"/>
          <w:sz w:val="18"/>
          <w:szCs w:val="18"/>
        </w:rPr>
        <w:t>=</w:t>
      </w:r>
      <w:r>
        <w:rPr>
          <w:rFonts w:hint="eastAsia" w:ascii="宋体" w:hAnsi="宋体" w:cs="新宋体"/>
          <w:kern w:val="0"/>
          <w:sz w:val="18"/>
          <w:szCs w:val="18"/>
        </w:rPr>
        <w:t>"</w:t>
      </w:r>
      <w:r>
        <w:rPr>
          <w:rFonts w:hint="eastAsia" w:ascii="宋体" w:hAnsi="宋体" w:cs="新宋体"/>
          <w:color w:val="0000FF"/>
          <w:kern w:val="0"/>
          <w:sz w:val="18"/>
          <w:szCs w:val="18"/>
        </w:rPr>
        <w:t>FPKJXX_DDXX</w:t>
      </w:r>
      <w:r>
        <w:rPr>
          <w:rFonts w:hint="eastAsia" w:ascii="宋体" w:hAnsi="宋体" w:cs="新宋体"/>
          <w:kern w:val="0"/>
          <w:sz w:val="18"/>
          <w:szCs w:val="18"/>
        </w:rPr>
        <w:t>"</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DDH</w:t>
      </w:r>
      <w:r>
        <w:rPr>
          <w:rFonts w:hint="eastAsia" w:ascii="宋体" w:hAnsi="宋体" w:cs="新宋体"/>
          <w:color w:val="0000FF"/>
          <w:kern w:val="0"/>
          <w:sz w:val="18"/>
          <w:szCs w:val="18"/>
        </w:rPr>
        <w:t>&gt;</w:t>
      </w:r>
      <w:r>
        <w:rPr>
          <w:rFonts w:hint="eastAsia" w:ascii="宋体" w:hAnsi="宋体" w:cs="新宋体"/>
          <w:kern w:val="0"/>
          <w:sz w:val="18"/>
          <w:szCs w:val="18"/>
        </w:rPr>
        <w:t>订单号</w:t>
      </w:r>
      <w:r>
        <w:rPr>
          <w:rFonts w:hint="eastAsia" w:ascii="宋体" w:hAnsi="宋体" w:cs="新宋体"/>
          <w:color w:val="0000FF"/>
          <w:kern w:val="0"/>
          <w:sz w:val="18"/>
          <w:szCs w:val="18"/>
        </w:rPr>
        <w:t>&lt;/</w:t>
      </w:r>
      <w:r>
        <w:rPr>
          <w:rFonts w:hint="eastAsia" w:ascii="宋体" w:hAnsi="宋体" w:cs="新宋体"/>
          <w:color w:val="A31515"/>
          <w:kern w:val="0"/>
          <w:sz w:val="18"/>
          <w:szCs w:val="18"/>
        </w:rPr>
        <w:t>DDH</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THDH</w:t>
      </w:r>
      <w:r>
        <w:rPr>
          <w:rFonts w:hint="eastAsia" w:ascii="宋体" w:hAnsi="宋体" w:cs="新宋体"/>
          <w:color w:val="0000FF"/>
          <w:kern w:val="0"/>
          <w:sz w:val="18"/>
          <w:szCs w:val="18"/>
        </w:rPr>
        <w:t>&gt;</w:t>
      </w:r>
      <w:r>
        <w:rPr>
          <w:rFonts w:hint="eastAsia" w:ascii="宋体" w:hAnsi="宋体" w:cs="新宋体"/>
          <w:kern w:val="0"/>
          <w:sz w:val="18"/>
          <w:szCs w:val="18"/>
        </w:rPr>
        <w:t>退货单号</w:t>
      </w:r>
      <w:r>
        <w:rPr>
          <w:rFonts w:hint="eastAsia" w:ascii="宋体" w:hAnsi="宋体" w:cs="新宋体"/>
          <w:color w:val="0000FF"/>
          <w:kern w:val="0"/>
          <w:sz w:val="18"/>
          <w:szCs w:val="18"/>
        </w:rPr>
        <w:t>&lt;/</w:t>
      </w:r>
      <w:r>
        <w:rPr>
          <w:rFonts w:hint="eastAsia" w:ascii="宋体" w:hAnsi="宋体" w:cs="新宋体"/>
          <w:color w:val="A31515"/>
          <w:kern w:val="0"/>
          <w:sz w:val="18"/>
          <w:szCs w:val="18"/>
        </w:rPr>
        <w:t>THDH</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DDDATE</w:t>
      </w:r>
      <w:r>
        <w:rPr>
          <w:rFonts w:hint="eastAsia" w:ascii="宋体" w:hAnsi="宋体" w:cs="新宋体"/>
          <w:color w:val="0000FF"/>
          <w:kern w:val="0"/>
          <w:sz w:val="18"/>
          <w:szCs w:val="18"/>
        </w:rPr>
        <w:t>&gt;</w:t>
      </w:r>
      <w:r>
        <w:rPr>
          <w:rFonts w:hint="eastAsia" w:ascii="宋体" w:hAnsi="宋体" w:cs="新宋体"/>
          <w:kern w:val="0"/>
          <w:sz w:val="18"/>
          <w:szCs w:val="18"/>
        </w:rPr>
        <w:t>订单时间</w:t>
      </w:r>
      <w:r>
        <w:rPr>
          <w:rFonts w:hint="eastAsia" w:ascii="宋体" w:hAnsi="宋体" w:cs="新宋体"/>
          <w:color w:val="0000FF"/>
          <w:kern w:val="0"/>
          <w:sz w:val="18"/>
          <w:szCs w:val="18"/>
        </w:rPr>
        <w:t>&lt;/</w:t>
      </w:r>
      <w:r>
        <w:rPr>
          <w:rFonts w:hint="eastAsia" w:ascii="宋体" w:hAnsi="宋体" w:cs="新宋体"/>
          <w:color w:val="A31515"/>
          <w:kern w:val="0"/>
          <w:sz w:val="18"/>
          <w:szCs w:val="18"/>
        </w:rPr>
        <w:t>DDDATE</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FPKJXX_DDXX</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FPKJXX_DDMXXXS</w:t>
      </w:r>
      <w:r>
        <w:rPr>
          <w:rFonts w:hint="eastAsia" w:ascii="宋体" w:hAnsi="宋体" w:cs="新宋体"/>
          <w:color w:val="0000FF"/>
          <w:kern w:val="0"/>
          <w:sz w:val="18"/>
          <w:szCs w:val="18"/>
        </w:rPr>
        <w:t xml:space="preserve"> </w:t>
      </w:r>
      <w:r>
        <w:rPr>
          <w:rFonts w:hint="eastAsia" w:ascii="宋体" w:hAnsi="宋体" w:cs="新宋体"/>
          <w:color w:val="FF0000"/>
          <w:kern w:val="0"/>
          <w:sz w:val="18"/>
          <w:szCs w:val="18"/>
        </w:rPr>
        <w:t>class</w:t>
      </w:r>
      <w:r>
        <w:rPr>
          <w:rFonts w:hint="eastAsia" w:ascii="宋体" w:hAnsi="宋体" w:cs="新宋体"/>
          <w:color w:val="0000FF"/>
          <w:kern w:val="0"/>
          <w:sz w:val="18"/>
          <w:szCs w:val="18"/>
        </w:rPr>
        <w:t>=</w:t>
      </w:r>
      <w:r>
        <w:rPr>
          <w:rFonts w:hint="eastAsia" w:ascii="宋体" w:hAnsi="宋体" w:cs="新宋体"/>
          <w:kern w:val="0"/>
          <w:sz w:val="18"/>
          <w:szCs w:val="18"/>
        </w:rPr>
        <w:t>"</w:t>
      </w:r>
      <w:r>
        <w:rPr>
          <w:rFonts w:hint="eastAsia" w:ascii="宋体" w:hAnsi="宋体" w:cs="新宋体"/>
          <w:color w:val="0000FF"/>
          <w:kern w:val="0"/>
          <w:sz w:val="18"/>
          <w:szCs w:val="18"/>
        </w:rPr>
        <w:t>FPKJXX_DDMXXX;</w:t>
      </w:r>
      <w:r>
        <w:rPr>
          <w:rFonts w:hint="eastAsia" w:ascii="宋体" w:hAnsi="宋体" w:cs="新宋体"/>
          <w:kern w:val="0"/>
          <w:sz w:val="18"/>
          <w:szCs w:val="18"/>
        </w:rPr>
        <w:t>"</w:t>
      </w:r>
      <w:r>
        <w:rPr>
          <w:rFonts w:hint="eastAsia" w:ascii="宋体" w:hAnsi="宋体" w:cs="新宋体"/>
          <w:color w:val="0000FF"/>
          <w:kern w:val="0"/>
          <w:sz w:val="18"/>
          <w:szCs w:val="18"/>
        </w:rPr>
        <w:t xml:space="preserve"> </w:t>
      </w:r>
      <w:r>
        <w:rPr>
          <w:rFonts w:hint="eastAsia" w:ascii="宋体" w:hAnsi="宋体" w:cs="新宋体"/>
          <w:color w:val="FF0000"/>
          <w:kern w:val="0"/>
          <w:sz w:val="18"/>
          <w:szCs w:val="18"/>
        </w:rPr>
        <w:t>size</w:t>
      </w:r>
      <w:r>
        <w:rPr>
          <w:rFonts w:hint="eastAsia" w:ascii="宋体" w:hAnsi="宋体" w:cs="新宋体"/>
          <w:color w:val="0000FF"/>
          <w:kern w:val="0"/>
          <w:sz w:val="18"/>
          <w:szCs w:val="18"/>
        </w:rPr>
        <w:t>=</w:t>
      </w:r>
      <w:r>
        <w:rPr>
          <w:rFonts w:hint="eastAsia" w:ascii="宋体" w:hAnsi="宋体" w:cs="新宋体"/>
          <w:kern w:val="0"/>
          <w:sz w:val="18"/>
          <w:szCs w:val="18"/>
        </w:rPr>
        <w:t>"</w:t>
      </w:r>
      <w:r>
        <w:rPr>
          <w:rFonts w:hint="eastAsia" w:ascii="宋体" w:hAnsi="宋体" w:cs="新宋体"/>
          <w:color w:val="0000FF"/>
          <w:kern w:val="0"/>
          <w:sz w:val="18"/>
          <w:szCs w:val="18"/>
        </w:rPr>
        <w:t>1</w:t>
      </w:r>
      <w:r>
        <w:rPr>
          <w:rFonts w:hint="eastAsia" w:ascii="宋体" w:hAnsi="宋体" w:cs="新宋体"/>
          <w:kern w:val="0"/>
          <w:sz w:val="18"/>
          <w:szCs w:val="18"/>
        </w:rPr>
        <w:t>"</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FPKJXX_DDMXXX</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DDMC</w:t>
      </w:r>
      <w:r>
        <w:rPr>
          <w:rFonts w:hint="eastAsia" w:ascii="宋体" w:hAnsi="宋体" w:cs="新宋体"/>
          <w:color w:val="0000FF"/>
          <w:kern w:val="0"/>
          <w:sz w:val="18"/>
          <w:szCs w:val="18"/>
        </w:rPr>
        <w:t>&gt;</w:t>
      </w:r>
      <w:r>
        <w:rPr>
          <w:rFonts w:hint="eastAsia" w:ascii="宋体" w:hAnsi="宋体" w:cs="新宋体"/>
          <w:kern w:val="0"/>
          <w:sz w:val="18"/>
          <w:szCs w:val="18"/>
        </w:rPr>
        <w:t>订单名称</w:t>
      </w:r>
      <w:r>
        <w:rPr>
          <w:rFonts w:hint="eastAsia" w:ascii="宋体" w:hAnsi="宋体" w:cs="新宋体"/>
          <w:color w:val="0000FF"/>
          <w:kern w:val="0"/>
          <w:sz w:val="18"/>
          <w:szCs w:val="18"/>
        </w:rPr>
        <w:t>&lt;/</w:t>
      </w:r>
      <w:r>
        <w:rPr>
          <w:rFonts w:hint="eastAsia" w:ascii="宋体" w:hAnsi="宋体" w:cs="新宋体"/>
          <w:color w:val="A31515"/>
          <w:kern w:val="0"/>
          <w:sz w:val="18"/>
          <w:szCs w:val="18"/>
        </w:rPr>
        <w:t>DDMC</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DW</w:t>
      </w:r>
      <w:r>
        <w:rPr>
          <w:rFonts w:hint="eastAsia" w:ascii="宋体" w:hAnsi="宋体" w:cs="新宋体"/>
          <w:color w:val="0000FF"/>
          <w:kern w:val="0"/>
          <w:sz w:val="18"/>
          <w:szCs w:val="18"/>
        </w:rPr>
        <w:t>&gt;</w:t>
      </w:r>
      <w:r>
        <w:rPr>
          <w:rFonts w:hint="eastAsia" w:ascii="宋体" w:hAnsi="宋体" w:cs="新宋体"/>
          <w:kern w:val="0"/>
          <w:sz w:val="18"/>
          <w:szCs w:val="18"/>
        </w:rPr>
        <w:t>单位</w:t>
      </w:r>
      <w:r>
        <w:rPr>
          <w:rFonts w:hint="eastAsia" w:ascii="宋体" w:hAnsi="宋体" w:cs="新宋体"/>
          <w:color w:val="0000FF"/>
          <w:kern w:val="0"/>
          <w:sz w:val="18"/>
          <w:szCs w:val="18"/>
        </w:rPr>
        <w:t>&lt;/</w:t>
      </w:r>
      <w:r>
        <w:rPr>
          <w:rFonts w:hint="eastAsia" w:ascii="宋体" w:hAnsi="宋体" w:cs="新宋体"/>
          <w:color w:val="A31515"/>
          <w:kern w:val="0"/>
          <w:sz w:val="18"/>
          <w:szCs w:val="18"/>
        </w:rPr>
        <w:t>DW</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GGXH</w:t>
      </w:r>
      <w:r>
        <w:rPr>
          <w:rFonts w:hint="eastAsia" w:ascii="宋体" w:hAnsi="宋体" w:cs="新宋体"/>
          <w:color w:val="0000FF"/>
          <w:kern w:val="0"/>
          <w:sz w:val="18"/>
          <w:szCs w:val="18"/>
        </w:rPr>
        <w:t>&gt;</w:t>
      </w:r>
      <w:r>
        <w:rPr>
          <w:rFonts w:hint="eastAsia" w:ascii="宋体" w:hAnsi="宋体" w:cs="新宋体"/>
          <w:kern w:val="0"/>
          <w:sz w:val="18"/>
          <w:szCs w:val="18"/>
        </w:rPr>
        <w:t>规格型号</w:t>
      </w:r>
      <w:r>
        <w:rPr>
          <w:rFonts w:hint="eastAsia" w:ascii="宋体" w:hAnsi="宋体" w:cs="新宋体"/>
          <w:color w:val="0000FF"/>
          <w:kern w:val="0"/>
          <w:sz w:val="18"/>
          <w:szCs w:val="18"/>
        </w:rPr>
        <w:t>&lt;/</w:t>
      </w:r>
      <w:r>
        <w:rPr>
          <w:rFonts w:hint="eastAsia" w:ascii="宋体" w:hAnsi="宋体" w:cs="新宋体"/>
          <w:color w:val="A31515"/>
          <w:kern w:val="0"/>
          <w:sz w:val="18"/>
          <w:szCs w:val="18"/>
        </w:rPr>
        <w:t>GGXH</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SL</w:t>
      </w:r>
      <w:r>
        <w:rPr>
          <w:rFonts w:hint="eastAsia" w:ascii="宋体" w:hAnsi="宋体" w:cs="新宋体"/>
          <w:color w:val="0000FF"/>
          <w:kern w:val="0"/>
          <w:sz w:val="18"/>
          <w:szCs w:val="18"/>
        </w:rPr>
        <w:t>&gt;</w:t>
      </w:r>
      <w:r>
        <w:rPr>
          <w:rFonts w:hint="eastAsia" w:ascii="宋体" w:hAnsi="宋体" w:cs="新宋体"/>
          <w:kern w:val="0"/>
          <w:sz w:val="18"/>
          <w:szCs w:val="18"/>
        </w:rPr>
        <w:t>数量</w:t>
      </w:r>
      <w:r>
        <w:rPr>
          <w:rFonts w:hint="eastAsia" w:ascii="宋体" w:hAnsi="宋体" w:cs="新宋体"/>
          <w:color w:val="0000FF"/>
          <w:kern w:val="0"/>
          <w:sz w:val="18"/>
          <w:szCs w:val="18"/>
        </w:rPr>
        <w:t>&lt;/</w:t>
      </w:r>
      <w:r>
        <w:rPr>
          <w:rFonts w:hint="eastAsia" w:ascii="宋体" w:hAnsi="宋体" w:cs="新宋体"/>
          <w:color w:val="A31515"/>
          <w:kern w:val="0"/>
          <w:sz w:val="18"/>
          <w:szCs w:val="18"/>
        </w:rPr>
        <w:t>SL</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DJ</w:t>
      </w:r>
      <w:r>
        <w:rPr>
          <w:rFonts w:hint="eastAsia" w:ascii="宋体" w:hAnsi="宋体" w:cs="新宋体"/>
          <w:color w:val="0000FF"/>
          <w:kern w:val="0"/>
          <w:sz w:val="18"/>
          <w:szCs w:val="18"/>
        </w:rPr>
        <w:t>&gt;</w:t>
      </w:r>
      <w:r>
        <w:rPr>
          <w:rFonts w:hint="eastAsia" w:ascii="宋体" w:hAnsi="宋体" w:cs="新宋体"/>
          <w:kern w:val="0"/>
          <w:sz w:val="18"/>
          <w:szCs w:val="18"/>
        </w:rPr>
        <w:t>单价</w:t>
      </w:r>
      <w:r>
        <w:rPr>
          <w:rFonts w:hint="eastAsia" w:ascii="宋体" w:hAnsi="宋体" w:cs="新宋体"/>
          <w:color w:val="0000FF"/>
          <w:kern w:val="0"/>
          <w:sz w:val="18"/>
          <w:szCs w:val="18"/>
        </w:rPr>
        <w:t>&lt;/</w:t>
      </w:r>
      <w:r>
        <w:rPr>
          <w:rFonts w:hint="eastAsia" w:ascii="宋体" w:hAnsi="宋体" w:cs="新宋体"/>
          <w:color w:val="A31515"/>
          <w:kern w:val="0"/>
          <w:sz w:val="18"/>
          <w:szCs w:val="18"/>
        </w:rPr>
        <w:t>DJ</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JE</w:t>
      </w:r>
      <w:r>
        <w:rPr>
          <w:rFonts w:hint="eastAsia" w:ascii="宋体" w:hAnsi="宋体" w:cs="新宋体"/>
          <w:color w:val="0000FF"/>
          <w:kern w:val="0"/>
          <w:sz w:val="18"/>
          <w:szCs w:val="18"/>
        </w:rPr>
        <w:t>&gt;</w:t>
      </w:r>
      <w:r>
        <w:rPr>
          <w:rFonts w:hint="eastAsia" w:ascii="宋体" w:hAnsi="宋体" w:cs="新宋体"/>
          <w:kern w:val="0"/>
          <w:sz w:val="18"/>
          <w:szCs w:val="18"/>
        </w:rPr>
        <w:t>金额</w:t>
      </w:r>
      <w:r>
        <w:rPr>
          <w:rFonts w:hint="eastAsia" w:ascii="宋体" w:hAnsi="宋体" w:cs="新宋体"/>
          <w:color w:val="0000FF"/>
          <w:kern w:val="0"/>
          <w:sz w:val="18"/>
          <w:szCs w:val="18"/>
        </w:rPr>
        <w:t>&lt;/</w:t>
      </w:r>
      <w:r>
        <w:rPr>
          <w:rFonts w:hint="eastAsia" w:ascii="宋体" w:hAnsi="宋体" w:cs="新宋体"/>
          <w:color w:val="A31515"/>
          <w:kern w:val="0"/>
          <w:sz w:val="18"/>
          <w:szCs w:val="18"/>
        </w:rPr>
        <w:t>JE</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BYZD1</w:t>
      </w:r>
      <w:r>
        <w:rPr>
          <w:rFonts w:hint="eastAsia" w:ascii="宋体" w:hAnsi="宋体" w:cs="新宋体"/>
          <w:color w:val="0000FF"/>
          <w:kern w:val="0"/>
          <w:sz w:val="18"/>
          <w:szCs w:val="18"/>
        </w:rPr>
        <w:t>&gt;</w:t>
      </w:r>
      <w:r>
        <w:rPr>
          <w:rFonts w:hint="eastAsia" w:ascii="宋体" w:hAnsi="宋体" w:cs="新宋体"/>
          <w:kern w:val="0"/>
          <w:sz w:val="18"/>
          <w:szCs w:val="18"/>
        </w:rPr>
        <w:t>备用字段</w:t>
      </w:r>
      <w:r>
        <w:rPr>
          <w:rFonts w:hint="eastAsia" w:ascii="宋体" w:hAnsi="宋体" w:cs="新宋体"/>
          <w:color w:val="0000FF"/>
          <w:kern w:val="0"/>
          <w:sz w:val="18"/>
          <w:szCs w:val="18"/>
        </w:rPr>
        <w:t>&lt;/</w:t>
      </w:r>
      <w:r>
        <w:rPr>
          <w:rFonts w:hint="eastAsia" w:ascii="宋体" w:hAnsi="宋体" w:cs="新宋体"/>
          <w:color w:val="A31515"/>
          <w:kern w:val="0"/>
          <w:sz w:val="18"/>
          <w:szCs w:val="18"/>
        </w:rPr>
        <w:t>BYZD1</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BYZD2</w:t>
      </w:r>
      <w:r>
        <w:rPr>
          <w:rFonts w:hint="eastAsia" w:ascii="宋体" w:hAnsi="宋体" w:cs="新宋体"/>
          <w:color w:val="0000FF"/>
          <w:kern w:val="0"/>
          <w:sz w:val="18"/>
          <w:szCs w:val="18"/>
        </w:rPr>
        <w:t>&gt;</w:t>
      </w:r>
      <w:r>
        <w:rPr>
          <w:rFonts w:hint="eastAsia" w:ascii="宋体" w:hAnsi="宋体" w:cs="新宋体"/>
          <w:kern w:val="0"/>
          <w:sz w:val="18"/>
          <w:szCs w:val="18"/>
        </w:rPr>
        <w:t>备用字段</w:t>
      </w:r>
      <w:r>
        <w:rPr>
          <w:rFonts w:hint="eastAsia" w:ascii="宋体" w:hAnsi="宋体" w:cs="新宋体"/>
          <w:color w:val="0000FF"/>
          <w:kern w:val="0"/>
          <w:sz w:val="18"/>
          <w:szCs w:val="18"/>
        </w:rPr>
        <w:t>&lt;/</w:t>
      </w:r>
      <w:r>
        <w:rPr>
          <w:rFonts w:hint="eastAsia" w:ascii="宋体" w:hAnsi="宋体" w:cs="新宋体"/>
          <w:color w:val="A31515"/>
          <w:kern w:val="0"/>
          <w:sz w:val="18"/>
          <w:szCs w:val="18"/>
        </w:rPr>
        <w:t>BYZD2</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BYZD3</w:t>
      </w:r>
      <w:r>
        <w:rPr>
          <w:rFonts w:hint="eastAsia" w:ascii="宋体" w:hAnsi="宋体" w:cs="新宋体"/>
          <w:color w:val="0000FF"/>
          <w:kern w:val="0"/>
          <w:sz w:val="18"/>
          <w:szCs w:val="18"/>
        </w:rPr>
        <w:t>&gt;</w:t>
      </w:r>
      <w:r>
        <w:rPr>
          <w:rFonts w:hint="eastAsia" w:ascii="宋体" w:hAnsi="宋体" w:cs="新宋体"/>
          <w:kern w:val="0"/>
          <w:sz w:val="18"/>
          <w:szCs w:val="18"/>
        </w:rPr>
        <w:t>备用字段</w:t>
      </w:r>
      <w:r>
        <w:rPr>
          <w:rFonts w:hint="eastAsia" w:ascii="宋体" w:hAnsi="宋体" w:cs="新宋体"/>
          <w:color w:val="0000FF"/>
          <w:kern w:val="0"/>
          <w:sz w:val="18"/>
          <w:szCs w:val="18"/>
        </w:rPr>
        <w:t>&lt;/</w:t>
      </w:r>
      <w:r>
        <w:rPr>
          <w:rFonts w:hint="eastAsia" w:ascii="宋体" w:hAnsi="宋体" w:cs="新宋体"/>
          <w:color w:val="A31515"/>
          <w:kern w:val="0"/>
          <w:sz w:val="18"/>
          <w:szCs w:val="18"/>
        </w:rPr>
        <w:t>BYZD3</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BYZD4</w:t>
      </w:r>
      <w:r>
        <w:rPr>
          <w:rFonts w:hint="eastAsia" w:ascii="宋体" w:hAnsi="宋体" w:cs="新宋体"/>
          <w:color w:val="0000FF"/>
          <w:kern w:val="0"/>
          <w:sz w:val="18"/>
          <w:szCs w:val="18"/>
        </w:rPr>
        <w:t>&gt;</w:t>
      </w:r>
      <w:r>
        <w:rPr>
          <w:rFonts w:hint="eastAsia" w:ascii="宋体" w:hAnsi="宋体" w:cs="新宋体"/>
          <w:kern w:val="0"/>
          <w:sz w:val="18"/>
          <w:szCs w:val="18"/>
        </w:rPr>
        <w:t>备用字段</w:t>
      </w:r>
      <w:r>
        <w:rPr>
          <w:rFonts w:hint="eastAsia" w:ascii="宋体" w:hAnsi="宋体" w:cs="新宋体"/>
          <w:color w:val="0000FF"/>
          <w:kern w:val="0"/>
          <w:sz w:val="18"/>
          <w:szCs w:val="18"/>
        </w:rPr>
        <w:t>&lt;/</w:t>
      </w:r>
      <w:r>
        <w:rPr>
          <w:rFonts w:hint="eastAsia" w:ascii="宋体" w:hAnsi="宋体" w:cs="新宋体"/>
          <w:color w:val="A31515"/>
          <w:kern w:val="0"/>
          <w:sz w:val="18"/>
          <w:szCs w:val="18"/>
        </w:rPr>
        <w:t>BYZD4</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BYZD5</w:t>
      </w:r>
      <w:r>
        <w:rPr>
          <w:rFonts w:hint="eastAsia" w:ascii="宋体" w:hAnsi="宋体" w:cs="新宋体"/>
          <w:color w:val="0000FF"/>
          <w:kern w:val="0"/>
          <w:sz w:val="18"/>
          <w:szCs w:val="18"/>
        </w:rPr>
        <w:t>&gt;</w:t>
      </w:r>
      <w:r>
        <w:rPr>
          <w:rFonts w:hint="eastAsia" w:ascii="宋体" w:hAnsi="宋体" w:cs="新宋体"/>
          <w:kern w:val="0"/>
          <w:sz w:val="18"/>
          <w:szCs w:val="18"/>
        </w:rPr>
        <w:t>备用字段</w:t>
      </w:r>
      <w:r>
        <w:rPr>
          <w:rFonts w:hint="eastAsia" w:ascii="宋体" w:hAnsi="宋体" w:cs="新宋体"/>
          <w:color w:val="0000FF"/>
          <w:kern w:val="0"/>
          <w:sz w:val="18"/>
          <w:szCs w:val="18"/>
        </w:rPr>
        <w:t>&lt;/</w:t>
      </w:r>
      <w:r>
        <w:rPr>
          <w:rFonts w:hint="eastAsia" w:ascii="宋体" w:hAnsi="宋体" w:cs="新宋体"/>
          <w:color w:val="A31515"/>
          <w:kern w:val="0"/>
          <w:sz w:val="18"/>
          <w:szCs w:val="18"/>
        </w:rPr>
        <w:t>BYZD5</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FPKJXX_DDMXXX</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FPKJXX_DDMXXXS</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FPKJXX_ZFXX</w:t>
      </w:r>
      <w:r>
        <w:rPr>
          <w:rFonts w:hint="eastAsia" w:ascii="宋体" w:hAnsi="宋体" w:cs="新宋体"/>
          <w:color w:val="0000FF"/>
          <w:kern w:val="0"/>
          <w:sz w:val="18"/>
          <w:szCs w:val="18"/>
        </w:rPr>
        <w:t xml:space="preserve"> </w:t>
      </w:r>
      <w:r>
        <w:rPr>
          <w:rFonts w:hint="eastAsia" w:ascii="宋体" w:hAnsi="宋体" w:cs="新宋体"/>
          <w:color w:val="FF0000"/>
          <w:kern w:val="0"/>
          <w:sz w:val="18"/>
          <w:szCs w:val="18"/>
        </w:rPr>
        <w:t>class</w:t>
      </w:r>
      <w:r>
        <w:rPr>
          <w:rFonts w:hint="eastAsia" w:ascii="宋体" w:hAnsi="宋体" w:cs="新宋体"/>
          <w:color w:val="0000FF"/>
          <w:kern w:val="0"/>
          <w:sz w:val="18"/>
          <w:szCs w:val="18"/>
        </w:rPr>
        <w:t>=</w:t>
      </w:r>
      <w:r>
        <w:rPr>
          <w:rFonts w:hint="eastAsia" w:ascii="宋体" w:hAnsi="宋体" w:cs="新宋体"/>
          <w:kern w:val="0"/>
          <w:sz w:val="18"/>
          <w:szCs w:val="18"/>
        </w:rPr>
        <w:t>"</w:t>
      </w:r>
      <w:r>
        <w:t xml:space="preserve"> </w:t>
      </w:r>
      <w:r>
        <w:rPr>
          <w:rFonts w:hint="eastAsia" w:ascii="宋体" w:hAnsi="宋体" w:cs="新宋体"/>
          <w:color w:val="0000FF"/>
          <w:kern w:val="0"/>
          <w:sz w:val="18"/>
          <w:szCs w:val="18"/>
        </w:rPr>
        <w:t>FPKJXX_ZFXX</w:t>
      </w:r>
      <w:r>
        <w:rPr>
          <w:rFonts w:hint="eastAsia" w:ascii="宋体" w:hAnsi="宋体" w:cs="新宋体"/>
          <w:kern w:val="0"/>
          <w:sz w:val="18"/>
          <w:szCs w:val="18"/>
        </w:rPr>
        <w:t>"</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ZFFS</w:t>
      </w:r>
      <w:r>
        <w:rPr>
          <w:rFonts w:hint="eastAsia" w:ascii="宋体" w:hAnsi="宋体" w:cs="新宋体"/>
          <w:color w:val="0000FF"/>
          <w:kern w:val="0"/>
          <w:sz w:val="18"/>
          <w:szCs w:val="18"/>
        </w:rPr>
        <w:t>&gt;</w:t>
      </w:r>
      <w:r>
        <w:rPr>
          <w:rFonts w:hint="eastAsia" w:ascii="宋体" w:hAnsi="宋体" w:cs="新宋体"/>
          <w:kern w:val="0"/>
          <w:sz w:val="18"/>
          <w:szCs w:val="18"/>
        </w:rPr>
        <w:t>支付方式</w:t>
      </w:r>
      <w:r>
        <w:rPr>
          <w:rFonts w:hint="eastAsia" w:ascii="宋体" w:hAnsi="宋体" w:cs="新宋体"/>
          <w:color w:val="0000FF"/>
          <w:kern w:val="0"/>
          <w:sz w:val="18"/>
          <w:szCs w:val="18"/>
        </w:rPr>
        <w:t>&lt;/</w:t>
      </w:r>
      <w:r>
        <w:rPr>
          <w:rFonts w:hint="eastAsia" w:ascii="宋体" w:hAnsi="宋体" w:cs="新宋体"/>
          <w:color w:val="A31515"/>
          <w:kern w:val="0"/>
          <w:sz w:val="18"/>
          <w:szCs w:val="18"/>
        </w:rPr>
        <w:t>ZFFS</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ZFLSH</w:t>
      </w:r>
      <w:r>
        <w:rPr>
          <w:rFonts w:hint="eastAsia" w:ascii="宋体" w:hAnsi="宋体" w:cs="新宋体"/>
          <w:color w:val="0000FF"/>
          <w:kern w:val="0"/>
          <w:sz w:val="18"/>
          <w:szCs w:val="18"/>
        </w:rPr>
        <w:t>&gt;</w:t>
      </w:r>
      <w:r>
        <w:rPr>
          <w:rFonts w:hint="eastAsia" w:ascii="宋体" w:hAnsi="宋体" w:cs="新宋体"/>
          <w:kern w:val="0"/>
          <w:sz w:val="18"/>
          <w:szCs w:val="18"/>
        </w:rPr>
        <w:t>支付流水号</w:t>
      </w:r>
      <w:r>
        <w:rPr>
          <w:rFonts w:hint="eastAsia" w:ascii="宋体" w:hAnsi="宋体" w:cs="新宋体"/>
          <w:color w:val="0000FF"/>
          <w:kern w:val="0"/>
          <w:sz w:val="18"/>
          <w:szCs w:val="18"/>
        </w:rPr>
        <w:t>&lt;/</w:t>
      </w:r>
      <w:r>
        <w:rPr>
          <w:rFonts w:hint="eastAsia" w:ascii="宋体" w:hAnsi="宋体" w:cs="新宋体"/>
          <w:color w:val="A31515"/>
          <w:kern w:val="0"/>
          <w:sz w:val="18"/>
          <w:szCs w:val="18"/>
        </w:rPr>
        <w:t>ZFLSH</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ZFPT</w:t>
      </w:r>
      <w:r>
        <w:rPr>
          <w:rFonts w:hint="eastAsia" w:ascii="宋体" w:hAnsi="宋体" w:cs="新宋体"/>
          <w:color w:val="0000FF"/>
          <w:kern w:val="0"/>
          <w:sz w:val="18"/>
          <w:szCs w:val="18"/>
        </w:rPr>
        <w:t>&gt;</w:t>
      </w:r>
      <w:r>
        <w:rPr>
          <w:rFonts w:hint="eastAsia" w:ascii="宋体" w:hAnsi="宋体" w:cs="新宋体"/>
          <w:kern w:val="0"/>
          <w:sz w:val="18"/>
          <w:szCs w:val="18"/>
        </w:rPr>
        <w:t>支付平台</w:t>
      </w:r>
      <w:r>
        <w:rPr>
          <w:rFonts w:hint="eastAsia" w:ascii="宋体" w:hAnsi="宋体" w:cs="新宋体"/>
          <w:color w:val="0000FF"/>
          <w:kern w:val="0"/>
          <w:sz w:val="18"/>
          <w:szCs w:val="18"/>
        </w:rPr>
        <w:t>&lt;/</w:t>
      </w:r>
      <w:r>
        <w:rPr>
          <w:rFonts w:hint="eastAsia" w:ascii="宋体" w:hAnsi="宋体" w:cs="新宋体"/>
          <w:color w:val="A31515"/>
          <w:kern w:val="0"/>
          <w:sz w:val="18"/>
          <w:szCs w:val="18"/>
        </w:rPr>
        <w:t>ZFPT</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FPKJXX_ZFXX</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FPKJXX_WLXX</w:t>
      </w:r>
      <w:r>
        <w:rPr>
          <w:rFonts w:hint="eastAsia" w:ascii="宋体" w:hAnsi="宋体" w:cs="新宋体"/>
          <w:color w:val="0000FF"/>
          <w:kern w:val="0"/>
          <w:sz w:val="18"/>
          <w:szCs w:val="18"/>
        </w:rPr>
        <w:t xml:space="preserve"> </w:t>
      </w:r>
      <w:r>
        <w:rPr>
          <w:rFonts w:hint="eastAsia" w:ascii="宋体" w:hAnsi="宋体" w:cs="新宋体"/>
          <w:color w:val="FF0000"/>
          <w:kern w:val="0"/>
          <w:sz w:val="18"/>
          <w:szCs w:val="18"/>
        </w:rPr>
        <w:t>class</w:t>
      </w:r>
      <w:r>
        <w:rPr>
          <w:rFonts w:hint="eastAsia" w:ascii="宋体" w:hAnsi="宋体" w:cs="新宋体"/>
          <w:color w:val="0000FF"/>
          <w:kern w:val="0"/>
          <w:sz w:val="18"/>
          <w:szCs w:val="18"/>
        </w:rPr>
        <w:t>=</w:t>
      </w:r>
      <w:r>
        <w:rPr>
          <w:rFonts w:hint="eastAsia" w:ascii="宋体" w:hAnsi="宋体" w:cs="新宋体"/>
          <w:kern w:val="0"/>
          <w:sz w:val="18"/>
          <w:szCs w:val="18"/>
        </w:rPr>
        <w:t>"</w:t>
      </w:r>
      <w:r>
        <w:t xml:space="preserve"> </w:t>
      </w:r>
      <w:r>
        <w:rPr>
          <w:rFonts w:hint="eastAsia" w:ascii="宋体" w:hAnsi="宋体" w:cs="新宋体"/>
          <w:color w:val="0000FF"/>
          <w:kern w:val="0"/>
          <w:sz w:val="18"/>
          <w:szCs w:val="18"/>
        </w:rPr>
        <w:t>FPKJXX_WLXX</w:t>
      </w:r>
      <w:r>
        <w:rPr>
          <w:rFonts w:hint="eastAsia" w:ascii="宋体" w:hAnsi="宋体" w:cs="新宋体"/>
          <w:kern w:val="0"/>
          <w:sz w:val="18"/>
          <w:szCs w:val="18"/>
        </w:rPr>
        <w:t>"</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CYGS</w:t>
      </w:r>
      <w:r>
        <w:rPr>
          <w:rFonts w:hint="eastAsia" w:ascii="宋体" w:hAnsi="宋体" w:cs="新宋体"/>
          <w:color w:val="0000FF"/>
          <w:kern w:val="0"/>
          <w:sz w:val="18"/>
          <w:szCs w:val="18"/>
        </w:rPr>
        <w:t>&gt;</w:t>
      </w:r>
      <w:r>
        <w:rPr>
          <w:rFonts w:hint="eastAsia" w:ascii="宋体" w:hAnsi="宋体" w:cs="新宋体"/>
          <w:kern w:val="0"/>
          <w:sz w:val="18"/>
          <w:szCs w:val="18"/>
        </w:rPr>
        <w:t>承运公司</w:t>
      </w:r>
      <w:r>
        <w:rPr>
          <w:rFonts w:hint="eastAsia" w:ascii="宋体" w:hAnsi="宋体" w:cs="新宋体"/>
          <w:color w:val="0000FF"/>
          <w:kern w:val="0"/>
          <w:sz w:val="18"/>
          <w:szCs w:val="18"/>
        </w:rPr>
        <w:t>&lt;/</w:t>
      </w:r>
      <w:r>
        <w:rPr>
          <w:rFonts w:hint="eastAsia" w:ascii="宋体" w:hAnsi="宋体" w:cs="新宋体"/>
          <w:color w:val="A31515"/>
          <w:kern w:val="0"/>
          <w:sz w:val="18"/>
          <w:szCs w:val="18"/>
        </w:rPr>
        <w:t>CYGS</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SHSJ</w:t>
      </w:r>
      <w:r>
        <w:rPr>
          <w:rFonts w:hint="eastAsia" w:ascii="宋体" w:hAnsi="宋体" w:cs="新宋体"/>
          <w:color w:val="0000FF"/>
          <w:kern w:val="0"/>
          <w:sz w:val="18"/>
          <w:szCs w:val="18"/>
        </w:rPr>
        <w:t>&gt;</w:t>
      </w:r>
      <w:r>
        <w:rPr>
          <w:rFonts w:hint="eastAsia" w:ascii="宋体" w:hAnsi="宋体" w:cs="新宋体"/>
          <w:kern w:val="0"/>
          <w:sz w:val="18"/>
          <w:szCs w:val="18"/>
        </w:rPr>
        <w:t>送货时间</w:t>
      </w:r>
      <w:r>
        <w:rPr>
          <w:rFonts w:hint="eastAsia" w:ascii="宋体" w:hAnsi="宋体" w:cs="新宋体"/>
          <w:color w:val="0000FF"/>
          <w:kern w:val="0"/>
          <w:sz w:val="18"/>
          <w:szCs w:val="18"/>
        </w:rPr>
        <w:t>&lt;/</w:t>
      </w:r>
      <w:r>
        <w:rPr>
          <w:rFonts w:hint="eastAsia" w:ascii="宋体" w:hAnsi="宋体" w:cs="新宋体"/>
          <w:color w:val="A31515"/>
          <w:kern w:val="0"/>
          <w:sz w:val="18"/>
          <w:szCs w:val="18"/>
        </w:rPr>
        <w:t>SHSJ</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WLDH</w:t>
      </w:r>
      <w:r>
        <w:rPr>
          <w:rFonts w:hint="eastAsia" w:ascii="宋体" w:hAnsi="宋体" w:cs="新宋体"/>
          <w:color w:val="0000FF"/>
          <w:kern w:val="0"/>
          <w:sz w:val="18"/>
          <w:szCs w:val="18"/>
        </w:rPr>
        <w:t>&gt;</w:t>
      </w:r>
      <w:r>
        <w:rPr>
          <w:rFonts w:hint="eastAsia" w:ascii="宋体" w:hAnsi="宋体" w:cs="新宋体"/>
          <w:kern w:val="0"/>
          <w:sz w:val="18"/>
          <w:szCs w:val="18"/>
        </w:rPr>
        <w:t>物流单号</w:t>
      </w:r>
      <w:r>
        <w:rPr>
          <w:rFonts w:hint="eastAsia" w:ascii="宋体" w:hAnsi="宋体" w:cs="新宋体"/>
          <w:color w:val="0000FF"/>
          <w:kern w:val="0"/>
          <w:sz w:val="18"/>
          <w:szCs w:val="18"/>
        </w:rPr>
        <w:t>&lt;/</w:t>
      </w:r>
      <w:r>
        <w:rPr>
          <w:rFonts w:hint="eastAsia" w:ascii="宋体" w:hAnsi="宋体" w:cs="新宋体"/>
          <w:color w:val="A31515"/>
          <w:kern w:val="0"/>
          <w:sz w:val="18"/>
          <w:szCs w:val="18"/>
        </w:rPr>
        <w:t>WLDH</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SHDZ</w:t>
      </w:r>
      <w:r>
        <w:rPr>
          <w:rFonts w:hint="eastAsia" w:ascii="宋体" w:hAnsi="宋体" w:cs="新宋体"/>
          <w:color w:val="0000FF"/>
          <w:kern w:val="0"/>
          <w:sz w:val="18"/>
          <w:szCs w:val="18"/>
        </w:rPr>
        <w:t>&gt;</w:t>
      </w:r>
      <w:r>
        <w:rPr>
          <w:rFonts w:hint="eastAsia" w:ascii="宋体" w:hAnsi="宋体" w:cs="新宋体"/>
          <w:kern w:val="0"/>
          <w:sz w:val="18"/>
          <w:szCs w:val="18"/>
        </w:rPr>
        <w:t>送货地址</w:t>
      </w:r>
      <w:r>
        <w:rPr>
          <w:rFonts w:hint="eastAsia" w:ascii="宋体" w:hAnsi="宋体" w:cs="新宋体"/>
          <w:color w:val="0000FF"/>
          <w:kern w:val="0"/>
          <w:sz w:val="18"/>
          <w:szCs w:val="18"/>
        </w:rPr>
        <w:t>&lt;/</w:t>
      </w:r>
      <w:r>
        <w:rPr>
          <w:rFonts w:hint="eastAsia" w:ascii="宋体" w:hAnsi="宋体" w:cs="新宋体"/>
          <w:color w:val="A31515"/>
          <w:kern w:val="0"/>
          <w:sz w:val="18"/>
          <w:szCs w:val="18"/>
        </w:rPr>
        <w:t>SHDZ</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FPKJXX_WLXX</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color w:val="0000FF"/>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REQUEST_FPKJXX</w:t>
      </w:r>
      <w:r>
        <w:rPr>
          <w:rFonts w:hint="eastAsia" w:ascii="宋体" w:hAnsi="宋体" w:cs="新宋体"/>
          <w:color w:val="0000FF"/>
          <w:kern w:val="0"/>
          <w:sz w:val="18"/>
          <w:szCs w:val="18"/>
        </w:rPr>
        <w:t>&gt;</w:t>
      </w:r>
    </w:p>
    <w:p>
      <w:pPr>
        <w:spacing w:line="360" w:lineRule="auto"/>
        <w:rPr>
          <w:rFonts w:ascii="Calibri" w:hAnsi="Calibri"/>
        </w:rPr>
      </w:pPr>
    </w:p>
    <w:p>
      <w:pPr>
        <w:numPr>
          <w:ilvl w:val="0"/>
          <w:numId w:val="6"/>
        </w:numPr>
        <w:spacing w:line="360" w:lineRule="auto"/>
      </w:pPr>
      <w:r>
        <w:rPr>
          <w:rFonts w:hint="eastAsia"/>
          <w:b/>
        </w:rPr>
        <w:t>【</w:t>
      </w:r>
      <w:r>
        <w:rPr>
          <w:b/>
        </w:rPr>
        <w:t>Content</w:t>
      </w:r>
      <w:r>
        <w:rPr>
          <w:rFonts w:hint="eastAsia"/>
          <w:b/>
        </w:rPr>
        <w:t>中】请求数据项说明</w:t>
      </w:r>
    </w:p>
    <w:p>
      <w:pPr>
        <w:spacing w:line="360" w:lineRule="auto"/>
      </w:pPr>
    </w:p>
    <w:tbl>
      <w:tblPr>
        <w:tblStyle w:val="34"/>
        <w:tblW w:w="103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47"/>
        <w:gridCol w:w="1787"/>
        <w:gridCol w:w="41"/>
        <w:gridCol w:w="1769"/>
        <w:gridCol w:w="33"/>
        <w:gridCol w:w="1668"/>
        <w:gridCol w:w="33"/>
        <w:gridCol w:w="1143"/>
        <w:gridCol w:w="1092"/>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序号</w:t>
            </w:r>
          </w:p>
        </w:tc>
        <w:tc>
          <w:tcPr>
            <w:tcW w:w="1834" w:type="dxa"/>
            <w:gridSpan w:val="2"/>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数据项</w:t>
            </w:r>
          </w:p>
        </w:tc>
        <w:tc>
          <w:tcPr>
            <w:tcW w:w="1843" w:type="dxa"/>
            <w:gridSpan w:val="3"/>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数据项名称</w:t>
            </w:r>
          </w:p>
        </w:tc>
        <w:tc>
          <w:tcPr>
            <w:tcW w:w="1701" w:type="dxa"/>
            <w:gridSpan w:val="2"/>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类型</w:t>
            </w:r>
          </w:p>
        </w:tc>
        <w:tc>
          <w:tcPr>
            <w:tcW w:w="1143"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长度</w:t>
            </w:r>
          </w:p>
        </w:tc>
        <w:tc>
          <w:tcPr>
            <w:tcW w:w="1092"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必须</w:t>
            </w:r>
          </w:p>
        </w:tc>
        <w:tc>
          <w:tcPr>
            <w:tcW w:w="1984"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rPr>
                <w:rFonts w:ascii="Calibri" w:hAnsi="Calibri"/>
                <w:b/>
                <w:color w:val="000000"/>
                <w:kern w:val="0"/>
              </w:rPr>
            </w:pPr>
            <w:r>
              <w:rPr>
                <w:rFonts w:hint="eastAsia"/>
                <w:b/>
                <w:color w:val="000000"/>
                <w:kern w:val="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bookmarkStart w:id="124" w:name="OLE_LINK18"/>
            <w:bookmarkStart w:id="125" w:name="OLE_LINK17"/>
            <w:r>
              <w:t>FPQQLSH</w:t>
            </w:r>
            <w:bookmarkEnd w:id="124"/>
            <w:bookmarkEnd w:id="125"/>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发票请求唯一流水号</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50</w:t>
            </w:r>
          </w:p>
        </w:tc>
        <w:tc>
          <w:tcPr>
            <w:tcW w:w="1092" w:type="dxa"/>
            <w:tcBorders>
              <w:top w:val="single" w:color="auto" w:sz="4" w:space="0"/>
              <w:left w:val="single" w:color="auto" w:sz="4" w:space="0"/>
              <w:bottom w:val="single" w:color="auto" w:sz="4" w:space="0"/>
              <w:right w:val="single" w:color="auto" w:sz="4" w:space="0"/>
            </w:tcBorders>
            <w:vAlign w:val="center"/>
          </w:tcPr>
          <w:p>
            <w:pPr>
              <w:tabs>
                <w:tab w:val="left" w:pos="1125"/>
              </w:tabs>
              <w:spacing w:line="360" w:lineRule="auto"/>
              <w:ind w:firstLine="210" w:firstLineChars="100"/>
              <w:rPr>
                <w:rFonts w:ascii="Calibri" w:hAnsi="Calibri"/>
                <w:color w:val="000000"/>
              </w:rPr>
            </w:pPr>
            <w:r>
              <w:rPr>
                <w:rFonts w:hint="eastAsia"/>
                <w:color w:val="000000"/>
              </w:rPr>
              <w:t>是</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r>
              <w:rPr>
                <w:rFonts w:hint="eastAsia"/>
                <w:color w:val="000000"/>
              </w:rPr>
              <w:t>每张发票的发票请求唯一流水号无重复，由企业定义。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DSPTBM</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平台编码</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8</w:t>
            </w:r>
          </w:p>
        </w:tc>
        <w:tc>
          <w:tcPr>
            <w:tcW w:w="1092" w:type="dxa"/>
            <w:tcBorders>
              <w:top w:val="single" w:color="auto" w:sz="4" w:space="0"/>
              <w:left w:val="single" w:color="auto" w:sz="4" w:space="0"/>
              <w:bottom w:val="single" w:color="auto" w:sz="4" w:space="0"/>
              <w:right w:val="single" w:color="auto" w:sz="4" w:space="0"/>
            </w:tcBorders>
            <w:vAlign w:val="center"/>
          </w:tcPr>
          <w:p>
            <w:pPr>
              <w:tabs>
                <w:tab w:val="left" w:pos="1125"/>
              </w:tabs>
              <w:spacing w:line="360" w:lineRule="auto"/>
              <w:ind w:firstLine="210" w:firstLineChars="100"/>
              <w:rPr>
                <w:rFonts w:ascii="Calibri" w:hAnsi="Calibri"/>
                <w:color w:val="000000"/>
              </w:rPr>
            </w:pPr>
            <w:r>
              <w:rPr>
                <w:rFonts w:hint="eastAsia"/>
                <w:color w:val="000000"/>
              </w:rPr>
              <w:t>是</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NSRSBH</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开票方识别号</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w:t>
            </w:r>
          </w:p>
        </w:tc>
        <w:tc>
          <w:tcPr>
            <w:tcW w:w="1092" w:type="dxa"/>
            <w:tcBorders>
              <w:top w:val="single" w:color="auto" w:sz="4" w:space="0"/>
              <w:left w:val="single" w:color="auto" w:sz="4" w:space="0"/>
              <w:bottom w:val="single" w:color="auto" w:sz="4" w:space="0"/>
              <w:right w:val="single" w:color="auto" w:sz="4" w:space="0"/>
            </w:tcBorders>
            <w:vAlign w:val="center"/>
          </w:tcPr>
          <w:p>
            <w:pPr>
              <w:tabs>
                <w:tab w:val="left" w:pos="1125"/>
              </w:tabs>
              <w:spacing w:line="360" w:lineRule="auto"/>
              <w:ind w:firstLine="210" w:firstLineChars="100"/>
              <w:rPr>
                <w:rFonts w:ascii="Calibri" w:hAnsi="Calibri"/>
                <w:color w:val="000000"/>
              </w:rPr>
            </w:pPr>
            <w:r>
              <w:rPr>
                <w:rFonts w:hint="eastAsia"/>
                <w:color w:val="000000"/>
              </w:rPr>
              <w:t>是</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NSRMC</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开票方名称</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FF0000"/>
              </w:rPr>
            </w:pPr>
            <w:r>
              <w:t>200</w:t>
            </w:r>
          </w:p>
        </w:tc>
        <w:tc>
          <w:tcPr>
            <w:tcW w:w="1092" w:type="dxa"/>
            <w:tcBorders>
              <w:top w:val="single" w:color="auto" w:sz="4" w:space="0"/>
              <w:left w:val="single" w:color="auto" w:sz="4" w:space="0"/>
              <w:bottom w:val="single" w:color="auto" w:sz="4" w:space="0"/>
              <w:right w:val="single" w:color="auto" w:sz="4" w:space="0"/>
            </w:tcBorders>
            <w:vAlign w:val="center"/>
          </w:tcPr>
          <w:p>
            <w:pPr>
              <w:tabs>
                <w:tab w:val="left" w:pos="1125"/>
              </w:tabs>
              <w:spacing w:line="360" w:lineRule="auto"/>
              <w:ind w:firstLine="210" w:firstLineChars="100"/>
              <w:rPr>
                <w:rFonts w:ascii="Calibri" w:hAnsi="Calibri"/>
                <w:color w:val="000000"/>
              </w:rPr>
            </w:pPr>
            <w:r>
              <w:rPr>
                <w:rFonts w:hint="eastAsia"/>
                <w:color w:val="000000"/>
              </w:rPr>
              <w:t>是</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NSRDZDAH</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开票方电子档案号</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tabs>
                <w:tab w:val="left" w:pos="1125"/>
              </w:tabs>
              <w:spacing w:line="360" w:lineRule="auto"/>
              <w:ind w:firstLine="210" w:firstLineChars="100"/>
              <w:rPr>
                <w:rFonts w:ascii="Calibri" w:hAnsi="Calibri"/>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w:t>
            </w:r>
          </w:p>
        </w:tc>
        <w:tc>
          <w:tcPr>
            <w:tcW w:w="1092" w:type="dxa"/>
            <w:tcBorders>
              <w:top w:val="single" w:color="auto" w:sz="4" w:space="0"/>
              <w:left w:val="single" w:color="auto" w:sz="4" w:space="0"/>
              <w:bottom w:val="single" w:color="auto" w:sz="4" w:space="0"/>
              <w:right w:val="single" w:color="auto" w:sz="4" w:space="0"/>
            </w:tcBorders>
            <w:vAlign w:val="center"/>
          </w:tcPr>
          <w:p>
            <w:pPr>
              <w:tabs>
                <w:tab w:val="left" w:pos="1125"/>
              </w:tabs>
              <w:spacing w:line="360" w:lineRule="auto"/>
              <w:ind w:firstLine="210" w:firstLineChars="100"/>
              <w:rPr>
                <w:rFonts w:ascii="Calibri" w:hAnsi="Calibri"/>
                <w:color w:val="000000"/>
              </w:rPr>
            </w:pPr>
            <w:r>
              <w:rPr>
                <w:rFonts w:hint="eastAsia"/>
                <w:color w:val="000000"/>
              </w:rPr>
              <w:t>否</w:t>
            </w:r>
          </w:p>
        </w:tc>
        <w:tc>
          <w:tcPr>
            <w:tcW w:w="1984" w:type="dxa"/>
            <w:tcBorders>
              <w:top w:val="single" w:color="auto" w:sz="4" w:space="0"/>
              <w:left w:val="single" w:color="auto" w:sz="4" w:space="0"/>
              <w:bottom w:val="single" w:color="auto" w:sz="4" w:space="0"/>
              <w:right w:val="single" w:color="auto" w:sz="4" w:space="0"/>
            </w:tcBorders>
            <w:vAlign w:val="center"/>
          </w:tcPr>
          <w:p>
            <w:pPr>
              <w:tabs>
                <w:tab w:val="left" w:pos="1125"/>
              </w:tabs>
              <w:spacing w:line="360" w:lineRule="auto"/>
              <w:rPr>
                <w:rFonts w:ascii="Calibri" w:hAnsi="Calibri"/>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SWJG_DM</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税务机构代码</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11</w:t>
            </w:r>
          </w:p>
        </w:tc>
        <w:tc>
          <w:tcPr>
            <w:tcW w:w="1092" w:type="dxa"/>
            <w:tcBorders>
              <w:top w:val="single" w:color="auto" w:sz="4" w:space="0"/>
              <w:left w:val="single" w:color="auto" w:sz="4" w:space="0"/>
              <w:bottom w:val="single" w:color="auto" w:sz="4" w:space="0"/>
              <w:right w:val="single" w:color="auto" w:sz="4" w:space="0"/>
            </w:tcBorders>
            <w:vAlign w:val="center"/>
          </w:tcPr>
          <w:p>
            <w:pPr>
              <w:tabs>
                <w:tab w:val="left" w:pos="1125"/>
              </w:tabs>
              <w:spacing w:line="360" w:lineRule="auto"/>
              <w:ind w:firstLine="210" w:firstLineChars="100"/>
              <w:rPr>
                <w:rFonts w:ascii="Calibri" w:hAnsi="Calibri"/>
                <w:color w:val="000000"/>
              </w:rPr>
            </w:pPr>
            <w:r>
              <w:rPr>
                <w:rFonts w:hint="eastAsia"/>
                <w:color w:val="000000"/>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DKBZ</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代开标志</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color w:val="000000"/>
              </w:rPr>
              <w:t>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1</w:t>
            </w:r>
          </w:p>
        </w:tc>
        <w:tc>
          <w:tcPr>
            <w:tcW w:w="1092" w:type="dxa"/>
            <w:tcBorders>
              <w:top w:val="single" w:color="auto" w:sz="4" w:space="0"/>
              <w:left w:val="single" w:color="auto" w:sz="4" w:space="0"/>
              <w:bottom w:val="single" w:color="auto" w:sz="4" w:space="0"/>
              <w:right w:val="single" w:color="auto" w:sz="4" w:space="0"/>
            </w:tcBorders>
            <w:vAlign w:val="center"/>
          </w:tcPr>
          <w:p>
            <w:pPr>
              <w:tabs>
                <w:tab w:val="left" w:pos="1125"/>
              </w:tabs>
              <w:spacing w:line="360" w:lineRule="auto"/>
              <w:ind w:firstLine="210" w:firstLineChars="100"/>
              <w:rPr>
                <w:rFonts w:ascii="Calibri" w:hAnsi="Calibri"/>
                <w:color w:val="000000"/>
              </w:rPr>
            </w:pPr>
            <w:r>
              <w:rPr>
                <w:rFonts w:hint="eastAsia"/>
                <w:color w:val="000000"/>
              </w:rPr>
              <w:t>是</w:t>
            </w:r>
          </w:p>
        </w:tc>
        <w:tc>
          <w:tcPr>
            <w:tcW w:w="1984" w:type="dxa"/>
            <w:tcBorders>
              <w:top w:val="single" w:color="auto" w:sz="4" w:space="0"/>
              <w:left w:val="single" w:color="auto" w:sz="4" w:space="0"/>
              <w:bottom w:val="single" w:color="auto" w:sz="4" w:space="0"/>
              <w:right w:val="single" w:color="auto" w:sz="4" w:space="0"/>
            </w:tcBorders>
            <w:vAlign w:val="center"/>
          </w:tcPr>
          <w:p>
            <w:pPr>
              <w:numPr>
                <w:ilvl w:val="0"/>
                <w:numId w:val="9"/>
              </w:numPr>
              <w:spacing w:line="360" w:lineRule="auto"/>
              <w:rPr>
                <w:rFonts w:ascii="Calibri" w:hAnsi="Calibri"/>
                <w:color w:val="000000"/>
              </w:rPr>
            </w:pPr>
            <w:r>
              <w:rPr>
                <w:rFonts w:hint="eastAsia"/>
                <w:color w:val="000000"/>
              </w:rPr>
              <w:t>自开</w:t>
            </w:r>
            <w:r>
              <w:rPr>
                <w:color w:val="000000"/>
              </w:rPr>
              <w:t>(0)</w:t>
            </w:r>
          </w:p>
          <w:p>
            <w:pPr>
              <w:numPr>
                <w:ilvl w:val="0"/>
                <w:numId w:val="9"/>
              </w:numPr>
              <w:spacing w:line="360" w:lineRule="auto"/>
              <w:rPr>
                <w:color w:val="000000"/>
              </w:rPr>
            </w:pPr>
            <w:r>
              <w:rPr>
                <w:rFonts w:hint="eastAsia"/>
                <w:color w:val="000000"/>
              </w:rPr>
              <w:t>代开</w:t>
            </w:r>
            <w:r>
              <w:rPr>
                <w:color w:val="000000"/>
              </w:rPr>
              <w:t>(1)</w:t>
            </w:r>
          </w:p>
          <w:p>
            <w:pPr>
              <w:spacing w:line="360" w:lineRule="auto"/>
              <w:rPr>
                <w:rFonts w:ascii="Calibri" w:hAnsi="Calibri"/>
              </w:rPr>
            </w:pPr>
            <w:r>
              <w:rPr>
                <w:rFonts w:hint="eastAsia"/>
              </w:rPr>
              <w:t>默认为自开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PYDM</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color w:val="000000"/>
              </w:rPr>
              <w:t>票样代码</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10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r>
              <w:rPr>
                <w:color w:val="000000"/>
              </w:rPr>
              <w:t xml:space="preserve">  </w:t>
            </w:r>
            <w:r>
              <w:rPr>
                <w:rFonts w:hint="eastAsia"/>
                <w:color w:val="000000"/>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r>
              <w:rPr>
                <w:rFonts w:hint="eastAsia"/>
                <w:color w:val="000000"/>
              </w:rPr>
              <w:t>全部固定为</w:t>
            </w:r>
            <w:r>
              <w:rPr>
                <w:color w:val="000000"/>
              </w:rPr>
              <w:t>”000001”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KPXM</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主要开票项目</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r>
              <w:rPr>
                <w:color w:val="000000"/>
              </w:rPr>
              <w:t xml:space="preserve">  </w:t>
            </w:r>
            <w:r>
              <w:rPr>
                <w:rFonts w:hint="eastAsia"/>
                <w:color w:val="000000"/>
              </w:rPr>
              <w:t>是</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r>
              <w:rPr>
                <w:rFonts w:hint="eastAsia"/>
                <w:color w:val="000000"/>
              </w:rPr>
              <w:t>主要开票商品，或者第一条商品，取项目信息中第一条数据的项目名称（或传递大类例如：办公用品）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XHF_NSRSBH</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销货方识别号</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r>
              <w:rPr>
                <w:color w:val="000000"/>
              </w:rPr>
              <w:t xml:space="preserve">  </w:t>
            </w:r>
            <w:r>
              <w:rPr>
                <w:rFonts w:hint="eastAsia"/>
                <w:color w:val="000000"/>
              </w:rPr>
              <w:t>是</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r>
              <w:rPr>
                <w:rFonts w:hint="eastAsia"/>
                <w:color w:val="000000"/>
              </w:rPr>
              <w:t>必填，如果是企业自营开具发票，填写第</w:t>
            </w:r>
            <w:r>
              <w:rPr>
                <w:color w:val="000000"/>
              </w:rPr>
              <w:t>3</w:t>
            </w:r>
            <w:r>
              <w:rPr>
                <w:rFonts w:hint="eastAsia"/>
                <w:color w:val="000000"/>
              </w:rPr>
              <w:t>项中的开票方识别号，如果是商家驻店开具发票，填写商家的纳税人识别号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XHFMC</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销货方名称</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r>
              <w:rPr>
                <w:color w:val="000000"/>
              </w:rPr>
              <w:t xml:space="preserve">  </w:t>
            </w:r>
            <w:r>
              <w:rPr>
                <w:rFonts w:hint="eastAsia"/>
                <w:color w:val="000000"/>
              </w:rPr>
              <w:t>是</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r>
              <w:rPr>
                <w:rFonts w:hint="eastAsia"/>
                <w:color w:val="000000"/>
              </w:rPr>
              <w:t>必填，纳税人名称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XHF_DZ</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销货方地址</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80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rFonts w:hint="eastAsia"/>
                <w:color w:val="000000"/>
              </w:rPr>
              <w:t>是</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XHF_DH</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销货方电话</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rFonts w:hint="eastAsia"/>
                <w:color w:val="000000"/>
              </w:rPr>
              <w:t>是</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XHF_YHZH</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销货方银行账号</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100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rFonts w:hint="eastAsia"/>
                <w:color w:val="000000"/>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r>
              <w:rPr>
                <w:rFonts w:hint="eastAsia"/>
                <w:color w:val="000000"/>
              </w:rPr>
              <w:t>开户行及账号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GHFMC</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购货方名称</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r>
              <w:rPr>
                <w:color w:val="000000"/>
              </w:rPr>
              <w:t xml:space="preserve">  </w:t>
            </w:r>
            <w:r>
              <w:rPr>
                <w:rFonts w:hint="eastAsia"/>
                <w:color w:val="000000"/>
              </w:rPr>
              <w:t>是</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r>
              <w:rPr>
                <w:rFonts w:hint="eastAsia"/>
                <w:color w:val="000000"/>
              </w:rPr>
              <w:t>购货方名称，即发票抬头。购货方为“个人”时，可输入名称，输入名称是为“个人</w:t>
            </w:r>
            <w:r>
              <w:rPr>
                <w:color w:val="000000"/>
              </w:rPr>
              <w:t>(</w:t>
            </w:r>
            <w:r>
              <w:rPr>
                <w:rFonts w:hint="eastAsia"/>
                <w:color w:val="000000"/>
              </w:rPr>
              <w:t>名称</w:t>
            </w:r>
            <w:r>
              <w:rPr>
                <w:color w:val="000000"/>
              </w:rPr>
              <w:t>)</w:t>
            </w:r>
            <w:r>
              <w:rPr>
                <w:rFonts w:hint="eastAsia"/>
                <w:color w:val="000000"/>
              </w:rPr>
              <w:t>”，”（”为半角；例</w:t>
            </w:r>
            <w:r>
              <w:rPr>
                <w:color w:val="000000"/>
              </w:rPr>
              <w:t xml:space="preserve"> </w:t>
            </w:r>
            <w:r>
              <w:rPr>
                <w:rFonts w:hint="eastAsia"/>
                <w:color w:val="000000"/>
              </w:rPr>
              <w:t>个人</w:t>
            </w:r>
            <w:r>
              <w:rPr>
                <w:color w:val="000000"/>
              </w:rPr>
              <w:t>(</w:t>
            </w:r>
            <w:r>
              <w:rPr>
                <w:rFonts w:hint="eastAsia"/>
                <w:color w:val="000000"/>
              </w:rPr>
              <w:t>王杰</w:t>
            </w: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GHF_NSRSBH</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购货方识别号</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rFonts w:hint="eastAsia"/>
                <w:color w:val="000000"/>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r>
              <w:rPr>
                <w:rFonts w:hint="eastAsia"/>
                <w:color w:val="000000"/>
              </w:rPr>
              <w:t>企业消费，如果填写识别号，需要传输过来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GHF_DZ</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购货方地址</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rFonts w:hint="eastAsia"/>
                <w:color w:val="000000"/>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GHF_SF</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购货方省份</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rFonts w:hint="eastAsia"/>
                <w:color w:val="000000"/>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r>
              <w:rPr>
                <w:rFonts w:hint="eastAsia"/>
                <w:color w:val="000000"/>
              </w:rPr>
              <w:t>新增，使用各省的行政编码，例如：上海</w:t>
            </w:r>
            <w:r>
              <w:rPr>
                <w:color w:val="000000"/>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GHF_GDDH</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购货方固定电话</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rFonts w:hint="eastAsia"/>
                <w:color w:val="000000"/>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GHF_SJ</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购货方手机</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rFonts w:hint="eastAsia"/>
                <w:color w:val="000000"/>
              </w:rPr>
              <w:t>是</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r>
              <w:rPr>
                <w:rFonts w:hint="eastAsia"/>
                <w:color w:val="000000"/>
              </w:rPr>
              <w:t>手机必填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GHF_EMAIL</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购货方邮箱</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50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rFonts w:hint="eastAsia"/>
                <w:color w:val="000000"/>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GHFQYLX</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购货方企业类型</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rFonts w:hint="eastAsia"/>
                <w:color w:val="000000"/>
              </w:rPr>
              <w:t>是</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r>
              <w:rPr>
                <w:color w:val="000000"/>
              </w:rPr>
              <w:t>01</w:t>
            </w:r>
            <w:r>
              <w:rPr>
                <w:rFonts w:hint="eastAsia"/>
                <w:color w:val="000000"/>
              </w:rPr>
              <w:t>：企业</w:t>
            </w:r>
          </w:p>
          <w:p>
            <w:pPr>
              <w:spacing w:line="360" w:lineRule="auto"/>
              <w:rPr>
                <w:color w:val="000000"/>
              </w:rPr>
            </w:pPr>
            <w:r>
              <w:rPr>
                <w:color w:val="000000"/>
              </w:rPr>
              <w:t>02</w:t>
            </w:r>
            <w:r>
              <w:rPr>
                <w:rFonts w:hint="eastAsia"/>
                <w:color w:val="000000"/>
              </w:rPr>
              <w:t>：机关事业单位</w:t>
            </w:r>
          </w:p>
          <w:p>
            <w:pPr>
              <w:spacing w:line="360" w:lineRule="auto"/>
              <w:rPr>
                <w:color w:val="000000"/>
              </w:rPr>
            </w:pPr>
            <w:r>
              <w:rPr>
                <w:color w:val="000000"/>
              </w:rPr>
              <w:t>03</w:t>
            </w:r>
            <w:r>
              <w:rPr>
                <w:rFonts w:hint="eastAsia"/>
                <w:color w:val="000000"/>
              </w:rPr>
              <w:t>：个人</w:t>
            </w:r>
          </w:p>
          <w:p>
            <w:pPr>
              <w:spacing w:line="360" w:lineRule="auto"/>
              <w:rPr>
                <w:rFonts w:ascii="Calibri" w:hAnsi="Calibri"/>
                <w:color w:val="000000"/>
              </w:rPr>
            </w:pPr>
            <w:r>
              <w:rPr>
                <w:color w:val="000000"/>
              </w:rPr>
              <w:t>04</w:t>
            </w:r>
            <w:r>
              <w:rPr>
                <w:rFonts w:hint="eastAsia"/>
                <w:color w:val="000000"/>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GHF_YHZH</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购货方银行账号</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100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rFonts w:hint="eastAsia"/>
                <w:color w:val="000000"/>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r>
              <w:rPr>
                <w:rFonts w:hint="eastAsia"/>
                <w:color w:val="000000"/>
              </w:rPr>
              <w:t>开户行及账号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HY_DM</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行业代码</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10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rFonts w:hint="eastAsia"/>
                <w:color w:val="000000"/>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r>
              <w:rPr>
                <w:rFonts w:hint="eastAsia"/>
                <w:color w:val="000000"/>
              </w:rPr>
              <w:t>由企业端系统自动填写（根据企业注册信息）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HY_MC</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行业名称</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40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rFonts w:hint="eastAsia"/>
                <w:color w:val="000000"/>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r>
              <w:rPr>
                <w:rFonts w:hint="eastAsia"/>
                <w:color w:val="000000"/>
              </w:rPr>
              <w:t>由企业端系统自动填写（根据企业注册信息）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KPY</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开票员</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rFonts w:hint="eastAsia"/>
                <w:color w:val="000000"/>
              </w:rPr>
              <w:t>是</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r>
              <w:rPr>
                <w:rFonts w:hint="eastAsia"/>
                <w:color w:val="000000"/>
              </w:rPr>
              <w:t>企业名称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SKY</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收款员</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rFonts w:hint="eastAsia"/>
                <w:color w:val="000000"/>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FHR</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复核人</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8</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rFonts w:hint="eastAsia"/>
                <w:color w:val="000000"/>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KPRQ</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开票日期</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tabs>
                <w:tab w:val="left" w:pos="1095"/>
                <w:tab w:val="center" w:pos="2231"/>
              </w:tabs>
              <w:spacing w:line="360" w:lineRule="auto"/>
              <w:ind w:firstLine="315" w:firstLineChars="150"/>
              <w:rPr>
                <w:rFonts w:ascii="Calibri" w:hAnsi="Calibri"/>
              </w:rPr>
            </w:pPr>
            <w:r>
              <w:rPr>
                <w:color w:val="000000"/>
              </w:rPr>
              <w:t>DATETIME</w:t>
            </w:r>
          </w:p>
        </w:tc>
        <w:tc>
          <w:tcPr>
            <w:tcW w:w="1143" w:type="dxa"/>
            <w:tcBorders>
              <w:top w:val="single" w:color="auto" w:sz="4" w:space="0"/>
              <w:left w:val="single" w:color="auto" w:sz="4" w:space="0"/>
              <w:bottom w:val="single" w:color="auto" w:sz="4" w:space="0"/>
              <w:right w:val="single" w:color="auto" w:sz="4" w:space="0"/>
            </w:tcBorders>
            <w:vAlign w:val="center"/>
          </w:tcPr>
          <w:p>
            <w:pPr>
              <w:tabs>
                <w:tab w:val="left" w:pos="1095"/>
                <w:tab w:val="center" w:pos="2231"/>
              </w:tabs>
              <w:spacing w:line="360" w:lineRule="auto"/>
              <w:jc w:val="center"/>
              <w:rPr>
                <w:rFonts w:ascii="Calibri" w:hAnsi="Calibri"/>
              </w:rPr>
            </w:pPr>
          </w:p>
        </w:tc>
        <w:tc>
          <w:tcPr>
            <w:tcW w:w="1092" w:type="dxa"/>
            <w:tcBorders>
              <w:top w:val="single" w:color="auto" w:sz="4" w:space="0"/>
              <w:left w:val="single" w:color="auto" w:sz="4" w:space="0"/>
              <w:bottom w:val="single" w:color="auto" w:sz="4" w:space="0"/>
              <w:right w:val="single" w:color="auto" w:sz="4" w:space="0"/>
            </w:tcBorders>
            <w:vAlign w:val="center"/>
          </w:tcPr>
          <w:p>
            <w:pPr>
              <w:tabs>
                <w:tab w:val="left" w:pos="1095"/>
                <w:tab w:val="center" w:pos="2231"/>
              </w:tabs>
              <w:spacing w:line="360" w:lineRule="auto"/>
              <w:ind w:firstLine="210" w:firstLineChars="100"/>
              <w:rPr>
                <w:rFonts w:ascii="Calibri" w:hAnsi="Calibri"/>
                <w:color w:val="000000"/>
              </w:rPr>
            </w:pPr>
            <w:r>
              <w:rPr>
                <w:rFonts w:hint="eastAsia"/>
                <w:color w:val="000000"/>
              </w:rPr>
              <w:t>否</w:t>
            </w:r>
          </w:p>
        </w:tc>
        <w:tc>
          <w:tcPr>
            <w:tcW w:w="1984" w:type="dxa"/>
            <w:tcBorders>
              <w:top w:val="single" w:color="auto" w:sz="4" w:space="0"/>
              <w:left w:val="single" w:color="auto" w:sz="4" w:space="0"/>
              <w:bottom w:val="single" w:color="auto" w:sz="4" w:space="0"/>
              <w:right w:val="single" w:color="auto" w:sz="4" w:space="0"/>
            </w:tcBorders>
            <w:vAlign w:val="center"/>
          </w:tcPr>
          <w:p>
            <w:pPr>
              <w:tabs>
                <w:tab w:val="left" w:pos="1095"/>
                <w:tab w:val="center" w:pos="2231"/>
              </w:tabs>
              <w:spacing w:line="360" w:lineRule="auto"/>
              <w:rPr>
                <w:rFonts w:ascii="Calibri" w:hAnsi="Calibri"/>
                <w:color w:val="000000"/>
              </w:rPr>
            </w:pPr>
            <w:r>
              <w:rPr>
                <w:rFonts w:hint="eastAsia"/>
                <w:color w:val="000000"/>
                <w:kern w:val="0"/>
              </w:rPr>
              <w:t>格式</w:t>
            </w:r>
            <w:r>
              <w:rPr>
                <w:color w:val="000000"/>
                <w:kern w:val="0"/>
              </w:rPr>
              <w:t>YYY-MM-DD HH:MI:SS(</w:t>
            </w:r>
            <w:r>
              <w:rPr>
                <w:rFonts w:hint="eastAsia"/>
                <w:color w:val="000000"/>
              </w:rPr>
              <w:t>由开票系统生成</w:t>
            </w:r>
            <w:r>
              <w:rPr>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KPLX</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开票类型</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ind w:firstLine="210" w:firstLineChars="100"/>
              <w:rPr>
                <w:rFonts w:ascii="Calibri" w:hAnsi="Calibri"/>
              </w:rPr>
            </w:pPr>
            <w:r>
              <w:t>NUMBER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ind w:left="315" w:leftChars="150" w:firstLine="105" w:firstLineChars="50"/>
              <w:rPr>
                <w:rFonts w:ascii="Calibri" w:hAnsi="Calibri"/>
              </w:rPr>
            </w:pPr>
            <w:r>
              <w:t>1</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ind w:firstLine="210" w:firstLineChars="100"/>
              <w:rPr>
                <w:rFonts w:ascii="Calibri" w:hAnsi="Calibri"/>
                <w:color w:val="000000"/>
              </w:rPr>
            </w:pPr>
            <w:r>
              <w:rPr>
                <w:rFonts w:hint="eastAsia"/>
                <w:color w:val="000000"/>
              </w:rPr>
              <w:t>是</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r>
              <w:rPr>
                <w:color w:val="000000"/>
              </w:rPr>
              <w:t>1</w:t>
            </w:r>
            <w:r>
              <w:rPr>
                <w:rFonts w:hint="eastAsia"/>
                <w:color w:val="000000"/>
              </w:rPr>
              <w:t>正票</w:t>
            </w:r>
          </w:p>
          <w:p>
            <w:pPr>
              <w:spacing w:line="360" w:lineRule="auto"/>
              <w:rPr>
                <w:rFonts w:ascii="Calibri" w:hAnsi="Calibri"/>
                <w:color w:val="000000"/>
              </w:rPr>
            </w:pPr>
            <w:r>
              <w:rPr>
                <w:color w:val="000000"/>
              </w:rPr>
              <w:t>2</w:t>
            </w:r>
            <w:r>
              <w:rPr>
                <w:rFonts w:hint="eastAsia"/>
                <w:color w:val="000000"/>
              </w:rPr>
              <w:t>红票</w:t>
            </w:r>
            <w:r>
              <w:rPr>
                <w:color w:val="00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YFP_DM</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原发票代码</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12</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rFonts w:hint="eastAsia"/>
                <w:color w:val="000000"/>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r>
              <w:rPr>
                <w:rFonts w:hint="eastAsia"/>
                <w:color w:val="000000"/>
              </w:rPr>
              <w:t>如果</w:t>
            </w:r>
            <w:r>
              <w:rPr>
                <w:color w:val="000000"/>
              </w:rPr>
              <w:t>CZDM</w:t>
            </w:r>
            <w:r>
              <w:rPr>
                <w:rFonts w:hint="eastAsia"/>
                <w:color w:val="000000"/>
              </w:rPr>
              <w:t>不是</w:t>
            </w:r>
            <w:r>
              <w:rPr>
                <w:color w:val="000000"/>
              </w:rPr>
              <w:t>10</w:t>
            </w:r>
            <w:r>
              <w:rPr>
                <w:rFonts w:hint="eastAsia"/>
                <w:color w:val="000000"/>
              </w:rPr>
              <w:t>或</w:t>
            </w:r>
            <w:r>
              <w:rPr>
                <w:color w:val="000000"/>
              </w:rPr>
              <w:t>KPLX</w:t>
            </w:r>
            <w:r>
              <w:rPr>
                <w:rFonts w:hint="eastAsia"/>
                <w:color w:val="000000"/>
              </w:rPr>
              <w:t>为红票时候都是必录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YFP_HM</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原发票号码</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8</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rFonts w:hint="eastAsia"/>
                <w:color w:val="000000"/>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r>
              <w:rPr>
                <w:rFonts w:hint="eastAsia"/>
                <w:color w:val="000000"/>
              </w:rPr>
              <w:t>如果</w:t>
            </w:r>
            <w:r>
              <w:rPr>
                <w:color w:val="000000"/>
              </w:rPr>
              <w:t>CZDM</w:t>
            </w:r>
            <w:r>
              <w:rPr>
                <w:rFonts w:hint="eastAsia"/>
                <w:color w:val="000000"/>
              </w:rPr>
              <w:t>不是</w:t>
            </w:r>
            <w:r>
              <w:rPr>
                <w:color w:val="000000"/>
              </w:rPr>
              <w:t>10</w:t>
            </w:r>
            <w:r>
              <w:rPr>
                <w:rFonts w:hint="eastAsia"/>
                <w:color w:val="000000"/>
              </w:rPr>
              <w:t>或</w:t>
            </w:r>
            <w:r>
              <w:rPr>
                <w:color w:val="000000"/>
              </w:rPr>
              <w:t>KPLX</w:t>
            </w:r>
            <w:r>
              <w:rPr>
                <w:rFonts w:hint="eastAsia"/>
                <w:color w:val="000000"/>
              </w:rPr>
              <w:t>为红票时候都是必录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TSCHBZ</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特殊冲红标志</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1</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rFonts w:hint="eastAsia"/>
                <w:color w:val="000000"/>
              </w:rPr>
              <w:t>是</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r>
              <w:rPr>
                <w:color w:val="000000"/>
              </w:rPr>
              <w:t>0</w:t>
            </w:r>
            <w:r>
              <w:rPr>
                <w:rFonts w:hint="eastAsia"/>
                <w:color w:val="000000"/>
              </w:rPr>
              <w:t>正常冲红</w:t>
            </w:r>
            <w:r>
              <w:rPr>
                <w:color w:val="000000"/>
              </w:rPr>
              <w:t>(</w:t>
            </w:r>
            <w:r>
              <w:rPr>
                <w:rFonts w:hint="eastAsia"/>
                <w:color w:val="000000"/>
              </w:rPr>
              <w:t>电子发票</w:t>
            </w:r>
            <w:r>
              <w:rPr>
                <w:color w:val="000000"/>
              </w:rPr>
              <w:t>)</w:t>
            </w:r>
          </w:p>
          <w:p>
            <w:pPr>
              <w:spacing w:line="360" w:lineRule="auto"/>
              <w:rPr>
                <w:rFonts w:ascii="Calibri" w:hAnsi="Calibri"/>
                <w:color w:val="000000"/>
              </w:rPr>
            </w:pPr>
            <w:r>
              <w:rPr>
                <w:color w:val="000000"/>
              </w:rPr>
              <w:t>1</w:t>
            </w:r>
            <w:r>
              <w:rPr>
                <w:rFonts w:hint="eastAsia"/>
                <w:color w:val="000000"/>
              </w:rPr>
              <w:t>特殊冲红</w:t>
            </w:r>
            <w:r>
              <w:rPr>
                <w:color w:val="000000"/>
              </w:rPr>
              <w:t>(</w:t>
            </w:r>
            <w:r>
              <w:rPr>
                <w:rFonts w:hint="eastAsia"/>
                <w:color w:val="000000"/>
              </w:rPr>
              <w:t>冲红纸质等</w:t>
            </w: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CZDM</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操作代码</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rFonts w:hint="eastAsia"/>
                <w:color w:val="000000"/>
              </w:rPr>
              <w:t>是</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r>
              <w:rPr>
                <w:color w:val="000000"/>
              </w:rPr>
              <w:t>10</w:t>
            </w:r>
            <w:r>
              <w:rPr>
                <w:rFonts w:hint="eastAsia"/>
                <w:color w:val="000000"/>
              </w:rPr>
              <w:t>正票正常开具</w:t>
            </w:r>
          </w:p>
          <w:p>
            <w:pPr>
              <w:spacing w:line="360" w:lineRule="auto"/>
              <w:rPr>
                <w:color w:val="000000"/>
              </w:rPr>
            </w:pPr>
            <w:r>
              <w:rPr>
                <w:color w:val="000000"/>
              </w:rPr>
              <w:t>11</w:t>
            </w:r>
            <w:r>
              <w:rPr>
                <w:rFonts w:hint="eastAsia"/>
                <w:color w:val="000000"/>
              </w:rPr>
              <w:t>正票错票重开</w:t>
            </w:r>
          </w:p>
          <w:p>
            <w:pPr>
              <w:spacing w:line="360" w:lineRule="auto"/>
              <w:rPr>
                <w:rFonts w:ascii="Calibri" w:hAnsi="Calibri"/>
                <w:color w:val="000000"/>
              </w:rPr>
            </w:pPr>
            <w:r>
              <w:rPr>
                <w:color w:val="000000"/>
              </w:rPr>
              <w:t>20</w:t>
            </w:r>
            <w:r>
              <w:rPr>
                <w:rFonts w:hint="eastAsia"/>
                <w:color w:val="000000"/>
              </w:rPr>
              <w:t>退货折让红票、</w:t>
            </w:r>
            <w:r>
              <w:rPr>
                <w:color w:val="000000"/>
              </w:rPr>
              <w:t>21</w:t>
            </w:r>
            <w:r>
              <w:rPr>
                <w:rFonts w:hint="eastAsia"/>
                <w:color w:val="000000"/>
              </w:rPr>
              <w:t>错票重开红票、</w:t>
            </w:r>
            <w:r>
              <w:rPr>
                <w:color w:val="000000"/>
              </w:rPr>
              <w:t>22</w:t>
            </w:r>
            <w:r>
              <w:rPr>
                <w:rFonts w:hint="eastAsia"/>
                <w:color w:val="000000"/>
              </w:rPr>
              <w:t>换票冲红（全冲红电子发票，开具纸质发票）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CHYY</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冲红原因</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rFonts w:hint="eastAsia"/>
                <w:color w:val="000000"/>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r>
              <w:rPr>
                <w:rFonts w:hint="eastAsia"/>
                <w:color w:val="000000"/>
              </w:rPr>
              <w:t>冲红时填写，由企业定义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KPHJJE</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价税合计金额</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DOUBLE</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16</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rFonts w:hint="eastAsia"/>
                <w:color w:val="000000"/>
              </w:rPr>
              <w:t>是</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r>
              <w:rPr>
                <w:rFonts w:hint="eastAsia"/>
                <w:color w:val="000000"/>
              </w:rPr>
              <w:t>小数点后</w:t>
            </w:r>
            <w:r>
              <w:rPr>
                <w:color w:val="000000"/>
              </w:rPr>
              <w:t>2</w:t>
            </w:r>
            <w:r>
              <w:rPr>
                <w:rFonts w:hint="eastAsia"/>
                <w:color w:val="000000"/>
              </w:rPr>
              <w:t>位，以元为单位精确到分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HJBHSJE</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合计不含税金额。所有商品行不含税金额之和。</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DOUBLE</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rFonts w:hint="eastAsia"/>
                <w:color w:val="000000"/>
              </w:rPr>
              <w:t>是</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r>
              <w:rPr>
                <w:rFonts w:hint="eastAsia"/>
                <w:color w:val="000000"/>
              </w:rPr>
              <w:t>小数点后</w:t>
            </w:r>
            <w:r>
              <w:rPr>
                <w:color w:val="000000"/>
              </w:rPr>
              <w:t>2</w:t>
            </w:r>
            <w:r>
              <w:rPr>
                <w:rFonts w:hint="eastAsia"/>
                <w:color w:val="000000"/>
              </w:rPr>
              <w:t>位，以元为单位精确到分（单行商品金额之和）。平台处理价税分离，此值传</w:t>
            </w:r>
            <w:r>
              <w:rPr>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HJSE</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合计税额。所有商品行税额之和。</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color w:val="000000"/>
              </w:rPr>
              <w:t>DOUBLE</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rFonts w:hint="eastAsia"/>
                <w:color w:val="000000"/>
              </w:rPr>
              <w:t>是</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r>
              <w:rPr>
                <w:rFonts w:hint="eastAsia"/>
                <w:color w:val="000000"/>
              </w:rPr>
              <w:t>小数点后</w:t>
            </w:r>
            <w:r>
              <w:rPr>
                <w:color w:val="000000"/>
              </w:rPr>
              <w:t>2</w:t>
            </w:r>
            <w:r>
              <w:rPr>
                <w:rFonts w:hint="eastAsia"/>
                <w:color w:val="000000"/>
              </w:rPr>
              <w:t>位，以元为单位精确到分</w:t>
            </w:r>
            <w:r>
              <w:rPr>
                <w:color w:val="000000"/>
              </w:rPr>
              <w:t>(</w:t>
            </w:r>
            <w:r>
              <w:rPr>
                <w:rFonts w:hint="eastAsia"/>
                <w:color w:val="000000"/>
              </w:rPr>
              <w:t>单行商品税额之和</w:t>
            </w:r>
            <w:r>
              <w:rPr>
                <w:color w:val="000000"/>
              </w:rPr>
              <w:t>)</w:t>
            </w:r>
            <w:r>
              <w:rPr>
                <w:rFonts w:hint="eastAsia"/>
                <w:color w:val="000000"/>
              </w:rPr>
              <w:t>，平台处理价税分离，此值传</w:t>
            </w:r>
            <w:r>
              <w:rPr>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BZ</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备注</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rFonts w:hint="eastAsia"/>
                <w:color w:val="000000"/>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kern w:val="0"/>
              </w:rPr>
            </w:pPr>
          </w:p>
          <w:p>
            <w:pPr>
              <w:spacing w:line="360" w:lineRule="auto"/>
              <w:rPr>
                <w:rFonts w:ascii="Calibri" w:hAnsi="Calibri"/>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spacing w:line="360" w:lineRule="auto"/>
              <w:ind w:left="180"/>
              <w:rPr>
                <w:rFonts w:ascii="Calibri" w:hAnsi="Calibri"/>
              </w:rPr>
            </w:pPr>
          </w:p>
        </w:tc>
        <w:tc>
          <w:tcPr>
            <w:tcW w:w="9597" w:type="dxa"/>
            <w:gridSpan w:val="10"/>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b/>
              </w:rPr>
              <w:t>增值税发票红字发票开具时</w:t>
            </w:r>
            <w:r>
              <w:rPr>
                <w:rFonts w:hint="eastAsia"/>
              </w:rPr>
              <w:t>，备注要求</w:t>
            </w:r>
            <w:r>
              <w:t>:</w:t>
            </w:r>
          </w:p>
          <w:p>
            <w:pPr>
              <w:spacing w:line="360" w:lineRule="auto"/>
              <w:rPr>
                <w:rFonts w:ascii="宋体" w:hAnsi="宋体" w:cs="宋体"/>
                <w:kern w:val="0"/>
              </w:rPr>
            </w:pPr>
            <w:r>
              <w:rPr>
                <w:rFonts w:hint="eastAsia"/>
              </w:rPr>
              <w:t>开具负数发票，必须在备注中注明“对应正数发票代码</w:t>
            </w:r>
            <w:r>
              <w:t>:XXXXXXXXX</w:t>
            </w:r>
            <w:r>
              <w:rPr>
                <w:rFonts w:hint="eastAsia"/>
              </w:rPr>
              <w:t>号码</w:t>
            </w:r>
            <w:r>
              <w:t>:YYYYYYYY</w:t>
            </w:r>
            <w:r>
              <w:rPr>
                <w:rFonts w:hint="eastAsia"/>
              </w:rPr>
              <w:t>”字样，其中“</w:t>
            </w:r>
            <w:r>
              <w:t>X</w:t>
            </w:r>
            <w:r>
              <w:rPr>
                <w:rFonts w:hint="eastAsia"/>
              </w:rPr>
              <w:t>”为发票代码，“</w:t>
            </w:r>
            <w:r>
              <w:t>Y</w:t>
            </w:r>
            <w:r>
              <w:rPr>
                <w:rFonts w:hint="eastAsia"/>
              </w:rPr>
              <w:t>”为发票号码。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BYZD1</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备用字段</w:t>
            </w:r>
            <w:r>
              <w:t>1</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不定</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BYZD2</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备用字段</w:t>
            </w:r>
            <w:r>
              <w:t>2</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不定</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BYZD3</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备用字段</w:t>
            </w:r>
            <w:r>
              <w:t>3</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不定</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BYZD4</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备用字段</w:t>
            </w:r>
            <w:r>
              <w:t>4</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不定</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ascii="Calibri" w:hAnsi="Calibri"/>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BYZD5</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备用字段</w:t>
            </w:r>
            <w:r>
              <w:t>5</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不定</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314" w:type="dxa"/>
            <w:gridSpan w:val="11"/>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(XMXX)</w:t>
            </w:r>
            <w:r>
              <w:rPr>
                <w:rFonts w:hint="eastAsia"/>
              </w:rPr>
              <w:t>项目信息（发票明细）（多条）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0"/>
              </w:numPr>
              <w:spacing w:line="360" w:lineRule="auto"/>
              <w:rPr>
                <w:rFonts w:ascii="Calibri" w:hAnsi="Calibri"/>
              </w:rPr>
            </w:pPr>
          </w:p>
        </w:tc>
        <w:tc>
          <w:tcPr>
            <w:tcW w:w="17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XMMC</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项目名称</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FF0000"/>
              </w:rPr>
            </w:pPr>
            <w:r>
              <w:rPr>
                <w:rFonts w:hint="eastAsia"/>
                <w:color w:val="000000"/>
              </w:rPr>
              <w:t>是</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ascii="Tahoma" w:hAnsi="Tahoma" w:cs="Tahoma"/>
                <w:color w:val="000000"/>
                <w:szCs w:val="21"/>
                <w:shd w:val="clear" w:color="auto" w:fill="FFFFFF"/>
              </w:rPr>
              <w:t>如果是折扣行对应被折扣项目为一行则折扣项目名称必须为</w:t>
            </w:r>
            <w:r>
              <w:rPr>
                <w:rFonts w:ascii="Tahoma" w:hAnsi="Tahoma" w:cs="Tahoma"/>
                <w:color w:val="000000"/>
                <w:szCs w:val="21"/>
                <w:shd w:val="clear" w:color="auto" w:fill="FFFFFF"/>
              </w:rPr>
              <w:t>“</w:t>
            </w:r>
            <w:r>
              <w:rPr>
                <w:rFonts w:hint="eastAsia" w:ascii="Tahoma" w:hAnsi="Tahoma" w:cs="Tahoma"/>
                <w:color w:val="000000"/>
                <w:szCs w:val="21"/>
                <w:shd w:val="clear" w:color="auto" w:fill="FFFFFF"/>
              </w:rPr>
              <w:t>折扣</w:t>
            </w:r>
            <w:r>
              <w:rPr>
                <w:rFonts w:ascii="Tahoma" w:hAnsi="Tahoma" w:cs="Tahoma"/>
                <w:color w:val="000000"/>
                <w:szCs w:val="21"/>
                <w:shd w:val="clear" w:color="auto" w:fill="FFFFFF"/>
              </w:rPr>
              <w:t>(XX.XXX%)”</w:t>
            </w:r>
            <w:r>
              <w:rPr>
                <w:rFonts w:hint="eastAsia" w:ascii="Tahoma" w:hAnsi="Tahoma" w:cs="Tahoma"/>
                <w:color w:val="000000"/>
                <w:szCs w:val="21"/>
                <w:shd w:val="clear" w:color="auto" w:fill="FFFFFF"/>
              </w:rPr>
              <w:t>；如果折扣行对应项目为多行，则折扣项目名称为</w:t>
            </w:r>
            <w:r>
              <w:rPr>
                <w:rFonts w:ascii="Tahoma" w:hAnsi="Tahoma" w:cs="Tahoma"/>
                <w:color w:val="000000"/>
                <w:szCs w:val="21"/>
                <w:shd w:val="clear" w:color="auto" w:fill="FFFFFF"/>
              </w:rPr>
              <w:t>“</w:t>
            </w:r>
            <w:r>
              <w:rPr>
                <w:rFonts w:hint="eastAsia" w:ascii="Tahoma" w:hAnsi="Tahoma" w:cs="Tahoma"/>
                <w:color w:val="000000"/>
                <w:szCs w:val="21"/>
                <w:shd w:val="clear" w:color="auto" w:fill="FFFFFF"/>
              </w:rPr>
              <w:t>折扣行数</w:t>
            </w:r>
            <w:r>
              <w:rPr>
                <w:rFonts w:ascii="Tahoma" w:hAnsi="Tahoma" w:cs="Tahoma"/>
                <w:color w:val="000000"/>
                <w:szCs w:val="21"/>
                <w:shd w:val="clear" w:color="auto" w:fill="FFFFFF"/>
              </w:rPr>
              <w:t>X(XX.XXX%)”</w:t>
            </w:r>
            <w:r>
              <w:rPr>
                <w:rFonts w:hint="eastAsia" w:ascii="Tahoma" w:hAnsi="Tahoma" w:cs="Tahoma"/>
                <w:color w:val="000000"/>
                <w:szCs w:val="21"/>
                <w:shd w:val="clear" w:color="auto" w:fill="FFFFFF"/>
              </w:rPr>
              <w:t>，且项目金额和税额为负数。折扣行必须紧邻被折扣行的下方。同一个税率下的被折扣项目，可以对应一个折扣行或多个折扣行。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0"/>
              </w:numPr>
              <w:spacing w:line="360" w:lineRule="auto"/>
              <w:rPr>
                <w:rFonts w:ascii="Calibri" w:hAnsi="Calibri"/>
              </w:rPr>
            </w:pPr>
          </w:p>
        </w:tc>
        <w:tc>
          <w:tcPr>
            <w:tcW w:w="17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XMDW</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项目单位</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100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0"/>
              </w:numPr>
              <w:spacing w:line="360" w:lineRule="auto"/>
              <w:rPr>
                <w:rFonts w:ascii="Calibri" w:hAnsi="Calibri"/>
              </w:rPr>
            </w:pPr>
          </w:p>
        </w:tc>
        <w:tc>
          <w:tcPr>
            <w:tcW w:w="17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GGXH</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规格型号</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0"/>
              </w:numPr>
              <w:spacing w:line="360" w:lineRule="auto"/>
              <w:rPr>
                <w:rFonts w:ascii="Calibri" w:hAnsi="Calibri"/>
              </w:rPr>
            </w:pPr>
          </w:p>
        </w:tc>
        <w:tc>
          <w:tcPr>
            <w:tcW w:w="17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XMSL</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项目数量</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DOUBLE</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24</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小数点后</w:t>
            </w:r>
            <w:r>
              <w:t>8</w:t>
            </w:r>
            <w:r>
              <w:rPr>
                <w:rFonts w:hint="eastAsia"/>
              </w:rPr>
              <w:t>位</w:t>
            </w:r>
            <w:r>
              <w:t xml:space="preserve">, </w:t>
            </w:r>
            <w:r>
              <w:rPr>
                <w:rFonts w:hint="eastAsia"/>
              </w:rPr>
              <w:t>小数点后都是</w:t>
            </w:r>
            <w:r>
              <w:t>0</w:t>
            </w:r>
            <w:r>
              <w:rPr>
                <w:rFonts w:hint="eastAsia"/>
              </w:rPr>
              <w:t>时，</w:t>
            </w:r>
            <w:r>
              <w:t>PDF</w:t>
            </w:r>
            <w:r>
              <w:rPr>
                <w:rFonts w:hint="eastAsia"/>
              </w:rPr>
              <w:t>上只显示整数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0"/>
              </w:numPr>
              <w:spacing w:line="360" w:lineRule="auto"/>
              <w:rPr>
                <w:rFonts w:ascii="Calibri" w:hAnsi="Calibri"/>
              </w:rPr>
            </w:pPr>
          </w:p>
        </w:tc>
        <w:tc>
          <w:tcPr>
            <w:tcW w:w="17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HSBZ</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含税标志</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1</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表示项目单价和项目金额是否含税。</w:t>
            </w:r>
            <w:r>
              <w:t>0</w:t>
            </w:r>
            <w:r>
              <w:rPr>
                <w:rFonts w:hint="eastAsia"/>
              </w:rPr>
              <w:t>表示都不含税，</w:t>
            </w:r>
            <w:r>
              <w:t>1</w:t>
            </w:r>
            <w:r>
              <w:rPr>
                <w:rFonts w:hint="eastAsia"/>
              </w:rPr>
              <w:t>表示都含税。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0"/>
              </w:numPr>
              <w:spacing w:line="360" w:lineRule="auto"/>
              <w:rPr>
                <w:rFonts w:ascii="Calibri" w:hAnsi="Calibri"/>
              </w:rPr>
            </w:pPr>
          </w:p>
        </w:tc>
        <w:tc>
          <w:tcPr>
            <w:tcW w:w="17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XMDJ</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项目单价</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DOUBLE</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24</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小数点后</w:t>
            </w:r>
            <w:r>
              <w:t>8</w:t>
            </w:r>
            <w:r>
              <w:rPr>
                <w:rFonts w:hint="eastAsia"/>
              </w:rPr>
              <w:t>位小数点后都是</w:t>
            </w:r>
            <w:r>
              <w:t>0</w:t>
            </w:r>
            <w:r>
              <w:rPr>
                <w:rFonts w:hint="eastAsia"/>
              </w:rPr>
              <w:t>时，</w:t>
            </w:r>
            <w:r>
              <w:t>PDF</w:t>
            </w:r>
            <w:r>
              <w:rPr>
                <w:rFonts w:hint="eastAsia"/>
              </w:rPr>
              <w:t>上只显示</w:t>
            </w:r>
            <w:r>
              <w:t>2</w:t>
            </w:r>
            <w:r>
              <w:rPr>
                <w:rFonts w:hint="eastAsia"/>
              </w:rPr>
              <w:t>位小数；否则只显示至最后一位不为</w:t>
            </w:r>
            <w:r>
              <w:t>0</w:t>
            </w:r>
            <w:r>
              <w:rPr>
                <w:rFonts w:hint="eastAsia"/>
              </w:rPr>
              <w:t>的数字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0"/>
              </w:numPr>
              <w:spacing w:line="360" w:lineRule="auto"/>
              <w:rPr>
                <w:rFonts w:ascii="Calibri" w:hAnsi="Calibri"/>
              </w:rPr>
            </w:pPr>
          </w:p>
        </w:tc>
        <w:tc>
          <w:tcPr>
            <w:tcW w:w="17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XMBM</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项目编码</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16</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0"/>
              </w:numPr>
              <w:spacing w:line="360" w:lineRule="auto"/>
              <w:rPr>
                <w:rFonts w:ascii="Calibri" w:hAnsi="Calibri"/>
              </w:rPr>
            </w:pPr>
          </w:p>
        </w:tc>
        <w:tc>
          <w:tcPr>
            <w:tcW w:w="17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XMJE</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项目金额</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DOUBLE</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16</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小数点后</w:t>
            </w:r>
            <w:r>
              <w:t>2</w:t>
            </w:r>
            <w:r>
              <w:rPr>
                <w:rFonts w:hint="eastAsia"/>
              </w:rPr>
              <w:t>位，以元为单位精确到分。</w:t>
            </w:r>
          </w:p>
          <w:p>
            <w:pPr>
              <w:spacing w:line="360" w:lineRule="auto"/>
              <w:rPr>
                <w:rFonts w:ascii="Calibri" w:hAnsi="Calibri"/>
              </w:rPr>
            </w:pPr>
            <w:r>
              <w:rPr>
                <w:rFonts w:hint="eastAsia"/>
              </w:rPr>
              <w:t>等于</w:t>
            </w:r>
            <w:r>
              <w:t>=</w:t>
            </w:r>
            <w:r>
              <w:rPr>
                <w:rFonts w:hint="eastAsia"/>
              </w:rPr>
              <w:t>单价</w:t>
            </w:r>
            <w:r>
              <w:t>*</w:t>
            </w:r>
            <w:r>
              <w:rPr>
                <w:rFonts w:hint="eastAsia"/>
              </w:rPr>
              <w:t>数量，根据含税标志，确定此金额是否为含税金额。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0"/>
              </w:numPr>
              <w:spacing w:line="360" w:lineRule="auto"/>
              <w:rPr>
                <w:rFonts w:ascii="Calibri" w:hAnsi="Calibri"/>
              </w:rPr>
            </w:pPr>
          </w:p>
        </w:tc>
        <w:tc>
          <w:tcPr>
            <w:tcW w:w="17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SL</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税率</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10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如果税率为</w:t>
            </w:r>
            <w:r>
              <w:t>0</w:t>
            </w:r>
            <w:r>
              <w:rPr>
                <w:rFonts w:hint="eastAsia"/>
              </w:rPr>
              <w:t>，表示免税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0"/>
              </w:numPr>
              <w:spacing w:line="360" w:lineRule="auto"/>
              <w:rPr>
                <w:rFonts w:ascii="Calibri" w:hAnsi="Calibri"/>
              </w:rPr>
            </w:pPr>
          </w:p>
        </w:tc>
        <w:tc>
          <w:tcPr>
            <w:tcW w:w="17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SE</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税额</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color w:val="000000"/>
              </w:rPr>
              <w:t>DOUBLE</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小数点后</w:t>
            </w:r>
            <w:r>
              <w:t>2</w:t>
            </w:r>
            <w:r>
              <w:rPr>
                <w:rFonts w:hint="eastAsia"/>
              </w:rPr>
              <w:t>位，以元为单位精确到分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0"/>
              </w:numPr>
              <w:spacing w:line="360" w:lineRule="auto"/>
              <w:rPr>
                <w:rFonts w:ascii="Calibri" w:hAnsi="Calibri"/>
              </w:rPr>
            </w:pPr>
          </w:p>
        </w:tc>
        <w:tc>
          <w:tcPr>
            <w:tcW w:w="17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BYZD1</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备用字段</w:t>
            </w:r>
            <w:r>
              <w:t>1</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不定</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0"/>
              </w:numPr>
              <w:spacing w:line="360" w:lineRule="auto"/>
              <w:rPr>
                <w:rFonts w:ascii="Calibri" w:hAnsi="Calibri"/>
              </w:rPr>
            </w:pPr>
          </w:p>
        </w:tc>
        <w:tc>
          <w:tcPr>
            <w:tcW w:w="17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BYZD2</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备用字段</w:t>
            </w:r>
            <w:r>
              <w:t>2</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不定</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0"/>
              </w:numPr>
              <w:spacing w:line="360" w:lineRule="auto"/>
              <w:rPr>
                <w:rFonts w:ascii="Calibri" w:hAnsi="Calibri"/>
              </w:rPr>
            </w:pPr>
          </w:p>
        </w:tc>
        <w:tc>
          <w:tcPr>
            <w:tcW w:w="17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BYZD3</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备用字段</w:t>
            </w:r>
            <w:r>
              <w:t>3</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不定</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0"/>
              </w:numPr>
              <w:spacing w:line="360" w:lineRule="auto"/>
              <w:rPr>
                <w:rFonts w:ascii="Calibri" w:hAnsi="Calibri"/>
              </w:rPr>
            </w:pPr>
          </w:p>
        </w:tc>
        <w:tc>
          <w:tcPr>
            <w:tcW w:w="17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BYZD4</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备用字段</w:t>
            </w:r>
            <w:r>
              <w:t>4</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不定</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0"/>
              </w:numPr>
              <w:spacing w:line="360" w:lineRule="auto"/>
              <w:rPr>
                <w:rFonts w:ascii="Calibri" w:hAnsi="Calibri"/>
              </w:rPr>
            </w:pPr>
          </w:p>
        </w:tc>
        <w:tc>
          <w:tcPr>
            <w:tcW w:w="17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BYZD5</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备用字段</w:t>
            </w:r>
            <w:r>
              <w:t>5</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不定</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314" w:type="dxa"/>
            <w:gridSpan w:val="11"/>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(DDXX)</w:t>
            </w:r>
            <w:r>
              <w:rPr>
                <w:rFonts w:hint="eastAsia"/>
              </w:rPr>
              <w:t>订单信息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1"/>
              </w:numPr>
              <w:spacing w:line="360" w:lineRule="auto"/>
              <w:rPr>
                <w:rFonts w:ascii="Calibri" w:hAnsi="Calibri"/>
              </w:rPr>
            </w:pPr>
          </w:p>
        </w:tc>
        <w:tc>
          <w:tcPr>
            <w:tcW w:w="17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DDH</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订单号</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FF0000"/>
              </w:rPr>
            </w:pPr>
            <w:r>
              <w:rPr>
                <w:rFonts w:hint="eastAsia"/>
                <w:color w:val="000000"/>
              </w:rPr>
              <w:t>是</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1"/>
              </w:numPr>
              <w:spacing w:line="360" w:lineRule="auto"/>
              <w:rPr>
                <w:rFonts w:ascii="Calibri" w:hAnsi="Calibri"/>
              </w:rPr>
            </w:pPr>
          </w:p>
        </w:tc>
        <w:tc>
          <w:tcPr>
            <w:tcW w:w="17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THDH</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退货单号</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kern w:val="0"/>
              </w:rPr>
            </w:pPr>
            <w:r>
              <w:rPr>
                <w:rFonts w:hint="eastAsia"/>
                <w:kern w:val="0"/>
              </w:rPr>
              <w:t>在开具红字发票退货、折让的时候必须填写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1"/>
              </w:numPr>
              <w:spacing w:line="360" w:lineRule="auto"/>
              <w:rPr>
                <w:rFonts w:ascii="Calibri" w:hAnsi="Calibri"/>
              </w:rPr>
            </w:pPr>
          </w:p>
        </w:tc>
        <w:tc>
          <w:tcPr>
            <w:tcW w:w="17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DDDATE</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订单时间</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DATETIME</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lang w:val="de-DE"/>
              </w:rPr>
            </w:pPr>
            <w:r>
              <w:rPr>
                <w:rFonts w:hint="eastAsia"/>
                <w:kern w:val="0"/>
              </w:rPr>
              <w:t>格式</w:t>
            </w:r>
            <w:r>
              <w:rPr>
                <w:kern w:val="0"/>
                <w:lang w:val="de-DE"/>
              </w:rPr>
              <w:t>YYYY-MM-DD HH:MI:SS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314" w:type="dxa"/>
            <w:gridSpan w:val="11"/>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(DDMXXX)</w:t>
            </w:r>
            <w:r>
              <w:rPr>
                <w:rFonts w:hint="eastAsia"/>
              </w:rPr>
              <w:t>订单明细信息（多条）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2"/>
              </w:numPr>
              <w:spacing w:line="360" w:lineRule="auto"/>
              <w:ind w:left="0"/>
              <w:rPr>
                <w:rFonts w:ascii="Calibri" w:hAnsi="Calibri"/>
              </w:rPr>
            </w:pPr>
            <w:r>
              <w:t>1.</w:t>
            </w:r>
          </w:p>
        </w:tc>
        <w:tc>
          <w:tcPr>
            <w:tcW w:w="182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DDMC</w:t>
            </w:r>
          </w:p>
        </w:tc>
        <w:tc>
          <w:tcPr>
            <w:tcW w:w="176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名称</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VARCHAR</w:t>
            </w:r>
          </w:p>
        </w:tc>
        <w:tc>
          <w:tcPr>
            <w:tcW w:w="117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2"/>
              </w:numPr>
              <w:spacing w:line="360" w:lineRule="auto"/>
              <w:ind w:left="0"/>
              <w:rPr>
                <w:rFonts w:ascii="Calibri" w:hAnsi="Calibri"/>
              </w:rPr>
            </w:pPr>
            <w:r>
              <w:t>2.</w:t>
            </w:r>
          </w:p>
        </w:tc>
        <w:tc>
          <w:tcPr>
            <w:tcW w:w="182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DW</w:t>
            </w:r>
          </w:p>
        </w:tc>
        <w:tc>
          <w:tcPr>
            <w:tcW w:w="176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单位</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VARCHAR</w:t>
            </w:r>
          </w:p>
        </w:tc>
        <w:tc>
          <w:tcPr>
            <w:tcW w:w="117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100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2"/>
              </w:numPr>
              <w:spacing w:line="360" w:lineRule="auto"/>
              <w:ind w:left="0"/>
              <w:rPr>
                <w:rFonts w:ascii="Calibri" w:hAnsi="Calibri"/>
              </w:rPr>
            </w:pPr>
            <w:r>
              <w:t>3.</w:t>
            </w:r>
          </w:p>
        </w:tc>
        <w:tc>
          <w:tcPr>
            <w:tcW w:w="182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GGXH</w:t>
            </w:r>
          </w:p>
        </w:tc>
        <w:tc>
          <w:tcPr>
            <w:tcW w:w="176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规格型号</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VARCHAR</w:t>
            </w:r>
          </w:p>
        </w:tc>
        <w:tc>
          <w:tcPr>
            <w:tcW w:w="117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100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2"/>
              </w:numPr>
              <w:spacing w:line="360" w:lineRule="auto"/>
              <w:ind w:left="0"/>
              <w:rPr>
                <w:rFonts w:ascii="Calibri" w:hAnsi="Calibri"/>
              </w:rPr>
            </w:pPr>
            <w:r>
              <w:t>4.</w:t>
            </w:r>
          </w:p>
        </w:tc>
        <w:tc>
          <w:tcPr>
            <w:tcW w:w="182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SL</w:t>
            </w:r>
          </w:p>
        </w:tc>
        <w:tc>
          <w:tcPr>
            <w:tcW w:w="176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数量</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color w:val="000000"/>
              </w:rPr>
              <w:t>DOUBLE</w:t>
            </w:r>
          </w:p>
        </w:tc>
        <w:tc>
          <w:tcPr>
            <w:tcW w:w="117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24</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小数点后</w:t>
            </w:r>
            <w:r>
              <w:t>8</w:t>
            </w:r>
            <w:r>
              <w:rPr>
                <w:rFonts w:hint="eastAsia"/>
              </w:rPr>
              <w:t>位</w:t>
            </w:r>
            <w:r>
              <w:t xml:space="preserve">, </w:t>
            </w:r>
            <w:r>
              <w:rPr>
                <w:rFonts w:hint="eastAsia"/>
              </w:rPr>
              <w:t>小数点后都是</w:t>
            </w:r>
            <w:r>
              <w:t>0</w:t>
            </w:r>
            <w:r>
              <w:rPr>
                <w:rFonts w:hint="eastAsia"/>
              </w:rPr>
              <w:t>时，</w:t>
            </w:r>
            <w:r>
              <w:t>PDF</w:t>
            </w:r>
            <w:r>
              <w:rPr>
                <w:rFonts w:hint="eastAsia"/>
              </w:rPr>
              <w:t>上只显示整数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2"/>
              </w:numPr>
              <w:spacing w:line="360" w:lineRule="auto"/>
              <w:ind w:left="0"/>
              <w:rPr>
                <w:rFonts w:ascii="Calibri" w:hAnsi="Calibri"/>
              </w:rPr>
            </w:pPr>
            <w:r>
              <w:t>5.</w:t>
            </w:r>
          </w:p>
        </w:tc>
        <w:tc>
          <w:tcPr>
            <w:tcW w:w="182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DJ</w:t>
            </w:r>
          </w:p>
        </w:tc>
        <w:tc>
          <w:tcPr>
            <w:tcW w:w="176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单价</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color w:val="000000"/>
              </w:rPr>
              <w:t>DOUBLE</w:t>
            </w:r>
          </w:p>
        </w:tc>
        <w:tc>
          <w:tcPr>
            <w:tcW w:w="117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24</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小数点后</w:t>
            </w:r>
            <w:r>
              <w:t>8</w:t>
            </w:r>
            <w:r>
              <w:rPr>
                <w:rFonts w:hint="eastAsia"/>
              </w:rPr>
              <w:t>位小数点后都是</w:t>
            </w:r>
            <w:r>
              <w:t>0</w:t>
            </w:r>
            <w:r>
              <w:rPr>
                <w:rFonts w:hint="eastAsia"/>
              </w:rPr>
              <w:t>时，</w:t>
            </w:r>
            <w:r>
              <w:t>PDF</w:t>
            </w:r>
            <w:r>
              <w:rPr>
                <w:rFonts w:hint="eastAsia"/>
              </w:rPr>
              <w:t>上只显示</w:t>
            </w:r>
            <w:r>
              <w:t>2</w:t>
            </w:r>
            <w:r>
              <w:rPr>
                <w:rFonts w:hint="eastAsia"/>
              </w:rPr>
              <w:t>位小数；否则只显示至最后一位不为</w:t>
            </w:r>
            <w:r>
              <w:t>0</w:t>
            </w:r>
            <w:r>
              <w:rPr>
                <w:rFonts w:hint="eastAsia"/>
              </w:rPr>
              <w:t>的数字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2"/>
              </w:numPr>
              <w:spacing w:line="360" w:lineRule="auto"/>
              <w:ind w:left="0"/>
              <w:rPr>
                <w:rFonts w:ascii="Calibri" w:hAnsi="Calibri"/>
              </w:rPr>
            </w:pPr>
            <w:r>
              <w:t>6.</w:t>
            </w:r>
          </w:p>
        </w:tc>
        <w:tc>
          <w:tcPr>
            <w:tcW w:w="182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JE</w:t>
            </w:r>
          </w:p>
        </w:tc>
        <w:tc>
          <w:tcPr>
            <w:tcW w:w="176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金额</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color w:val="000000"/>
              </w:rPr>
              <w:t>DOUBLE</w:t>
            </w:r>
          </w:p>
        </w:tc>
        <w:tc>
          <w:tcPr>
            <w:tcW w:w="117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16</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小数点后</w:t>
            </w:r>
            <w:r>
              <w:t>2</w:t>
            </w:r>
            <w:r>
              <w:rPr>
                <w:rFonts w:hint="eastAsia"/>
              </w:rPr>
              <w:t>位，以元为单位精确到分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2"/>
              </w:numPr>
              <w:spacing w:line="360" w:lineRule="auto"/>
              <w:ind w:left="0"/>
              <w:rPr>
                <w:rFonts w:ascii="Calibri" w:hAnsi="Calibri"/>
              </w:rPr>
            </w:pPr>
            <w:r>
              <w:t>7.</w:t>
            </w:r>
          </w:p>
        </w:tc>
        <w:tc>
          <w:tcPr>
            <w:tcW w:w="182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BYZD1</w:t>
            </w:r>
          </w:p>
        </w:tc>
        <w:tc>
          <w:tcPr>
            <w:tcW w:w="176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备用字段</w:t>
            </w:r>
            <w:r>
              <w:t>1</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VARCHAR</w:t>
            </w:r>
          </w:p>
        </w:tc>
        <w:tc>
          <w:tcPr>
            <w:tcW w:w="117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不定</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2"/>
              </w:numPr>
              <w:spacing w:line="360" w:lineRule="auto"/>
              <w:ind w:left="0"/>
              <w:rPr>
                <w:rFonts w:ascii="Calibri" w:hAnsi="Calibri"/>
              </w:rPr>
            </w:pPr>
            <w:r>
              <w:t>8.</w:t>
            </w:r>
          </w:p>
        </w:tc>
        <w:tc>
          <w:tcPr>
            <w:tcW w:w="182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BYZD2</w:t>
            </w:r>
          </w:p>
        </w:tc>
        <w:tc>
          <w:tcPr>
            <w:tcW w:w="176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备用字段</w:t>
            </w:r>
            <w:r>
              <w:t>2</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VARCHAR</w:t>
            </w:r>
          </w:p>
        </w:tc>
        <w:tc>
          <w:tcPr>
            <w:tcW w:w="117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不定</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2"/>
              </w:numPr>
              <w:spacing w:line="360" w:lineRule="auto"/>
              <w:ind w:left="0"/>
              <w:rPr>
                <w:rFonts w:ascii="Calibri" w:hAnsi="Calibri"/>
              </w:rPr>
            </w:pPr>
            <w:r>
              <w:t>9.</w:t>
            </w:r>
          </w:p>
        </w:tc>
        <w:tc>
          <w:tcPr>
            <w:tcW w:w="182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BYZD3</w:t>
            </w:r>
          </w:p>
        </w:tc>
        <w:tc>
          <w:tcPr>
            <w:tcW w:w="176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备用字段</w:t>
            </w:r>
            <w:r>
              <w:t>3</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VARCHAR</w:t>
            </w:r>
          </w:p>
        </w:tc>
        <w:tc>
          <w:tcPr>
            <w:tcW w:w="117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不定</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2"/>
              </w:numPr>
              <w:spacing w:line="360" w:lineRule="auto"/>
              <w:ind w:left="0"/>
              <w:rPr>
                <w:rFonts w:ascii="Calibri" w:hAnsi="Calibri"/>
              </w:rPr>
            </w:pPr>
            <w:r>
              <w:t>10.</w:t>
            </w:r>
          </w:p>
        </w:tc>
        <w:tc>
          <w:tcPr>
            <w:tcW w:w="182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BYZD4</w:t>
            </w:r>
          </w:p>
        </w:tc>
        <w:tc>
          <w:tcPr>
            <w:tcW w:w="176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备用字段</w:t>
            </w:r>
            <w:r>
              <w:t>4</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VARCHAR</w:t>
            </w:r>
          </w:p>
        </w:tc>
        <w:tc>
          <w:tcPr>
            <w:tcW w:w="117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不定</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2"/>
              </w:numPr>
              <w:spacing w:line="360" w:lineRule="auto"/>
              <w:ind w:left="0"/>
              <w:rPr>
                <w:rFonts w:ascii="Calibri" w:hAnsi="Calibri"/>
              </w:rPr>
            </w:pPr>
            <w:r>
              <w:t>11.</w:t>
            </w:r>
          </w:p>
        </w:tc>
        <w:tc>
          <w:tcPr>
            <w:tcW w:w="182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BYZD5</w:t>
            </w:r>
          </w:p>
        </w:tc>
        <w:tc>
          <w:tcPr>
            <w:tcW w:w="176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备用字段</w:t>
            </w:r>
            <w:r>
              <w:t>5</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VARCHAR</w:t>
            </w:r>
          </w:p>
        </w:tc>
        <w:tc>
          <w:tcPr>
            <w:tcW w:w="117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不定</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314" w:type="dxa"/>
            <w:gridSpan w:val="11"/>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(ZFXX)</w:t>
            </w:r>
            <w:r>
              <w:rPr>
                <w:rFonts w:hint="eastAsia"/>
              </w:rPr>
              <w:t>支付信息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3"/>
              </w:numPr>
              <w:spacing w:line="360" w:lineRule="auto"/>
              <w:rPr>
                <w:rFonts w:ascii="Calibri" w:hAnsi="Calibri"/>
              </w:rPr>
            </w:pPr>
          </w:p>
        </w:tc>
        <w:tc>
          <w:tcPr>
            <w:tcW w:w="17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ZFFS</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支付方式</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3"/>
              </w:numPr>
              <w:spacing w:line="360" w:lineRule="auto"/>
              <w:rPr>
                <w:rFonts w:ascii="Calibri" w:hAnsi="Calibri"/>
              </w:rPr>
            </w:pPr>
          </w:p>
        </w:tc>
        <w:tc>
          <w:tcPr>
            <w:tcW w:w="17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ZFLSH</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支付流水号</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50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3"/>
              </w:numPr>
              <w:spacing w:line="360" w:lineRule="auto"/>
              <w:rPr>
                <w:rFonts w:ascii="Calibri" w:hAnsi="Calibri"/>
              </w:rPr>
            </w:pPr>
          </w:p>
        </w:tc>
        <w:tc>
          <w:tcPr>
            <w:tcW w:w="17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ZFPT</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支付平台</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314" w:type="dxa"/>
            <w:gridSpan w:val="11"/>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(WLXX)</w:t>
            </w:r>
            <w:r>
              <w:rPr>
                <w:rFonts w:hint="eastAsia"/>
              </w:rPr>
              <w:t>物流信息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4"/>
              </w:numPr>
              <w:spacing w:line="360" w:lineRule="auto"/>
              <w:rPr>
                <w:rFonts w:ascii="Calibri" w:hAnsi="Calibri"/>
              </w:rPr>
            </w:pPr>
          </w:p>
        </w:tc>
        <w:tc>
          <w:tcPr>
            <w:tcW w:w="17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CYGS</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承运公司</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4"/>
              </w:numPr>
              <w:spacing w:line="360" w:lineRule="auto"/>
              <w:rPr>
                <w:rFonts w:ascii="Calibri" w:hAnsi="Calibri"/>
              </w:rPr>
            </w:pPr>
          </w:p>
        </w:tc>
        <w:tc>
          <w:tcPr>
            <w:tcW w:w="17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SHSJ</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送货时间</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DATETIME</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lang w:val="es-ES"/>
              </w:rPr>
            </w:pPr>
            <w:r>
              <w:rPr>
                <w:kern w:val="0"/>
                <w:lang w:val="es-ES"/>
              </w:rPr>
              <w:t>YYYY-MM-DD HH:MI:SS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4"/>
              </w:numPr>
              <w:spacing w:line="360" w:lineRule="auto"/>
              <w:rPr>
                <w:rFonts w:ascii="Calibri" w:hAnsi="Calibri"/>
                <w:lang w:val="es-ES"/>
              </w:rPr>
            </w:pPr>
          </w:p>
        </w:tc>
        <w:tc>
          <w:tcPr>
            <w:tcW w:w="17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WLDH</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物流单号</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gridSpan w:val="2"/>
            <w:tcBorders>
              <w:top w:val="single" w:color="auto" w:sz="4" w:space="0"/>
              <w:left w:val="single" w:color="auto" w:sz="4" w:space="0"/>
              <w:bottom w:val="single" w:color="auto" w:sz="4" w:space="0"/>
              <w:right w:val="single" w:color="auto" w:sz="4" w:space="0"/>
            </w:tcBorders>
            <w:vAlign w:val="center"/>
          </w:tcPr>
          <w:p>
            <w:pPr>
              <w:numPr>
                <w:ilvl w:val="0"/>
                <w:numId w:val="14"/>
              </w:numPr>
              <w:spacing w:line="360" w:lineRule="auto"/>
              <w:rPr>
                <w:rFonts w:ascii="Calibri" w:hAnsi="Calibri"/>
              </w:rPr>
            </w:pPr>
          </w:p>
        </w:tc>
        <w:tc>
          <w:tcPr>
            <w:tcW w:w="17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SHDZ</w:t>
            </w:r>
          </w:p>
        </w:tc>
        <w:tc>
          <w:tcPr>
            <w:tcW w:w="184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送货地址</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VARCHAR</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bl>
    <w:p>
      <w:pPr>
        <w:spacing w:line="360" w:lineRule="auto"/>
        <w:rPr>
          <w:rFonts w:ascii="Calibri" w:hAnsi="Calibri"/>
        </w:rPr>
      </w:pPr>
    </w:p>
    <w:p>
      <w:pPr>
        <w:pStyle w:val="43"/>
        <w:numPr>
          <w:ilvl w:val="0"/>
          <w:numId w:val="15"/>
        </w:numPr>
        <w:spacing w:line="360" w:lineRule="auto"/>
        <w:ind w:firstLineChars="0"/>
        <w:rPr>
          <w:kern w:val="0"/>
          <w:sz w:val="30"/>
          <w:szCs w:val="30"/>
        </w:rPr>
      </w:pPr>
      <w:r>
        <w:rPr>
          <w:rFonts w:hint="eastAsia"/>
          <w:kern w:val="0"/>
          <w:sz w:val="30"/>
          <w:szCs w:val="30"/>
        </w:rPr>
        <w:t>返回报文示例与数据项说明</w:t>
      </w:r>
    </w:p>
    <w:p>
      <w:pPr>
        <w:numPr>
          <w:ilvl w:val="0"/>
          <w:numId w:val="6"/>
        </w:numPr>
        <w:spacing w:line="360" w:lineRule="auto"/>
        <w:rPr>
          <w:b/>
        </w:rPr>
      </w:pPr>
      <w:r>
        <w:rPr>
          <w:rFonts w:hint="eastAsia"/>
          <w:b/>
        </w:rPr>
        <w:t>返回报文示例（只有外层报文，没</w:t>
      </w:r>
      <w:r>
        <w:rPr>
          <w:b/>
        </w:rPr>
        <w:t>Content</w:t>
      </w:r>
      <w:r>
        <w:rPr>
          <w:rFonts w:hint="eastAsia"/>
          <w:b/>
        </w:rPr>
        <w:t>）：</w:t>
      </w:r>
    </w:p>
    <w:p>
      <w:pPr>
        <w:spacing w:line="360" w:lineRule="auto"/>
        <w:ind w:left="420"/>
        <w:rPr>
          <w:kern w:val="0"/>
        </w:rPr>
      </w:pPr>
    </w:p>
    <w:p>
      <w:pPr>
        <w:spacing w:line="360" w:lineRule="auto"/>
        <w:ind w:left="420"/>
        <w:rPr>
          <w:kern w:val="0"/>
        </w:rPr>
      </w:pPr>
      <w:r>
        <w:rPr>
          <w:rFonts w:hint="eastAsia"/>
          <w:kern w:val="0"/>
        </w:rPr>
        <w:t>返回报文只有外层报文，</w:t>
      </w:r>
      <w:r>
        <w:rPr>
          <w:kern w:val="0"/>
        </w:rPr>
        <w:t>Content</w:t>
      </w:r>
      <w:r>
        <w:rPr>
          <w:rFonts w:hint="eastAsia"/>
          <w:kern w:val="0"/>
        </w:rPr>
        <w:t>内容为空，无数据项。</w:t>
      </w:r>
    </w:p>
    <w:p>
      <w:pPr>
        <w:spacing w:line="360" w:lineRule="auto"/>
        <w:ind w:left="420"/>
      </w:pPr>
      <w:r>
        <w:t>&lt;</w:t>
      </w:r>
      <w:r>
        <w:rPr>
          <w:rFonts w:hint="eastAsia" w:ascii="宋体" w:hAnsi="宋体" w:cs="新宋体"/>
          <w:color w:val="A31515"/>
          <w:kern w:val="0"/>
          <w:sz w:val="18"/>
          <w:szCs w:val="18"/>
        </w:rPr>
        <w:t>returnCode</w:t>
      </w:r>
      <w:r>
        <w:t>&gt;0000&lt;</w:t>
      </w:r>
      <w:r>
        <w:rPr>
          <w:rFonts w:hint="eastAsia" w:ascii="宋体" w:hAnsi="宋体" w:cs="新宋体"/>
          <w:color w:val="A31515"/>
          <w:kern w:val="0"/>
          <w:sz w:val="18"/>
          <w:szCs w:val="18"/>
        </w:rPr>
        <w:t>/returnCode</w:t>
      </w:r>
      <w:r>
        <w:t>&gt;</w:t>
      </w:r>
    </w:p>
    <w:p>
      <w:pPr>
        <w:spacing w:line="360" w:lineRule="auto"/>
        <w:ind w:left="420"/>
        <w:rPr>
          <w:kern w:val="0"/>
        </w:rPr>
      </w:pPr>
      <w:r>
        <w:t>&lt;</w:t>
      </w:r>
      <w:r>
        <w:rPr>
          <w:rFonts w:hint="eastAsia" w:ascii="宋体" w:hAnsi="宋体" w:cs="新宋体"/>
          <w:color w:val="A31515"/>
          <w:kern w:val="0"/>
          <w:sz w:val="18"/>
          <w:szCs w:val="18"/>
        </w:rPr>
        <w:t>returnMessage</w:t>
      </w:r>
      <w:r>
        <w:t>&gt;5Y+R56Wo5LiL6L295o6l5Y+j6LCD55So5oiQ5Yqf&lt;</w:t>
      </w:r>
      <w:r>
        <w:rPr>
          <w:rFonts w:hint="eastAsia" w:ascii="宋体" w:hAnsi="宋体" w:cs="新宋体"/>
          <w:color w:val="A31515"/>
          <w:kern w:val="0"/>
          <w:sz w:val="18"/>
          <w:szCs w:val="18"/>
        </w:rPr>
        <w:t>/returnMessage</w:t>
      </w:r>
      <w:r>
        <w:t>&gt;</w:t>
      </w:r>
    </w:p>
    <w:p>
      <w:pPr>
        <w:spacing w:line="360" w:lineRule="auto"/>
        <w:rPr>
          <w:kern w:val="0"/>
        </w:rPr>
      </w:pPr>
    </w:p>
    <w:p>
      <w:pPr>
        <w:pStyle w:val="5"/>
        <w:numPr>
          <w:ilvl w:val="3"/>
          <w:numId w:val="3"/>
        </w:numPr>
        <w:spacing w:before="0" w:after="0" w:line="360" w:lineRule="auto"/>
        <w:ind w:left="0" w:leftChars="0" w:firstLine="402" w:firstLineChars="0"/>
      </w:pPr>
      <w:bookmarkStart w:id="126" w:name="_Toc13591"/>
      <w:bookmarkStart w:id="127" w:name="_Toc10233"/>
      <w:bookmarkStart w:id="128" w:name="_Toc10150"/>
      <w:bookmarkStart w:id="129" w:name="_Toc13383"/>
      <w:bookmarkStart w:id="130" w:name="_Toc434485324"/>
      <w:bookmarkStart w:id="131" w:name="_Toc442308302"/>
      <w:bookmarkStart w:id="132" w:name="_Toc26465"/>
      <w:bookmarkStart w:id="133" w:name="_Toc24868"/>
      <w:r>
        <w:rPr>
          <w:rFonts w:hint="eastAsia"/>
        </w:rPr>
        <w:t>3.2.3.2发票信息下载接口</w:t>
      </w:r>
      <w:bookmarkEnd w:id="126"/>
      <w:bookmarkEnd w:id="127"/>
      <w:bookmarkEnd w:id="128"/>
      <w:bookmarkEnd w:id="129"/>
      <w:bookmarkEnd w:id="130"/>
      <w:bookmarkEnd w:id="131"/>
      <w:bookmarkEnd w:id="132"/>
      <w:bookmarkEnd w:id="133"/>
    </w:p>
    <w:p>
      <w:pPr>
        <w:numPr>
          <w:ilvl w:val="0"/>
          <w:numId w:val="6"/>
        </w:numPr>
        <w:spacing w:line="360" w:lineRule="auto"/>
        <w:rPr>
          <w:b/>
        </w:rPr>
      </w:pPr>
      <w:r>
        <w:rPr>
          <w:rFonts w:hint="eastAsia"/>
          <w:b/>
        </w:rPr>
        <w:t>接口说明：业务系统下载发票信息及PDF</w:t>
      </w:r>
    </w:p>
    <w:p>
      <w:pPr>
        <w:numPr>
          <w:ilvl w:val="0"/>
          <w:numId w:val="6"/>
        </w:numPr>
        <w:spacing w:line="360" w:lineRule="auto"/>
        <w:rPr>
          <w:b/>
        </w:rPr>
      </w:pPr>
      <w:r>
        <w:rPr>
          <w:rFonts w:hint="eastAsia"/>
          <w:b/>
        </w:rPr>
        <w:t>调用方式：</w:t>
      </w:r>
      <w:r>
        <w:rPr>
          <w:bCs/>
        </w:rPr>
        <w:t>WEB SERVICE</w:t>
      </w:r>
      <w:r>
        <w:rPr>
          <w:rFonts w:hint="eastAsia"/>
          <w:b/>
        </w:rPr>
        <w:t>方式</w:t>
      </w:r>
    </w:p>
    <w:p>
      <w:pPr>
        <w:numPr>
          <w:ilvl w:val="0"/>
          <w:numId w:val="6"/>
        </w:numPr>
        <w:spacing w:line="360" w:lineRule="auto"/>
        <w:rPr>
          <w:b/>
        </w:rPr>
      </w:pPr>
      <w:r>
        <w:rPr>
          <w:rFonts w:hint="eastAsia"/>
          <w:b/>
        </w:rPr>
        <w:t>接口编码：</w:t>
      </w:r>
      <w:r>
        <w:t>ECXML.FPXZ.CX.E_INV</w:t>
      </w:r>
    </w:p>
    <w:p>
      <w:pPr>
        <w:spacing w:line="360" w:lineRule="auto"/>
        <w:ind w:left="420"/>
        <w:rPr>
          <w:b/>
        </w:rPr>
      </w:pPr>
    </w:p>
    <w:p>
      <w:pPr>
        <w:numPr>
          <w:ilvl w:val="0"/>
          <w:numId w:val="16"/>
        </w:numPr>
        <w:spacing w:line="360" w:lineRule="auto"/>
        <w:rPr>
          <w:b/>
        </w:rPr>
      </w:pPr>
      <w:r>
        <w:rPr>
          <w:rFonts w:hint="eastAsia"/>
          <w:b/>
        </w:rPr>
        <w:t>请求报文示例与数据项说明</w:t>
      </w:r>
    </w:p>
    <w:p>
      <w:pPr>
        <w:numPr>
          <w:ilvl w:val="0"/>
          <w:numId w:val="6"/>
        </w:numPr>
        <w:spacing w:line="360" w:lineRule="auto"/>
        <w:rPr>
          <w:b/>
        </w:rPr>
      </w:pPr>
      <w:r>
        <w:rPr>
          <w:rFonts w:hint="eastAsia"/>
          <w:b/>
        </w:rPr>
        <w:t>【</w:t>
      </w:r>
      <w:r>
        <w:rPr>
          <w:b/>
        </w:rPr>
        <w:t>Content</w:t>
      </w:r>
      <w:r>
        <w:rPr>
          <w:rFonts w:hint="eastAsia"/>
          <w:b/>
        </w:rPr>
        <w:t>中】请求报文示例：</w:t>
      </w:r>
    </w:p>
    <w:p>
      <w:pPr>
        <w:autoSpaceDE w:val="0"/>
        <w:autoSpaceDN w:val="0"/>
        <w:adjustRightInd w:val="0"/>
        <w:spacing w:line="360" w:lineRule="auto"/>
        <w:ind w:left="210" w:leftChars="100"/>
        <w:rPr>
          <w:rFonts w:ascii="宋体" w:hAnsi="宋体" w:cs="新宋体"/>
          <w:color w:val="0000FF"/>
          <w:kern w:val="0"/>
          <w:sz w:val="18"/>
          <w:szCs w:val="18"/>
        </w:rPr>
      </w:pPr>
    </w:p>
    <w:p>
      <w:pPr>
        <w:autoSpaceDE w:val="0"/>
        <w:autoSpaceDN w:val="0"/>
        <w:adjustRightInd w:val="0"/>
        <w:spacing w:line="360" w:lineRule="auto"/>
        <w:ind w:left="210" w:leftChars="10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REQUEST_FPXXXZ_NEW</w:t>
      </w:r>
      <w:r>
        <w:rPr>
          <w:rFonts w:hint="eastAsia" w:ascii="宋体" w:hAnsi="宋体" w:cs="新宋体"/>
          <w:color w:val="0000FF"/>
          <w:kern w:val="0"/>
          <w:sz w:val="18"/>
          <w:szCs w:val="18"/>
        </w:rPr>
        <w:t xml:space="preserve"> </w:t>
      </w:r>
      <w:r>
        <w:rPr>
          <w:rFonts w:hint="eastAsia" w:ascii="宋体" w:hAnsi="宋体" w:cs="新宋体"/>
          <w:color w:val="FF0000"/>
          <w:kern w:val="0"/>
          <w:sz w:val="18"/>
          <w:szCs w:val="18"/>
        </w:rPr>
        <w:t>class</w:t>
      </w:r>
      <w:r>
        <w:rPr>
          <w:rFonts w:hint="eastAsia" w:ascii="宋体" w:hAnsi="宋体" w:cs="新宋体"/>
          <w:color w:val="0000FF"/>
          <w:kern w:val="0"/>
          <w:sz w:val="18"/>
          <w:szCs w:val="18"/>
        </w:rPr>
        <w:t>=</w:t>
      </w:r>
      <w:r>
        <w:rPr>
          <w:rFonts w:hint="eastAsia" w:ascii="宋体" w:hAnsi="宋体" w:cs="新宋体"/>
          <w:kern w:val="0"/>
          <w:sz w:val="18"/>
          <w:szCs w:val="18"/>
        </w:rPr>
        <w:t>"</w:t>
      </w:r>
      <w:r>
        <w:rPr>
          <w:rFonts w:hint="eastAsia" w:ascii="宋体" w:hAnsi="宋体" w:cs="新宋体"/>
          <w:color w:val="0000FF"/>
          <w:kern w:val="0"/>
          <w:sz w:val="18"/>
          <w:szCs w:val="18"/>
        </w:rPr>
        <w:t>REQUEST_FPXXXZ_NEW</w:t>
      </w:r>
      <w:r>
        <w:rPr>
          <w:rFonts w:hint="eastAsia" w:ascii="宋体" w:hAnsi="宋体" w:cs="新宋体"/>
          <w:kern w:val="0"/>
          <w:sz w:val="18"/>
          <w:szCs w:val="18"/>
        </w:rPr>
        <w:t>"</w:t>
      </w:r>
      <w:r>
        <w:rPr>
          <w:rFonts w:hint="eastAsia" w:ascii="宋体" w:hAnsi="宋体" w:cs="新宋体"/>
          <w:color w:val="0000FF"/>
          <w:kern w:val="0"/>
          <w:sz w:val="18"/>
          <w:szCs w:val="18"/>
        </w:rPr>
        <w:t>&gt;</w:t>
      </w:r>
    </w:p>
    <w:p>
      <w:pPr>
        <w:autoSpaceDE w:val="0"/>
        <w:autoSpaceDN w:val="0"/>
        <w:adjustRightInd w:val="0"/>
        <w:spacing w:line="360" w:lineRule="auto"/>
        <w:ind w:left="420" w:leftChars="200" w:firstLine="21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FPQQLSH</w:t>
      </w:r>
      <w:r>
        <w:rPr>
          <w:rFonts w:hint="eastAsia" w:ascii="宋体" w:hAnsi="宋体" w:cs="新宋体"/>
          <w:color w:val="0000FF"/>
          <w:kern w:val="0"/>
          <w:sz w:val="18"/>
          <w:szCs w:val="18"/>
        </w:rPr>
        <w:t>&gt;</w:t>
      </w:r>
      <w:r>
        <w:rPr>
          <w:rFonts w:hint="eastAsia" w:ascii="宋体" w:hAnsi="宋体" w:cs="新宋体"/>
          <w:kern w:val="0"/>
          <w:sz w:val="18"/>
          <w:szCs w:val="18"/>
        </w:rPr>
        <w:t>发票请求唯一流水号</w:t>
      </w:r>
      <w:r>
        <w:rPr>
          <w:rFonts w:hint="eastAsia" w:ascii="宋体" w:hAnsi="宋体" w:cs="新宋体"/>
          <w:color w:val="0000FF"/>
          <w:kern w:val="0"/>
          <w:sz w:val="18"/>
          <w:szCs w:val="18"/>
        </w:rPr>
        <w:t>&lt;/</w:t>
      </w:r>
      <w:r>
        <w:rPr>
          <w:rFonts w:hint="eastAsia" w:ascii="宋体" w:hAnsi="宋体" w:cs="新宋体"/>
          <w:color w:val="A31515"/>
          <w:kern w:val="0"/>
          <w:sz w:val="18"/>
          <w:szCs w:val="18"/>
        </w:rPr>
        <w:t>FPQQLSH</w:t>
      </w:r>
      <w:r>
        <w:rPr>
          <w:rFonts w:hint="eastAsia" w:ascii="宋体" w:hAnsi="宋体" w:cs="新宋体"/>
          <w:color w:val="0000FF"/>
          <w:kern w:val="0"/>
          <w:sz w:val="18"/>
          <w:szCs w:val="18"/>
        </w:rPr>
        <w:t>&gt;</w:t>
      </w:r>
    </w:p>
    <w:p>
      <w:pPr>
        <w:autoSpaceDE w:val="0"/>
        <w:autoSpaceDN w:val="0"/>
        <w:adjustRightInd w:val="0"/>
        <w:spacing w:line="360" w:lineRule="auto"/>
        <w:ind w:left="420" w:leftChars="200" w:firstLine="21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DSPTBM</w:t>
      </w:r>
      <w:r>
        <w:rPr>
          <w:rFonts w:hint="eastAsia" w:ascii="宋体" w:hAnsi="宋体" w:cs="新宋体"/>
          <w:color w:val="0000FF"/>
          <w:kern w:val="0"/>
          <w:sz w:val="18"/>
          <w:szCs w:val="18"/>
        </w:rPr>
        <w:t>&gt;</w:t>
      </w:r>
      <w:r>
        <w:rPr>
          <w:rFonts w:hint="eastAsia" w:ascii="宋体" w:hAnsi="宋体" w:cs="新宋体"/>
          <w:kern w:val="0"/>
          <w:sz w:val="18"/>
          <w:szCs w:val="18"/>
        </w:rPr>
        <w:t>平台编码</w:t>
      </w:r>
      <w:r>
        <w:rPr>
          <w:rFonts w:hint="eastAsia" w:ascii="宋体" w:hAnsi="宋体" w:cs="新宋体"/>
          <w:color w:val="0000FF"/>
          <w:kern w:val="0"/>
          <w:sz w:val="18"/>
          <w:szCs w:val="18"/>
        </w:rPr>
        <w:t>&lt;/</w:t>
      </w:r>
      <w:r>
        <w:rPr>
          <w:rFonts w:hint="eastAsia" w:ascii="宋体" w:hAnsi="宋体" w:cs="新宋体"/>
          <w:color w:val="A31515"/>
          <w:kern w:val="0"/>
          <w:sz w:val="18"/>
          <w:szCs w:val="18"/>
        </w:rPr>
        <w:t>DSPTBM</w:t>
      </w:r>
      <w:r>
        <w:rPr>
          <w:rFonts w:hint="eastAsia" w:ascii="宋体" w:hAnsi="宋体" w:cs="新宋体"/>
          <w:color w:val="0000FF"/>
          <w:kern w:val="0"/>
          <w:sz w:val="18"/>
          <w:szCs w:val="18"/>
        </w:rPr>
        <w:t>&gt;</w:t>
      </w:r>
    </w:p>
    <w:p>
      <w:pPr>
        <w:autoSpaceDE w:val="0"/>
        <w:autoSpaceDN w:val="0"/>
        <w:adjustRightInd w:val="0"/>
        <w:spacing w:line="360" w:lineRule="auto"/>
        <w:ind w:left="420" w:leftChars="200" w:firstLine="21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NSRSBH</w:t>
      </w:r>
      <w:r>
        <w:rPr>
          <w:rFonts w:hint="eastAsia" w:ascii="宋体" w:hAnsi="宋体" w:cs="新宋体"/>
          <w:color w:val="0000FF"/>
          <w:kern w:val="0"/>
          <w:sz w:val="18"/>
          <w:szCs w:val="18"/>
        </w:rPr>
        <w:t>&gt;</w:t>
      </w:r>
      <w:r>
        <w:rPr>
          <w:rFonts w:hint="eastAsia" w:ascii="宋体" w:hAnsi="宋体" w:cs="新宋体"/>
          <w:kern w:val="0"/>
          <w:sz w:val="18"/>
          <w:szCs w:val="18"/>
        </w:rPr>
        <w:t>开票方识别号</w:t>
      </w:r>
      <w:r>
        <w:rPr>
          <w:rFonts w:hint="eastAsia" w:ascii="宋体" w:hAnsi="宋体" w:cs="新宋体"/>
          <w:color w:val="0000FF"/>
          <w:kern w:val="0"/>
          <w:sz w:val="18"/>
          <w:szCs w:val="18"/>
        </w:rPr>
        <w:t>&lt;/</w:t>
      </w:r>
      <w:r>
        <w:rPr>
          <w:rFonts w:hint="eastAsia" w:ascii="宋体" w:hAnsi="宋体" w:cs="新宋体"/>
          <w:color w:val="A31515"/>
          <w:kern w:val="0"/>
          <w:sz w:val="18"/>
          <w:szCs w:val="18"/>
        </w:rPr>
        <w:t>NSRSBH</w:t>
      </w:r>
      <w:r>
        <w:rPr>
          <w:rFonts w:hint="eastAsia" w:ascii="宋体" w:hAnsi="宋体" w:cs="新宋体"/>
          <w:color w:val="0000FF"/>
          <w:kern w:val="0"/>
          <w:sz w:val="18"/>
          <w:szCs w:val="18"/>
        </w:rPr>
        <w:t>&gt;</w:t>
      </w:r>
    </w:p>
    <w:p>
      <w:pPr>
        <w:autoSpaceDE w:val="0"/>
        <w:autoSpaceDN w:val="0"/>
        <w:adjustRightInd w:val="0"/>
        <w:spacing w:line="360" w:lineRule="auto"/>
        <w:ind w:left="420" w:leftChars="200" w:firstLine="210"/>
        <w:rPr>
          <w:rFonts w:ascii="宋体" w:hAnsi="宋体" w:cs="新宋体"/>
          <w:color w:val="0000FF"/>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DDH</w:t>
      </w:r>
      <w:r>
        <w:rPr>
          <w:rFonts w:hint="eastAsia" w:ascii="宋体" w:hAnsi="宋体" w:cs="新宋体"/>
          <w:color w:val="0000FF"/>
          <w:kern w:val="0"/>
          <w:sz w:val="18"/>
          <w:szCs w:val="18"/>
        </w:rPr>
        <w:t>&gt;</w:t>
      </w:r>
      <w:r>
        <w:rPr>
          <w:rFonts w:hint="eastAsia" w:ascii="宋体" w:hAnsi="宋体" w:cs="新宋体"/>
          <w:kern w:val="0"/>
          <w:sz w:val="18"/>
          <w:szCs w:val="18"/>
        </w:rPr>
        <w:t>订单号</w:t>
      </w:r>
      <w:r>
        <w:rPr>
          <w:rFonts w:hint="eastAsia" w:ascii="宋体" w:hAnsi="宋体" w:cs="新宋体"/>
          <w:color w:val="0000FF"/>
          <w:kern w:val="0"/>
          <w:sz w:val="18"/>
          <w:szCs w:val="18"/>
        </w:rPr>
        <w:t>&lt;/</w:t>
      </w:r>
      <w:r>
        <w:rPr>
          <w:rFonts w:hint="eastAsia" w:ascii="宋体" w:hAnsi="宋体" w:cs="新宋体"/>
          <w:color w:val="A31515"/>
          <w:kern w:val="0"/>
          <w:sz w:val="18"/>
          <w:szCs w:val="18"/>
        </w:rPr>
        <w:t>DDH</w:t>
      </w:r>
      <w:r>
        <w:rPr>
          <w:rFonts w:hint="eastAsia" w:ascii="宋体" w:hAnsi="宋体" w:cs="新宋体"/>
          <w:color w:val="0000FF"/>
          <w:kern w:val="0"/>
          <w:sz w:val="18"/>
          <w:szCs w:val="18"/>
        </w:rPr>
        <w:t>&gt;</w:t>
      </w:r>
    </w:p>
    <w:p>
      <w:pPr>
        <w:autoSpaceDE w:val="0"/>
        <w:autoSpaceDN w:val="0"/>
        <w:adjustRightInd w:val="0"/>
        <w:spacing w:line="360" w:lineRule="auto"/>
        <w:ind w:left="420" w:leftChars="200" w:firstLine="210"/>
        <w:rPr>
          <w:rFonts w:ascii="宋体" w:hAnsi="宋体" w:cs="新宋体"/>
          <w:color w:val="0000FF"/>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PDF_XZFS</w:t>
      </w:r>
      <w:r>
        <w:rPr>
          <w:rFonts w:hint="eastAsia" w:ascii="宋体" w:hAnsi="宋体" w:cs="新宋体"/>
          <w:color w:val="0000FF"/>
          <w:kern w:val="0"/>
          <w:sz w:val="18"/>
          <w:szCs w:val="18"/>
        </w:rPr>
        <w:t>&gt;</w:t>
      </w:r>
      <w:r>
        <w:rPr>
          <w:rFonts w:hint="eastAsia" w:ascii="宋体" w:hAnsi="宋体" w:cs="新宋体"/>
          <w:kern w:val="0"/>
          <w:sz w:val="18"/>
          <w:szCs w:val="18"/>
        </w:rPr>
        <w:t>PDF下载方式</w:t>
      </w:r>
      <w:r>
        <w:rPr>
          <w:rFonts w:hint="eastAsia" w:ascii="宋体" w:hAnsi="宋体" w:cs="新宋体"/>
          <w:color w:val="0000FF"/>
          <w:kern w:val="0"/>
          <w:sz w:val="18"/>
          <w:szCs w:val="18"/>
        </w:rPr>
        <w:t>&lt;/</w:t>
      </w:r>
      <w:r>
        <w:rPr>
          <w:rFonts w:hint="eastAsia" w:ascii="宋体" w:hAnsi="宋体" w:cs="新宋体"/>
          <w:color w:val="A31515"/>
          <w:kern w:val="0"/>
          <w:sz w:val="18"/>
          <w:szCs w:val="18"/>
        </w:rPr>
        <w:t>PDF_XZFS</w:t>
      </w:r>
      <w:r>
        <w:rPr>
          <w:rFonts w:hint="eastAsia" w:ascii="宋体" w:hAnsi="宋体" w:cs="新宋体"/>
          <w:color w:val="0000FF"/>
          <w:kern w:val="0"/>
          <w:sz w:val="18"/>
          <w:szCs w:val="18"/>
        </w:rPr>
        <w:t>&gt;</w:t>
      </w:r>
    </w:p>
    <w:p>
      <w:pPr>
        <w:autoSpaceDE w:val="0"/>
        <w:autoSpaceDN w:val="0"/>
        <w:adjustRightInd w:val="0"/>
        <w:spacing w:line="360" w:lineRule="auto"/>
        <w:ind w:left="210" w:leftChars="100"/>
        <w:rPr>
          <w:rFonts w:ascii="宋体" w:hAnsi="宋体" w:cs="新宋体"/>
          <w:color w:val="0000FF"/>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REQUEST_FPXXXZ_NEW</w:t>
      </w:r>
      <w:r>
        <w:rPr>
          <w:rFonts w:hint="eastAsia" w:ascii="宋体" w:hAnsi="宋体" w:cs="新宋体"/>
          <w:color w:val="0000FF"/>
          <w:kern w:val="0"/>
          <w:sz w:val="18"/>
          <w:szCs w:val="18"/>
        </w:rPr>
        <w:t>&gt;</w:t>
      </w:r>
    </w:p>
    <w:p>
      <w:pPr>
        <w:autoSpaceDE w:val="0"/>
        <w:autoSpaceDN w:val="0"/>
        <w:adjustRightInd w:val="0"/>
        <w:spacing w:line="360" w:lineRule="auto"/>
        <w:ind w:left="210" w:leftChars="100"/>
        <w:rPr>
          <w:rFonts w:ascii="宋体" w:hAnsi="宋体" w:cs="新宋体"/>
          <w:color w:val="0000FF"/>
          <w:kern w:val="0"/>
          <w:sz w:val="18"/>
          <w:szCs w:val="18"/>
        </w:rPr>
      </w:pPr>
    </w:p>
    <w:p>
      <w:pPr>
        <w:numPr>
          <w:ilvl w:val="0"/>
          <w:numId w:val="6"/>
        </w:numPr>
        <w:spacing w:line="360" w:lineRule="auto"/>
        <w:rPr>
          <w:rFonts w:ascii="Calibri" w:hAnsi="Calibri"/>
          <w:b/>
        </w:rPr>
      </w:pPr>
      <w:r>
        <w:rPr>
          <w:rFonts w:hint="eastAsia"/>
          <w:b/>
        </w:rPr>
        <w:t>【</w:t>
      </w:r>
      <w:r>
        <w:rPr>
          <w:b/>
        </w:rPr>
        <w:t>Content</w:t>
      </w:r>
      <w:r>
        <w:rPr>
          <w:rFonts w:hint="eastAsia"/>
          <w:b/>
        </w:rPr>
        <w:t>中】请求数据项说明</w:t>
      </w:r>
    </w:p>
    <w:p>
      <w:pPr>
        <w:spacing w:line="360" w:lineRule="auto"/>
        <w:rPr>
          <w:b/>
        </w:rPr>
      </w:pPr>
    </w:p>
    <w:tbl>
      <w:tblPr>
        <w:tblStyle w:val="34"/>
        <w:tblW w:w="104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435"/>
        <w:gridCol w:w="2142"/>
        <w:gridCol w:w="1701"/>
        <w:gridCol w:w="851"/>
        <w:gridCol w:w="834"/>
        <w:gridCol w:w="2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序号</w:t>
            </w:r>
          </w:p>
        </w:tc>
        <w:tc>
          <w:tcPr>
            <w:tcW w:w="1435"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数据项</w:t>
            </w:r>
          </w:p>
        </w:tc>
        <w:tc>
          <w:tcPr>
            <w:tcW w:w="2142"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数据项名称</w:t>
            </w:r>
          </w:p>
        </w:tc>
        <w:tc>
          <w:tcPr>
            <w:tcW w:w="1701"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类型</w:t>
            </w:r>
          </w:p>
        </w:tc>
        <w:tc>
          <w:tcPr>
            <w:tcW w:w="851"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长度</w:t>
            </w:r>
          </w:p>
        </w:tc>
        <w:tc>
          <w:tcPr>
            <w:tcW w:w="834"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必须</w:t>
            </w:r>
          </w:p>
        </w:tc>
        <w:tc>
          <w:tcPr>
            <w:tcW w:w="2676"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7"/>
              </w:numPr>
              <w:spacing w:line="360" w:lineRule="auto"/>
              <w:jc w:val="center"/>
              <w:rPr>
                <w:rFonts w:ascii="Calibri" w:hAnsi="Calibri"/>
              </w:rPr>
            </w:pPr>
          </w:p>
        </w:tc>
        <w:tc>
          <w:tcPr>
            <w:tcW w:w="143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DDH</w:t>
            </w:r>
          </w:p>
        </w:tc>
        <w:tc>
          <w:tcPr>
            <w:tcW w:w="214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订单号</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w:t>
            </w:r>
          </w:p>
        </w:tc>
        <w:tc>
          <w:tcPr>
            <w:tcW w:w="8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7"/>
              </w:numPr>
              <w:spacing w:line="360" w:lineRule="auto"/>
              <w:jc w:val="center"/>
              <w:rPr>
                <w:rFonts w:ascii="Calibri" w:hAnsi="Calibri"/>
              </w:rPr>
            </w:pPr>
          </w:p>
        </w:tc>
        <w:tc>
          <w:tcPr>
            <w:tcW w:w="143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FPQQLSH</w:t>
            </w:r>
          </w:p>
        </w:tc>
        <w:tc>
          <w:tcPr>
            <w:tcW w:w="214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发票请求唯一流水号</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color w:val="000000"/>
              </w:rP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50</w:t>
            </w:r>
          </w:p>
        </w:tc>
        <w:tc>
          <w:tcPr>
            <w:tcW w:w="8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7"/>
              </w:numPr>
              <w:spacing w:line="360" w:lineRule="auto"/>
              <w:jc w:val="center"/>
              <w:rPr>
                <w:rFonts w:ascii="Calibri" w:hAnsi="Calibri"/>
              </w:rPr>
            </w:pPr>
          </w:p>
        </w:tc>
        <w:tc>
          <w:tcPr>
            <w:tcW w:w="143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DSPTBM</w:t>
            </w:r>
          </w:p>
        </w:tc>
        <w:tc>
          <w:tcPr>
            <w:tcW w:w="214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平台编码</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color w:val="000000"/>
              </w:rP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8</w:t>
            </w:r>
          </w:p>
        </w:tc>
        <w:tc>
          <w:tcPr>
            <w:tcW w:w="8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7"/>
              </w:numPr>
              <w:spacing w:line="360" w:lineRule="auto"/>
              <w:jc w:val="center"/>
              <w:rPr>
                <w:rFonts w:ascii="Calibri" w:hAnsi="Calibri"/>
              </w:rPr>
            </w:pPr>
          </w:p>
        </w:tc>
        <w:tc>
          <w:tcPr>
            <w:tcW w:w="143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NSRSBH</w:t>
            </w:r>
          </w:p>
        </w:tc>
        <w:tc>
          <w:tcPr>
            <w:tcW w:w="214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开票方识别号</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w:t>
            </w:r>
          </w:p>
        </w:tc>
        <w:tc>
          <w:tcPr>
            <w:tcW w:w="8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7"/>
              </w:numPr>
              <w:spacing w:line="360" w:lineRule="auto"/>
              <w:jc w:val="center"/>
              <w:rPr>
                <w:rFonts w:ascii="Calibri" w:hAnsi="Calibri"/>
              </w:rPr>
            </w:pPr>
          </w:p>
        </w:tc>
        <w:tc>
          <w:tcPr>
            <w:tcW w:w="143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PDF_XZFS</w:t>
            </w:r>
          </w:p>
        </w:tc>
        <w:tc>
          <w:tcPr>
            <w:tcW w:w="214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PDF</w:t>
            </w:r>
            <w:r>
              <w:rPr>
                <w:rFonts w:hint="eastAsia"/>
              </w:rPr>
              <w:t>下载方式</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t>NUMBER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1</w:t>
            </w:r>
          </w:p>
        </w:tc>
        <w:tc>
          <w:tcPr>
            <w:tcW w:w="8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67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1 PDF</w:t>
            </w:r>
            <w:r>
              <w:rPr>
                <w:rFonts w:hint="eastAsia"/>
              </w:rPr>
              <w:t>文件（</w:t>
            </w:r>
            <w:r>
              <w:t>PDF_FILE</w:t>
            </w:r>
            <w:r>
              <w:rPr>
                <w:rFonts w:hint="eastAsia"/>
              </w:rPr>
              <w:t>）；</w:t>
            </w:r>
          </w:p>
          <w:p>
            <w:pPr>
              <w:spacing w:line="360" w:lineRule="auto"/>
            </w:pPr>
            <w:r>
              <w:t>2 PDF</w:t>
            </w:r>
            <w:r>
              <w:rPr>
                <w:rFonts w:hint="eastAsia"/>
              </w:rPr>
              <w:t>下载路径（</w:t>
            </w:r>
            <w:r>
              <w:t>PDF_URL</w:t>
            </w:r>
            <w:r>
              <w:rPr>
                <w:rFonts w:hint="eastAsia"/>
              </w:rPr>
              <w:t>）；</w:t>
            </w:r>
          </w:p>
          <w:p>
            <w:pPr>
              <w:spacing w:line="360" w:lineRule="auto"/>
            </w:pPr>
            <w:r>
              <w:t>3 PDF</w:t>
            </w:r>
            <w:r>
              <w:rPr>
                <w:rFonts w:hint="eastAsia"/>
              </w:rPr>
              <w:t>文件（</w:t>
            </w:r>
            <w:r>
              <w:t>PDF_FILE</w:t>
            </w:r>
            <w:r>
              <w:rPr>
                <w:rFonts w:hint="eastAsia"/>
              </w:rPr>
              <w:t>）</w:t>
            </w:r>
          </w:p>
          <w:p>
            <w:pPr>
              <w:spacing w:line="360" w:lineRule="auto"/>
              <w:ind w:firstLine="105" w:firstLineChars="50"/>
              <w:rPr>
                <w:rFonts w:ascii="Calibri" w:hAnsi="Calibri"/>
              </w:rPr>
            </w:pPr>
            <w:r>
              <w:t>PDF</w:t>
            </w:r>
            <w:r>
              <w:rPr>
                <w:rFonts w:hint="eastAsia"/>
              </w:rPr>
              <w:t>下载路径（</w:t>
            </w:r>
            <w:r>
              <w:t>PDF_URL</w:t>
            </w:r>
            <w:r>
              <w:rPr>
                <w:rFonts w:hint="eastAsia"/>
              </w:rPr>
              <w:t>）</w:t>
            </w:r>
          </w:p>
        </w:tc>
      </w:tr>
    </w:tbl>
    <w:p>
      <w:pPr>
        <w:spacing w:line="360" w:lineRule="auto"/>
        <w:rPr>
          <w:rFonts w:ascii="Calibri" w:hAnsi="Calibri"/>
        </w:rPr>
      </w:pPr>
    </w:p>
    <w:p>
      <w:pPr>
        <w:spacing w:line="360" w:lineRule="auto"/>
        <w:rPr>
          <w:b/>
          <w:sz w:val="30"/>
          <w:szCs w:val="30"/>
        </w:rPr>
      </w:pPr>
      <w:r>
        <w:rPr>
          <w:rFonts w:hint="eastAsia"/>
          <w:b/>
          <w:sz w:val="30"/>
          <w:szCs w:val="30"/>
        </w:rPr>
        <w:t>返回报文示例与数据项说明</w:t>
      </w:r>
    </w:p>
    <w:p>
      <w:pPr>
        <w:numPr>
          <w:ilvl w:val="0"/>
          <w:numId w:val="6"/>
        </w:numPr>
        <w:spacing w:line="360" w:lineRule="auto"/>
        <w:rPr>
          <w:b/>
        </w:rPr>
      </w:pPr>
      <w:r>
        <w:rPr>
          <w:rFonts w:hint="eastAsia"/>
          <w:b/>
        </w:rPr>
        <w:t>【</w:t>
      </w:r>
      <w:r>
        <w:rPr>
          <w:b/>
        </w:rPr>
        <w:t>Content</w:t>
      </w:r>
      <w:r>
        <w:rPr>
          <w:rFonts w:hint="eastAsia"/>
          <w:b/>
        </w:rPr>
        <w:t>中】返回报文示例：</w:t>
      </w:r>
    </w:p>
    <w:p>
      <w:pPr>
        <w:spacing w:line="360" w:lineRule="auto"/>
      </w:pPr>
    </w:p>
    <w:p>
      <w:pPr>
        <w:autoSpaceDE w:val="0"/>
        <w:autoSpaceDN w:val="0"/>
        <w:adjustRightInd w:val="0"/>
        <w:spacing w:line="360" w:lineRule="auto"/>
        <w:ind w:firstLine="420"/>
        <w:rPr>
          <w:rFonts w:ascii="宋体" w:hAnsi="宋体" w:cs="新宋体"/>
          <w:kern w:val="0"/>
          <w:sz w:val="18"/>
          <w:szCs w:val="18"/>
        </w:rPr>
      </w:pPr>
      <w:r>
        <w:rPr>
          <w:rFonts w:hint="eastAsia" w:ascii="宋体" w:hAnsi="宋体" w:cs="新宋体"/>
          <w:color w:val="0000FF"/>
          <w:kern w:val="0"/>
          <w:sz w:val="18"/>
          <w:szCs w:val="18"/>
        </w:rPr>
        <w:t>&lt;</w:t>
      </w:r>
      <w:r>
        <w:t xml:space="preserve"> </w:t>
      </w:r>
      <w:r>
        <w:rPr>
          <w:rFonts w:hint="eastAsia" w:ascii="宋体" w:hAnsi="宋体" w:cs="新宋体"/>
          <w:color w:val="A31515"/>
          <w:kern w:val="0"/>
          <w:sz w:val="18"/>
          <w:szCs w:val="18"/>
        </w:rPr>
        <w:t xml:space="preserve">RESPONSE_FPXXXZ_NEW </w:t>
      </w:r>
      <w:r>
        <w:rPr>
          <w:rFonts w:hint="eastAsia" w:ascii="宋体" w:hAnsi="宋体" w:cs="新宋体"/>
          <w:color w:val="FF0000"/>
          <w:kern w:val="0"/>
          <w:sz w:val="18"/>
          <w:szCs w:val="18"/>
        </w:rPr>
        <w:t>class</w:t>
      </w:r>
      <w:r>
        <w:rPr>
          <w:rFonts w:hint="eastAsia" w:ascii="宋体" w:hAnsi="宋体" w:cs="新宋体"/>
          <w:color w:val="0000FF"/>
          <w:kern w:val="0"/>
          <w:sz w:val="18"/>
          <w:szCs w:val="18"/>
        </w:rPr>
        <w:t>=</w:t>
      </w:r>
      <w:r>
        <w:rPr>
          <w:rFonts w:hint="eastAsia" w:ascii="宋体" w:hAnsi="宋体" w:cs="新宋体"/>
          <w:kern w:val="0"/>
          <w:sz w:val="18"/>
          <w:szCs w:val="18"/>
        </w:rPr>
        <w:t>"</w:t>
      </w:r>
      <w:r>
        <w:rPr>
          <w:rFonts w:hint="eastAsia" w:ascii="宋体" w:hAnsi="宋体" w:cs="新宋体"/>
          <w:color w:val="0000FF"/>
          <w:kern w:val="0"/>
          <w:sz w:val="18"/>
          <w:szCs w:val="18"/>
        </w:rPr>
        <w:t xml:space="preserve">RESPONSE_FPXXXZ_NEW </w:t>
      </w:r>
      <w:r>
        <w:rPr>
          <w:rFonts w:hint="eastAsia" w:ascii="宋体" w:hAnsi="宋体" w:cs="新宋体"/>
          <w:kern w:val="0"/>
          <w:sz w:val="18"/>
          <w:szCs w:val="18"/>
        </w:rPr>
        <w:t>"</w:t>
      </w:r>
      <w:r>
        <w:rPr>
          <w:rFonts w:hint="eastAsia" w:ascii="宋体" w:hAnsi="宋体" w:cs="新宋体"/>
          <w:color w:val="0000FF"/>
          <w:kern w:val="0"/>
          <w:sz w:val="18"/>
          <w:szCs w:val="18"/>
        </w:rPr>
        <w:t>&gt;</w:t>
      </w:r>
    </w:p>
    <w:p>
      <w:pPr>
        <w:autoSpaceDE w:val="0"/>
        <w:autoSpaceDN w:val="0"/>
        <w:adjustRightInd w:val="0"/>
        <w:spacing w:line="360" w:lineRule="auto"/>
        <w:ind w:left="420" w:firstLine="42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FPQQLSH</w:t>
      </w:r>
      <w:r>
        <w:rPr>
          <w:rFonts w:hint="eastAsia" w:ascii="宋体" w:hAnsi="宋体" w:cs="新宋体"/>
          <w:color w:val="0000FF"/>
          <w:kern w:val="0"/>
          <w:sz w:val="18"/>
          <w:szCs w:val="18"/>
        </w:rPr>
        <w:t>&gt;</w:t>
      </w:r>
      <w:r>
        <w:rPr>
          <w:rFonts w:hint="eastAsia" w:ascii="宋体" w:hAnsi="宋体" w:cs="新宋体"/>
          <w:kern w:val="0"/>
          <w:sz w:val="18"/>
          <w:szCs w:val="18"/>
        </w:rPr>
        <w:t>发票请求唯一流水号</w:t>
      </w:r>
      <w:r>
        <w:rPr>
          <w:rFonts w:hint="eastAsia" w:ascii="宋体" w:hAnsi="宋体" w:cs="新宋体"/>
          <w:color w:val="0000FF"/>
          <w:kern w:val="0"/>
          <w:sz w:val="18"/>
          <w:szCs w:val="18"/>
        </w:rPr>
        <w:t>&lt;/</w:t>
      </w:r>
      <w:r>
        <w:rPr>
          <w:rFonts w:hint="eastAsia" w:ascii="宋体" w:hAnsi="宋体" w:cs="新宋体"/>
          <w:color w:val="A31515"/>
          <w:kern w:val="0"/>
          <w:sz w:val="18"/>
          <w:szCs w:val="18"/>
        </w:rPr>
        <w:t>FPQQLSH</w:t>
      </w:r>
      <w:r>
        <w:rPr>
          <w:rFonts w:hint="eastAsia" w:ascii="宋体" w:hAnsi="宋体" w:cs="新宋体"/>
          <w:color w:val="0000FF"/>
          <w:kern w:val="0"/>
          <w:sz w:val="18"/>
          <w:szCs w:val="18"/>
        </w:rPr>
        <w:t>&gt;</w:t>
      </w:r>
    </w:p>
    <w:p>
      <w:pPr>
        <w:autoSpaceDE w:val="0"/>
        <w:autoSpaceDN w:val="0"/>
        <w:adjustRightInd w:val="0"/>
        <w:spacing w:line="360" w:lineRule="auto"/>
        <w:ind w:left="840"/>
        <w:rPr>
          <w:rFonts w:ascii="宋体" w:hAnsi="宋体" w:cs="新宋体"/>
          <w:color w:val="0000FF"/>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DDH</w:t>
      </w:r>
      <w:r>
        <w:rPr>
          <w:rFonts w:hint="eastAsia" w:ascii="宋体" w:hAnsi="宋体" w:cs="新宋体"/>
          <w:color w:val="0000FF"/>
          <w:kern w:val="0"/>
          <w:sz w:val="18"/>
          <w:szCs w:val="18"/>
        </w:rPr>
        <w:t>&gt;</w:t>
      </w:r>
      <w:r>
        <w:rPr>
          <w:rFonts w:hint="eastAsia" w:ascii="宋体" w:hAnsi="宋体" w:cs="新宋体"/>
          <w:kern w:val="0"/>
          <w:sz w:val="18"/>
          <w:szCs w:val="18"/>
        </w:rPr>
        <w:t>订单号</w:t>
      </w:r>
      <w:r>
        <w:rPr>
          <w:rFonts w:hint="eastAsia" w:ascii="宋体" w:hAnsi="宋体" w:cs="新宋体"/>
          <w:color w:val="0000FF"/>
          <w:kern w:val="0"/>
          <w:sz w:val="18"/>
          <w:szCs w:val="18"/>
        </w:rPr>
        <w:t>&lt;/</w:t>
      </w:r>
      <w:r>
        <w:rPr>
          <w:rFonts w:hint="eastAsia" w:ascii="宋体" w:hAnsi="宋体" w:cs="新宋体"/>
          <w:color w:val="A31515"/>
          <w:kern w:val="0"/>
          <w:sz w:val="18"/>
          <w:szCs w:val="18"/>
        </w:rPr>
        <w:t>DDH</w:t>
      </w:r>
      <w:r>
        <w:rPr>
          <w:rFonts w:hint="eastAsia" w:ascii="宋体" w:hAnsi="宋体" w:cs="新宋体"/>
          <w:color w:val="0000FF"/>
          <w:kern w:val="0"/>
          <w:sz w:val="18"/>
          <w:szCs w:val="18"/>
        </w:rPr>
        <w:t>&gt;</w:t>
      </w:r>
    </w:p>
    <w:p>
      <w:pPr>
        <w:autoSpaceDE w:val="0"/>
        <w:autoSpaceDN w:val="0"/>
        <w:adjustRightInd w:val="0"/>
        <w:spacing w:line="360" w:lineRule="auto"/>
        <w:ind w:left="84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KPLSH</w:t>
      </w:r>
      <w:r>
        <w:rPr>
          <w:rFonts w:hint="eastAsia" w:ascii="宋体" w:hAnsi="宋体" w:cs="新宋体"/>
          <w:color w:val="0000FF"/>
          <w:kern w:val="0"/>
          <w:sz w:val="18"/>
          <w:szCs w:val="18"/>
        </w:rPr>
        <w:t>&gt;</w:t>
      </w:r>
      <w:r>
        <w:rPr>
          <w:rFonts w:hint="eastAsia" w:ascii="宋体" w:hAnsi="宋体" w:cs="新宋体"/>
          <w:kern w:val="0"/>
          <w:sz w:val="18"/>
          <w:szCs w:val="18"/>
        </w:rPr>
        <w:t>开票流水号</w:t>
      </w:r>
      <w:r>
        <w:rPr>
          <w:rFonts w:hint="eastAsia" w:ascii="宋体" w:hAnsi="宋体" w:cs="新宋体"/>
          <w:color w:val="0000FF"/>
          <w:kern w:val="0"/>
          <w:sz w:val="18"/>
          <w:szCs w:val="18"/>
        </w:rPr>
        <w:t>&lt;/</w:t>
      </w:r>
      <w:r>
        <w:rPr>
          <w:rFonts w:hint="eastAsia" w:ascii="宋体" w:hAnsi="宋体" w:cs="新宋体"/>
          <w:color w:val="A31515"/>
          <w:kern w:val="0"/>
          <w:sz w:val="18"/>
          <w:szCs w:val="18"/>
        </w:rPr>
        <w:t>KPLSH</w:t>
      </w:r>
      <w:r>
        <w:rPr>
          <w:rFonts w:hint="eastAsia" w:ascii="宋体" w:hAnsi="宋体" w:cs="新宋体"/>
          <w:color w:val="0000FF"/>
          <w:kern w:val="0"/>
          <w:sz w:val="18"/>
          <w:szCs w:val="18"/>
        </w:rPr>
        <w:t>&gt;</w:t>
      </w:r>
    </w:p>
    <w:p>
      <w:pPr>
        <w:autoSpaceDE w:val="0"/>
        <w:autoSpaceDN w:val="0"/>
        <w:adjustRightInd w:val="0"/>
        <w:spacing w:line="360" w:lineRule="auto"/>
        <w:ind w:left="84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FWM</w:t>
      </w:r>
      <w:r>
        <w:rPr>
          <w:rFonts w:hint="eastAsia" w:ascii="宋体" w:hAnsi="宋体" w:cs="新宋体"/>
          <w:color w:val="0000FF"/>
          <w:kern w:val="0"/>
          <w:sz w:val="18"/>
          <w:szCs w:val="18"/>
        </w:rPr>
        <w:t>&gt;</w:t>
      </w:r>
      <w:r>
        <w:rPr>
          <w:rFonts w:hint="eastAsia" w:ascii="宋体" w:hAnsi="宋体" w:cs="新宋体"/>
          <w:kern w:val="0"/>
          <w:sz w:val="18"/>
          <w:szCs w:val="18"/>
        </w:rPr>
        <w:t>防伪码</w:t>
      </w:r>
      <w:r>
        <w:rPr>
          <w:rFonts w:hint="eastAsia" w:ascii="宋体" w:hAnsi="宋体" w:cs="新宋体"/>
          <w:color w:val="0000FF"/>
          <w:kern w:val="0"/>
          <w:sz w:val="18"/>
          <w:szCs w:val="18"/>
        </w:rPr>
        <w:t>&lt;/</w:t>
      </w:r>
      <w:r>
        <w:rPr>
          <w:rFonts w:hint="eastAsia" w:ascii="宋体" w:hAnsi="宋体" w:cs="新宋体"/>
          <w:color w:val="A31515"/>
          <w:kern w:val="0"/>
          <w:sz w:val="18"/>
          <w:szCs w:val="18"/>
        </w:rPr>
        <w:t>FWM</w:t>
      </w:r>
      <w:r>
        <w:rPr>
          <w:rFonts w:hint="eastAsia" w:ascii="宋体" w:hAnsi="宋体" w:cs="新宋体"/>
          <w:color w:val="0000FF"/>
          <w:kern w:val="0"/>
          <w:sz w:val="18"/>
          <w:szCs w:val="18"/>
        </w:rPr>
        <w:t>&gt;</w:t>
      </w:r>
    </w:p>
    <w:p>
      <w:pPr>
        <w:autoSpaceDE w:val="0"/>
        <w:autoSpaceDN w:val="0"/>
        <w:adjustRightInd w:val="0"/>
        <w:spacing w:line="360" w:lineRule="auto"/>
        <w:ind w:left="84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EWM</w:t>
      </w:r>
      <w:r>
        <w:rPr>
          <w:rFonts w:hint="eastAsia" w:ascii="宋体" w:hAnsi="宋体" w:cs="新宋体"/>
          <w:color w:val="0000FF"/>
          <w:kern w:val="0"/>
          <w:sz w:val="18"/>
          <w:szCs w:val="18"/>
        </w:rPr>
        <w:t>&gt;</w:t>
      </w:r>
      <w:r>
        <w:rPr>
          <w:rFonts w:hint="eastAsia" w:ascii="宋体" w:hAnsi="宋体" w:cs="新宋体"/>
          <w:kern w:val="0"/>
          <w:sz w:val="18"/>
          <w:szCs w:val="18"/>
        </w:rPr>
        <w:t>二维码</w:t>
      </w:r>
      <w:r>
        <w:rPr>
          <w:rFonts w:hint="eastAsia" w:ascii="宋体" w:hAnsi="宋体" w:cs="新宋体"/>
          <w:color w:val="0000FF"/>
          <w:kern w:val="0"/>
          <w:sz w:val="18"/>
          <w:szCs w:val="18"/>
        </w:rPr>
        <w:t>&lt;/</w:t>
      </w:r>
      <w:r>
        <w:rPr>
          <w:rFonts w:hint="eastAsia" w:ascii="宋体" w:hAnsi="宋体" w:cs="新宋体"/>
          <w:color w:val="A31515"/>
          <w:kern w:val="0"/>
          <w:sz w:val="18"/>
          <w:szCs w:val="18"/>
        </w:rPr>
        <w:t>EWM</w:t>
      </w:r>
      <w:r>
        <w:rPr>
          <w:rFonts w:hint="eastAsia" w:ascii="宋体" w:hAnsi="宋体" w:cs="新宋体"/>
          <w:color w:val="0000FF"/>
          <w:kern w:val="0"/>
          <w:sz w:val="18"/>
          <w:szCs w:val="18"/>
        </w:rPr>
        <w:t>&gt;</w:t>
      </w:r>
    </w:p>
    <w:p>
      <w:pPr>
        <w:autoSpaceDE w:val="0"/>
        <w:autoSpaceDN w:val="0"/>
        <w:adjustRightInd w:val="0"/>
        <w:spacing w:line="360" w:lineRule="auto"/>
        <w:ind w:left="84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FPZL_DM</w:t>
      </w:r>
      <w:r>
        <w:rPr>
          <w:rFonts w:hint="eastAsia" w:ascii="宋体" w:hAnsi="宋体" w:cs="新宋体"/>
          <w:color w:val="0000FF"/>
          <w:kern w:val="0"/>
          <w:sz w:val="18"/>
          <w:szCs w:val="18"/>
        </w:rPr>
        <w:t>&gt;</w:t>
      </w:r>
      <w:r>
        <w:rPr>
          <w:rFonts w:hint="eastAsia" w:ascii="宋体" w:hAnsi="宋体" w:cs="新宋体"/>
          <w:kern w:val="0"/>
          <w:sz w:val="18"/>
          <w:szCs w:val="18"/>
        </w:rPr>
        <w:t>发票种类代码</w:t>
      </w:r>
      <w:r>
        <w:rPr>
          <w:rFonts w:hint="eastAsia" w:ascii="宋体" w:hAnsi="宋体" w:cs="新宋体"/>
          <w:color w:val="0000FF"/>
          <w:kern w:val="0"/>
          <w:sz w:val="18"/>
          <w:szCs w:val="18"/>
        </w:rPr>
        <w:t>&lt;/</w:t>
      </w:r>
      <w:r>
        <w:rPr>
          <w:rFonts w:hint="eastAsia" w:ascii="宋体" w:hAnsi="宋体" w:cs="新宋体"/>
          <w:color w:val="A31515"/>
          <w:kern w:val="0"/>
          <w:sz w:val="18"/>
          <w:szCs w:val="18"/>
        </w:rPr>
        <w:t>FPZL_DM</w:t>
      </w:r>
      <w:r>
        <w:rPr>
          <w:rFonts w:hint="eastAsia" w:ascii="宋体" w:hAnsi="宋体" w:cs="新宋体"/>
          <w:color w:val="0000FF"/>
          <w:kern w:val="0"/>
          <w:sz w:val="18"/>
          <w:szCs w:val="18"/>
        </w:rPr>
        <w:t>&gt;</w:t>
      </w:r>
    </w:p>
    <w:p>
      <w:pPr>
        <w:autoSpaceDE w:val="0"/>
        <w:autoSpaceDN w:val="0"/>
        <w:adjustRightInd w:val="0"/>
        <w:spacing w:line="360" w:lineRule="auto"/>
        <w:ind w:left="84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FP_DM</w:t>
      </w:r>
      <w:r>
        <w:rPr>
          <w:rFonts w:hint="eastAsia" w:ascii="宋体" w:hAnsi="宋体" w:cs="新宋体"/>
          <w:color w:val="0000FF"/>
          <w:kern w:val="0"/>
          <w:sz w:val="18"/>
          <w:szCs w:val="18"/>
        </w:rPr>
        <w:t>&gt;</w:t>
      </w:r>
      <w:r>
        <w:rPr>
          <w:rFonts w:hint="eastAsia" w:ascii="宋体" w:hAnsi="宋体" w:cs="新宋体"/>
          <w:kern w:val="0"/>
          <w:sz w:val="18"/>
          <w:szCs w:val="18"/>
        </w:rPr>
        <w:t>发票代码</w:t>
      </w:r>
      <w:r>
        <w:rPr>
          <w:rFonts w:hint="eastAsia" w:ascii="宋体" w:hAnsi="宋体" w:cs="新宋体"/>
          <w:color w:val="0000FF"/>
          <w:kern w:val="0"/>
          <w:sz w:val="18"/>
          <w:szCs w:val="18"/>
        </w:rPr>
        <w:t>&lt;/</w:t>
      </w:r>
      <w:r>
        <w:rPr>
          <w:rFonts w:hint="eastAsia" w:ascii="宋体" w:hAnsi="宋体" w:cs="新宋体"/>
          <w:color w:val="A31515"/>
          <w:kern w:val="0"/>
          <w:sz w:val="18"/>
          <w:szCs w:val="18"/>
        </w:rPr>
        <w:t>FP_DM</w:t>
      </w:r>
      <w:r>
        <w:rPr>
          <w:rFonts w:hint="eastAsia" w:ascii="宋体" w:hAnsi="宋体" w:cs="新宋体"/>
          <w:color w:val="0000FF"/>
          <w:kern w:val="0"/>
          <w:sz w:val="18"/>
          <w:szCs w:val="18"/>
        </w:rPr>
        <w:t>&gt;</w:t>
      </w:r>
    </w:p>
    <w:p>
      <w:pPr>
        <w:autoSpaceDE w:val="0"/>
        <w:autoSpaceDN w:val="0"/>
        <w:adjustRightInd w:val="0"/>
        <w:spacing w:line="360" w:lineRule="auto"/>
        <w:ind w:left="84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FP_HM</w:t>
      </w:r>
      <w:r>
        <w:rPr>
          <w:rFonts w:hint="eastAsia" w:ascii="宋体" w:hAnsi="宋体" w:cs="新宋体"/>
          <w:color w:val="0000FF"/>
          <w:kern w:val="0"/>
          <w:sz w:val="18"/>
          <w:szCs w:val="18"/>
        </w:rPr>
        <w:t>&gt;</w:t>
      </w:r>
      <w:r>
        <w:rPr>
          <w:rFonts w:hint="eastAsia" w:ascii="宋体" w:hAnsi="宋体" w:cs="新宋体"/>
          <w:kern w:val="0"/>
          <w:sz w:val="18"/>
          <w:szCs w:val="18"/>
        </w:rPr>
        <w:t>发票号码</w:t>
      </w:r>
      <w:r>
        <w:rPr>
          <w:rFonts w:hint="eastAsia" w:ascii="宋体" w:hAnsi="宋体" w:cs="新宋体"/>
          <w:color w:val="0000FF"/>
          <w:kern w:val="0"/>
          <w:sz w:val="18"/>
          <w:szCs w:val="18"/>
        </w:rPr>
        <w:t>&lt;/</w:t>
      </w:r>
      <w:r>
        <w:rPr>
          <w:rFonts w:hint="eastAsia" w:ascii="宋体" w:hAnsi="宋体" w:cs="新宋体"/>
          <w:color w:val="A31515"/>
          <w:kern w:val="0"/>
          <w:sz w:val="18"/>
          <w:szCs w:val="18"/>
        </w:rPr>
        <w:t>FP_HM</w:t>
      </w:r>
      <w:r>
        <w:rPr>
          <w:rFonts w:hint="eastAsia" w:ascii="宋体" w:hAnsi="宋体" w:cs="新宋体"/>
          <w:color w:val="0000FF"/>
          <w:kern w:val="0"/>
          <w:sz w:val="18"/>
          <w:szCs w:val="18"/>
        </w:rPr>
        <w:t>&gt;</w:t>
      </w:r>
    </w:p>
    <w:p>
      <w:pPr>
        <w:autoSpaceDE w:val="0"/>
        <w:autoSpaceDN w:val="0"/>
        <w:adjustRightInd w:val="0"/>
        <w:spacing w:line="360" w:lineRule="auto"/>
        <w:ind w:left="84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KPRQ</w:t>
      </w:r>
      <w:r>
        <w:rPr>
          <w:rFonts w:hint="eastAsia" w:ascii="宋体" w:hAnsi="宋体" w:cs="新宋体"/>
          <w:color w:val="0000FF"/>
          <w:kern w:val="0"/>
          <w:sz w:val="18"/>
          <w:szCs w:val="18"/>
        </w:rPr>
        <w:t>&gt;</w:t>
      </w:r>
      <w:r>
        <w:rPr>
          <w:rFonts w:hint="eastAsia" w:ascii="宋体" w:hAnsi="宋体" w:cs="新宋体"/>
          <w:kern w:val="0"/>
          <w:sz w:val="18"/>
          <w:szCs w:val="18"/>
        </w:rPr>
        <w:t>开票日期</w:t>
      </w:r>
      <w:r>
        <w:rPr>
          <w:rFonts w:hint="eastAsia" w:ascii="宋体" w:hAnsi="宋体" w:cs="新宋体"/>
          <w:color w:val="0000FF"/>
          <w:kern w:val="0"/>
          <w:sz w:val="18"/>
          <w:szCs w:val="18"/>
        </w:rPr>
        <w:t>&lt;/</w:t>
      </w:r>
      <w:r>
        <w:rPr>
          <w:rFonts w:hint="eastAsia" w:ascii="宋体" w:hAnsi="宋体" w:cs="新宋体"/>
          <w:color w:val="A31515"/>
          <w:kern w:val="0"/>
          <w:sz w:val="18"/>
          <w:szCs w:val="18"/>
        </w:rPr>
        <w:t>KPRQ</w:t>
      </w:r>
      <w:r>
        <w:rPr>
          <w:rFonts w:hint="eastAsia" w:ascii="宋体" w:hAnsi="宋体" w:cs="新宋体"/>
          <w:color w:val="0000FF"/>
          <w:kern w:val="0"/>
          <w:sz w:val="18"/>
          <w:szCs w:val="18"/>
        </w:rPr>
        <w:t>&gt;</w:t>
      </w:r>
    </w:p>
    <w:p>
      <w:pPr>
        <w:autoSpaceDE w:val="0"/>
        <w:autoSpaceDN w:val="0"/>
        <w:adjustRightInd w:val="0"/>
        <w:spacing w:line="360" w:lineRule="auto"/>
        <w:ind w:left="840"/>
        <w:rPr>
          <w:rFonts w:ascii="宋体" w:hAnsi="宋体" w:cs="新宋体"/>
          <w:color w:val="0000FF"/>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KPLX</w:t>
      </w:r>
      <w:r>
        <w:rPr>
          <w:rFonts w:hint="eastAsia" w:ascii="宋体" w:hAnsi="宋体" w:cs="新宋体"/>
          <w:color w:val="0000FF"/>
          <w:kern w:val="0"/>
          <w:sz w:val="18"/>
          <w:szCs w:val="18"/>
        </w:rPr>
        <w:t>&gt;</w:t>
      </w:r>
      <w:r>
        <w:rPr>
          <w:rFonts w:hint="eastAsia" w:ascii="宋体" w:hAnsi="宋体" w:cs="新宋体"/>
          <w:kern w:val="0"/>
          <w:sz w:val="18"/>
          <w:szCs w:val="18"/>
        </w:rPr>
        <w:t>开票类型</w:t>
      </w:r>
      <w:r>
        <w:rPr>
          <w:rFonts w:hint="eastAsia" w:ascii="宋体" w:hAnsi="宋体" w:cs="新宋体"/>
          <w:color w:val="0000FF"/>
          <w:kern w:val="0"/>
          <w:sz w:val="18"/>
          <w:szCs w:val="18"/>
        </w:rPr>
        <w:t>&lt;/</w:t>
      </w:r>
      <w:r>
        <w:rPr>
          <w:rFonts w:hint="eastAsia" w:ascii="宋体" w:hAnsi="宋体" w:cs="新宋体"/>
          <w:color w:val="A31515"/>
          <w:kern w:val="0"/>
          <w:sz w:val="18"/>
          <w:szCs w:val="18"/>
        </w:rPr>
        <w:t>KPLX</w:t>
      </w:r>
      <w:r>
        <w:rPr>
          <w:rFonts w:hint="eastAsia" w:ascii="宋体" w:hAnsi="宋体" w:cs="新宋体"/>
          <w:color w:val="0000FF"/>
          <w:kern w:val="0"/>
          <w:sz w:val="18"/>
          <w:szCs w:val="18"/>
        </w:rPr>
        <w:t>&gt;</w:t>
      </w:r>
    </w:p>
    <w:p>
      <w:pPr>
        <w:autoSpaceDE w:val="0"/>
        <w:autoSpaceDN w:val="0"/>
        <w:adjustRightInd w:val="0"/>
        <w:spacing w:line="360" w:lineRule="auto"/>
        <w:ind w:left="840"/>
        <w:rPr>
          <w:rFonts w:ascii="宋体" w:hAnsi="宋体" w:cs="新宋体"/>
          <w:color w:val="0000FF"/>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HJBHSJE</w:t>
      </w:r>
      <w:r>
        <w:rPr>
          <w:rFonts w:hint="eastAsia" w:ascii="宋体" w:hAnsi="宋体" w:cs="新宋体"/>
          <w:color w:val="0000FF"/>
          <w:kern w:val="0"/>
          <w:sz w:val="18"/>
          <w:szCs w:val="18"/>
        </w:rPr>
        <w:t>&gt;</w:t>
      </w:r>
      <w:r>
        <w:rPr>
          <w:rFonts w:hint="eastAsia" w:ascii="宋体" w:hAnsi="宋体" w:cs="新宋体"/>
          <w:kern w:val="0"/>
          <w:sz w:val="18"/>
          <w:szCs w:val="18"/>
        </w:rPr>
        <w:t>不含税金额</w:t>
      </w:r>
      <w:r>
        <w:rPr>
          <w:rFonts w:hint="eastAsia" w:ascii="宋体" w:hAnsi="宋体" w:cs="新宋体"/>
          <w:color w:val="0000FF"/>
          <w:kern w:val="0"/>
          <w:sz w:val="18"/>
          <w:szCs w:val="18"/>
        </w:rPr>
        <w:t>&lt;/</w:t>
      </w:r>
      <w:r>
        <w:rPr>
          <w:rFonts w:hint="eastAsia" w:ascii="宋体" w:hAnsi="宋体" w:cs="新宋体"/>
          <w:color w:val="A31515"/>
          <w:kern w:val="0"/>
          <w:sz w:val="18"/>
          <w:szCs w:val="18"/>
        </w:rPr>
        <w:t>HJBHSJE</w:t>
      </w:r>
      <w:r>
        <w:rPr>
          <w:rFonts w:hint="eastAsia" w:ascii="宋体" w:hAnsi="宋体" w:cs="新宋体"/>
          <w:color w:val="0000FF"/>
          <w:kern w:val="0"/>
          <w:sz w:val="18"/>
          <w:szCs w:val="18"/>
        </w:rPr>
        <w:t>&gt;</w:t>
      </w:r>
    </w:p>
    <w:p>
      <w:pPr>
        <w:autoSpaceDE w:val="0"/>
        <w:autoSpaceDN w:val="0"/>
        <w:adjustRightInd w:val="0"/>
        <w:spacing w:line="360" w:lineRule="auto"/>
        <w:ind w:left="840"/>
        <w:rPr>
          <w:rFonts w:ascii="宋体" w:hAnsi="宋体" w:cs="新宋体"/>
          <w:color w:val="0000FF"/>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KPHJSE</w:t>
      </w:r>
      <w:r>
        <w:rPr>
          <w:rFonts w:hint="eastAsia" w:ascii="宋体" w:hAnsi="宋体" w:cs="新宋体"/>
          <w:color w:val="0000FF"/>
          <w:kern w:val="0"/>
          <w:sz w:val="18"/>
          <w:szCs w:val="18"/>
        </w:rPr>
        <w:t>&gt;</w:t>
      </w:r>
      <w:r>
        <w:rPr>
          <w:rFonts w:hint="eastAsia" w:ascii="宋体" w:hAnsi="宋体" w:cs="新宋体"/>
          <w:kern w:val="0"/>
          <w:sz w:val="18"/>
          <w:szCs w:val="18"/>
        </w:rPr>
        <w:t>税额</w:t>
      </w:r>
      <w:r>
        <w:rPr>
          <w:rFonts w:hint="eastAsia" w:ascii="宋体" w:hAnsi="宋体" w:cs="新宋体"/>
          <w:color w:val="0000FF"/>
          <w:kern w:val="0"/>
          <w:sz w:val="18"/>
          <w:szCs w:val="18"/>
        </w:rPr>
        <w:t>&lt;/</w:t>
      </w:r>
      <w:r>
        <w:rPr>
          <w:rFonts w:hint="eastAsia" w:ascii="宋体" w:hAnsi="宋体" w:cs="新宋体"/>
          <w:color w:val="A31515"/>
          <w:kern w:val="0"/>
          <w:sz w:val="18"/>
          <w:szCs w:val="18"/>
        </w:rPr>
        <w:t>KPHJSE</w:t>
      </w:r>
      <w:r>
        <w:rPr>
          <w:rFonts w:hint="eastAsia" w:ascii="宋体" w:hAnsi="宋体" w:cs="新宋体"/>
          <w:color w:val="0000FF"/>
          <w:kern w:val="0"/>
          <w:sz w:val="18"/>
          <w:szCs w:val="18"/>
        </w:rPr>
        <w:t>&gt;</w:t>
      </w:r>
    </w:p>
    <w:p>
      <w:pPr>
        <w:autoSpaceDE w:val="0"/>
        <w:autoSpaceDN w:val="0"/>
        <w:adjustRightInd w:val="0"/>
        <w:spacing w:line="360" w:lineRule="auto"/>
        <w:ind w:left="840"/>
        <w:rPr>
          <w:rFonts w:ascii="宋体" w:hAnsi="宋体" w:cs="新宋体"/>
          <w:color w:val="0000FF"/>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PDF_FILE</w:t>
      </w:r>
      <w:r>
        <w:rPr>
          <w:rFonts w:hint="eastAsia" w:ascii="宋体" w:hAnsi="宋体" w:cs="新宋体"/>
          <w:color w:val="0000FF"/>
          <w:kern w:val="0"/>
          <w:sz w:val="18"/>
          <w:szCs w:val="18"/>
        </w:rPr>
        <w:t>&gt;</w:t>
      </w:r>
      <w:r>
        <w:rPr>
          <w:rFonts w:hint="eastAsia" w:ascii="宋体" w:hAnsi="宋体" w:cs="新宋体"/>
          <w:kern w:val="0"/>
          <w:sz w:val="18"/>
          <w:szCs w:val="18"/>
        </w:rPr>
        <w:t>Base64（pdf文件）</w:t>
      </w:r>
      <w:r>
        <w:rPr>
          <w:rFonts w:hint="eastAsia" w:ascii="宋体" w:hAnsi="宋体" w:cs="新宋体"/>
          <w:color w:val="0000FF"/>
          <w:kern w:val="0"/>
          <w:sz w:val="18"/>
          <w:szCs w:val="18"/>
        </w:rPr>
        <w:t>&lt;/</w:t>
      </w:r>
      <w:r>
        <w:rPr>
          <w:rFonts w:hint="eastAsia" w:ascii="宋体" w:hAnsi="宋体" w:cs="新宋体"/>
          <w:color w:val="A31515"/>
          <w:kern w:val="0"/>
          <w:sz w:val="18"/>
          <w:szCs w:val="18"/>
        </w:rPr>
        <w:t>PDF_FILE</w:t>
      </w:r>
      <w:r>
        <w:rPr>
          <w:rFonts w:hint="eastAsia" w:ascii="宋体" w:hAnsi="宋体" w:cs="新宋体"/>
          <w:color w:val="0000FF"/>
          <w:kern w:val="0"/>
          <w:sz w:val="18"/>
          <w:szCs w:val="18"/>
        </w:rPr>
        <w:t>&gt;</w:t>
      </w:r>
    </w:p>
    <w:p>
      <w:pPr>
        <w:autoSpaceDE w:val="0"/>
        <w:autoSpaceDN w:val="0"/>
        <w:adjustRightInd w:val="0"/>
        <w:spacing w:line="360" w:lineRule="auto"/>
        <w:ind w:left="840"/>
        <w:rPr>
          <w:rFonts w:ascii="宋体" w:hAnsi="宋体" w:cs="新宋体"/>
          <w:color w:val="0000FF"/>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PDF_URL</w:t>
      </w:r>
      <w:r>
        <w:rPr>
          <w:rFonts w:hint="eastAsia" w:ascii="宋体" w:hAnsi="宋体" w:cs="新宋体"/>
          <w:color w:val="0000FF"/>
          <w:kern w:val="0"/>
          <w:sz w:val="18"/>
          <w:szCs w:val="18"/>
        </w:rPr>
        <w:t>&gt;</w:t>
      </w:r>
      <w:r>
        <w:rPr>
          <w:rFonts w:hint="eastAsia" w:ascii="宋体" w:hAnsi="宋体" w:cs="新宋体"/>
          <w:kern w:val="0"/>
          <w:sz w:val="18"/>
          <w:szCs w:val="18"/>
        </w:rPr>
        <w:t>PDF下载路径</w:t>
      </w:r>
      <w:r>
        <w:rPr>
          <w:rFonts w:hint="eastAsia" w:ascii="宋体" w:hAnsi="宋体" w:cs="新宋体"/>
          <w:color w:val="0000FF"/>
          <w:kern w:val="0"/>
          <w:sz w:val="18"/>
          <w:szCs w:val="18"/>
        </w:rPr>
        <w:t>&lt;/</w:t>
      </w:r>
      <w:r>
        <w:rPr>
          <w:rFonts w:hint="eastAsia" w:ascii="宋体" w:hAnsi="宋体" w:cs="新宋体"/>
          <w:color w:val="A31515"/>
          <w:kern w:val="0"/>
          <w:sz w:val="18"/>
          <w:szCs w:val="18"/>
        </w:rPr>
        <w:t>PDF_URL</w:t>
      </w:r>
      <w:r>
        <w:rPr>
          <w:rFonts w:hint="eastAsia" w:ascii="宋体" w:hAnsi="宋体" w:cs="新宋体"/>
          <w:color w:val="0000FF"/>
          <w:kern w:val="0"/>
          <w:sz w:val="18"/>
          <w:szCs w:val="18"/>
        </w:rPr>
        <w:t>&gt;</w:t>
      </w:r>
    </w:p>
    <w:p>
      <w:pPr>
        <w:autoSpaceDE w:val="0"/>
        <w:autoSpaceDN w:val="0"/>
        <w:adjustRightInd w:val="0"/>
        <w:spacing w:line="360" w:lineRule="auto"/>
        <w:ind w:left="84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CZDM</w:t>
      </w:r>
      <w:r>
        <w:rPr>
          <w:rFonts w:hint="eastAsia" w:ascii="宋体" w:hAnsi="宋体" w:cs="新宋体"/>
          <w:color w:val="0000FF"/>
          <w:kern w:val="0"/>
          <w:sz w:val="18"/>
          <w:szCs w:val="18"/>
        </w:rPr>
        <w:t>&gt;</w:t>
      </w:r>
      <w:r>
        <w:rPr>
          <w:rFonts w:hint="eastAsia" w:ascii="宋体" w:hAnsi="宋体" w:cs="新宋体"/>
          <w:kern w:val="0"/>
          <w:sz w:val="18"/>
          <w:szCs w:val="18"/>
        </w:rPr>
        <w:t>操作代码</w:t>
      </w:r>
      <w:r>
        <w:rPr>
          <w:rFonts w:hint="eastAsia" w:ascii="宋体" w:hAnsi="宋体" w:cs="新宋体"/>
          <w:color w:val="0000FF"/>
          <w:kern w:val="0"/>
          <w:sz w:val="18"/>
          <w:szCs w:val="18"/>
        </w:rPr>
        <w:t>&lt;/</w:t>
      </w:r>
      <w:r>
        <w:rPr>
          <w:rFonts w:hint="eastAsia" w:ascii="宋体" w:hAnsi="宋体" w:cs="新宋体"/>
          <w:color w:val="A31515"/>
          <w:kern w:val="0"/>
          <w:sz w:val="18"/>
          <w:szCs w:val="18"/>
        </w:rPr>
        <w:t>CZDM</w:t>
      </w:r>
      <w:r>
        <w:rPr>
          <w:rFonts w:hint="eastAsia" w:ascii="宋体" w:hAnsi="宋体" w:cs="新宋体"/>
          <w:color w:val="0000FF"/>
          <w:kern w:val="0"/>
          <w:sz w:val="18"/>
          <w:szCs w:val="18"/>
        </w:rPr>
        <w:t>&gt;</w:t>
      </w:r>
    </w:p>
    <w:p>
      <w:pPr>
        <w:autoSpaceDE w:val="0"/>
        <w:autoSpaceDN w:val="0"/>
        <w:adjustRightInd w:val="0"/>
        <w:spacing w:line="360" w:lineRule="auto"/>
        <w:ind w:left="84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RETURNCODE</w:t>
      </w:r>
      <w:r>
        <w:rPr>
          <w:rFonts w:hint="eastAsia" w:ascii="宋体" w:hAnsi="宋体" w:cs="新宋体"/>
          <w:color w:val="0000FF"/>
          <w:kern w:val="0"/>
          <w:sz w:val="18"/>
          <w:szCs w:val="18"/>
        </w:rPr>
        <w:t>&gt;</w:t>
      </w:r>
      <w:r>
        <w:rPr>
          <w:rFonts w:hint="eastAsia" w:ascii="宋体" w:hAnsi="宋体" w:cs="新宋体"/>
          <w:kern w:val="0"/>
          <w:sz w:val="18"/>
          <w:szCs w:val="18"/>
        </w:rPr>
        <w:t>结果代码</w:t>
      </w:r>
      <w:r>
        <w:rPr>
          <w:rFonts w:hint="eastAsia" w:ascii="宋体" w:hAnsi="宋体" w:cs="新宋体"/>
          <w:color w:val="0000FF"/>
          <w:kern w:val="0"/>
          <w:sz w:val="18"/>
          <w:szCs w:val="18"/>
        </w:rPr>
        <w:t>&lt;/</w:t>
      </w:r>
      <w:r>
        <w:rPr>
          <w:rFonts w:hint="eastAsia" w:ascii="宋体" w:hAnsi="宋体" w:cs="新宋体"/>
          <w:color w:val="A31515"/>
          <w:kern w:val="0"/>
          <w:sz w:val="18"/>
          <w:szCs w:val="18"/>
        </w:rPr>
        <w:t>RETURNCODE</w:t>
      </w:r>
      <w:r>
        <w:rPr>
          <w:rFonts w:hint="eastAsia" w:ascii="宋体" w:hAnsi="宋体" w:cs="新宋体"/>
          <w:color w:val="0000FF"/>
          <w:kern w:val="0"/>
          <w:sz w:val="18"/>
          <w:szCs w:val="18"/>
        </w:rPr>
        <w:t>&gt;</w:t>
      </w:r>
    </w:p>
    <w:p>
      <w:pPr>
        <w:autoSpaceDE w:val="0"/>
        <w:autoSpaceDN w:val="0"/>
        <w:adjustRightInd w:val="0"/>
        <w:spacing w:line="360" w:lineRule="auto"/>
        <w:ind w:left="84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RETURNMESSAGE</w:t>
      </w:r>
      <w:r>
        <w:rPr>
          <w:rFonts w:hint="eastAsia" w:ascii="宋体" w:hAnsi="宋体" w:cs="新宋体"/>
          <w:color w:val="0000FF"/>
          <w:kern w:val="0"/>
          <w:sz w:val="18"/>
          <w:szCs w:val="18"/>
        </w:rPr>
        <w:t>&gt;</w:t>
      </w:r>
      <w:r>
        <w:rPr>
          <w:rFonts w:hint="eastAsia" w:ascii="宋体" w:hAnsi="宋体" w:cs="新宋体"/>
          <w:kern w:val="0"/>
          <w:sz w:val="18"/>
          <w:szCs w:val="18"/>
        </w:rPr>
        <w:t>结果描述</w:t>
      </w:r>
      <w:r>
        <w:rPr>
          <w:rFonts w:hint="eastAsia" w:ascii="宋体" w:hAnsi="宋体" w:cs="新宋体"/>
          <w:color w:val="0000FF"/>
          <w:kern w:val="0"/>
          <w:sz w:val="18"/>
          <w:szCs w:val="18"/>
        </w:rPr>
        <w:t>&lt;/</w:t>
      </w:r>
      <w:r>
        <w:rPr>
          <w:rFonts w:hint="eastAsia" w:ascii="宋体" w:hAnsi="宋体" w:cs="新宋体"/>
          <w:color w:val="A31515"/>
          <w:kern w:val="0"/>
          <w:sz w:val="18"/>
          <w:szCs w:val="18"/>
        </w:rPr>
        <w:t>RETURNMESSAGE</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color w:val="0000FF"/>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RESPONSE_FPXXXZ_NEW</w:t>
      </w:r>
      <w:r>
        <w:rPr>
          <w:rFonts w:hint="eastAsia" w:ascii="宋体" w:hAnsi="宋体" w:cs="新宋体"/>
          <w:color w:val="0000FF"/>
          <w:kern w:val="0"/>
          <w:sz w:val="18"/>
          <w:szCs w:val="18"/>
        </w:rPr>
        <w:t>&gt;</w:t>
      </w:r>
    </w:p>
    <w:p>
      <w:pPr>
        <w:spacing w:line="360" w:lineRule="auto"/>
        <w:rPr>
          <w:rFonts w:ascii="Calibri" w:hAnsi="Calibri"/>
          <w:color w:val="FF0000"/>
        </w:rPr>
      </w:pPr>
    </w:p>
    <w:p>
      <w:pPr>
        <w:numPr>
          <w:ilvl w:val="0"/>
          <w:numId w:val="6"/>
        </w:numPr>
        <w:spacing w:line="360" w:lineRule="auto"/>
        <w:rPr>
          <w:b/>
        </w:rPr>
      </w:pPr>
      <w:r>
        <w:rPr>
          <w:rFonts w:hint="eastAsia"/>
          <w:b/>
        </w:rPr>
        <w:t>【</w:t>
      </w:r>
      <w:r>
        <w:rPr>
          <w:b/>
        </w:rPr>
        <w:t>Content</w:t>
      </w:r>
      <w:r>
        <w:rPr>
          <w:rFonts w:hint="eastAsia"/>
          <w:b/>
        </w:rPr>
        <w:t>中】返回数据项说明</w:t>
      </w:r>
    </w:p>
    <w:p>
      <w:pPr>
        <w:spacing w:line="360" w:lineRule="auto"/>
        <w:rPr>
          <w:b/>
        </w:rPr>
      </w:pPr>
    </w:p>
    <w:tbl>
      <w:tblPr>
        <w:tblStyle w:val="34"/>
        <w:tblW w:w="104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831"/>
        <w:gridCol w:w="1746"/>
        <w:gridCol w:w="1701"/>
        <w:gridCol w:w="851"/>
        <w:gridCol w:w="1100"/>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序号</w:t>
            </w:r>
          </w:p>
        </w:tc>
        <w:tc>
          <w:tcPr>
            <w:tcW w:w="1831"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数据项</w:t>
            </w:r>
          </w:p>
        </w:tc>
        <w:tc>
          <w:tcPr>
            <w:tcW w:w="1746"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数据项名称</w:t>
            </w:r>
          </w:p>
        </w:tc>
        <w:tc>
          <w:tcPr>
            <w:tcW w:w="1701"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类型</w:t>
            </w:r>
          </w:p>
        </w:tc>
        <w:tc>
          <w:tcPr>
            <w:tcW w:w="851"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长度</w:t>
            </w:r>
          </w:p>
        </w:tc>
        <w:tc>
          <w:tcPr>
            <w:tcW w:w="1100"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必须</w:t>
            </w:r>
          </w:p>
        </w:tc>
        <w:tc>
          <w:tcPr>
            <w:tcW w:w="2410"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8"/>
              </w:numPr>
              <w:spacing w:line="360" w:lineRule="auto"/>
              <w:jc w:val="center"/>
              <w:rPr>
                <w:rFonts w:ascii="Calibri" w:hAnsi="Calibri"/>
              </w:rPr>
            </w:pP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FPQQLSH</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发票请求唯一流水号</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50</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8"/>
              </w:numPr>
              <w:spacing w:line="360" w:lineRule="auto"/>
              <w:jc w:val="center"/>
              <w:rPr>
                <w:rFonts w:ascii="Calibri" w:hAnsi="Calibri"/>
              </w:rPr>
            </w:pP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DDH</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订单号</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8"/>
              </w:numPr>
              <w:spacing w:line="360" w:lineRule="auto"/>
              <w:jc w:val="center"/>
              <w:rPr>
                <w:rFonts w:ascii="Calibri" w:hAnsi="Calibri"/>
              </w:rPr>
            </w:pP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KPLSH</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开票流水号</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发票代码</w:t>
            </w:r>
            <w:r>
              <w:t>+</w:t>
            </w:r>
            <w:r>
              <w:rPr>
                <w:rFonts w:hint="eastAsia"/>
              </w:rPr>
              <w:t>发票号码（</w:t>
            </w:r>
            <w:r>
              <w:t>RETURNCODE</w:t>
            </w:r>
            <w:r>
              <w:rPr>
                <w:rFonts w:hint="eastAsia"/>
              </w:rPr>
              <w:t>不为</w:t>
            </w:r>
            <w:r>
              <w:t>0000</w:t>
            </w:r>
            <w:r>
              <w:rPr>
                <w:rFonts w:hint="eastAsia"/>
              </w:rPr>
              <w:t>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8"/>
              </w:numPr>
              <w:spacing w:line="360" w:lineRule="auto"/>
              <w:jc w:val="center"/>
              <w:rPr>
                <w:rFonts w:ascii="Calibri" w:hAnsi="Calibri"/>
              </w:rPr>
            </w:pP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FWM</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防伪码</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w:t>
            </w:r>
            <w:r>
              <w:t>RETURNCODE</w:t>
            </w:r>
            <w:r>
              <w:rPr>
                <w:rFonts w:hint="eastAsia"/>
              </w:rPr>
              <w:t>不为</w:t>
            </w:r>
            <w:r>
              <w:t>0000</w:t>
            </w:r>
            <w:r>
              <w:rPr>
                <w:rFonts w:hint="eastAsia"/>
              </w:rPr>
              <w:t>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8"/>
              </w:numPr>
              <w:spacing w:line="360" w:lineRule="auto"/>
              <w:jc w:val="center"/>
              <w:rPr>
                <w:rFonts w:ascii="Calibri" w:hAnsi="Calibri"/>
              </w:rPr>
            </w:pP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EWM</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二维码</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1000</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w:t>
            </w:r>
            <w:r>
              <w:t>RETURNCODE</w:t>
            </w:r>
            <w:r>
              <w:rPr>
                <w:rFonts w:hint="eastAsia"/>
              </w:rPr>
              <w:t>不为</w:t>
            </w:r>
            <w:r>
              <w:t>0000</w:t>
            </w:r>
            <w:r>
              <w:rPr>
                <w:rFonts w:hint="eastAsia"/>
              </w:rPr>
              <w:t>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8"/>
              </w:numPr>
              <w:spacing w:line="360" w:lineRule="auto"/>
              <w:jc w:val="center"/>
              <w:rPr>
                <w:rFonts w:ascii="Calibri" w:hAnsi="Calibri"/>
              </w:rPr>
            </w:pP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FPZL_DM</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发票种类代码</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5</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w:t>
            </w:r>
            <w:r>
              <w:t>RETURNCODE</w:t>
            </w:r>
            <w:r>
              <w:rPr>
                <w:rFonts w:hint="eastAsia"/>
              </w:rPr>
              <w:t>不为</w:t>
            </w:r>
            <w:r>
              <w:t>0000</w:t>
            </w:r>
            <w:r>
              <w:rPr>
                <w:rFonts w:hint="eastAsia"/>
              </w:rPr>
              <w:t>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8"/>
              </w:numPr>
              <w:spacing w:line="360" w:lineRule="auto"/>
              <w:jc w:val="center"/>
              <w:rPr>
                <w:rFonts w:ascii="Calibri" w:hAnsi="Calibri"/>
              </w:rPr>
            </w:pP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FP_DM</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发票代码</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12</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w:t>
            </w:r>
            <w:r>
              <w:t>RETURNCODE</w:t>
            </w:r>
            <w:r>
              <w:rPr>
                <w:rFonts w:hint="eastAsia"/>
              </w:rPr>
              <w:t>不为</w:t>
            </w:r>
            <w:r>
              <w:t>0000</w:t>
            </w:r>
            <w:r>
              <w:rPr>
                <w:rFonts w:hint="eastAsia"/>
              </w:rPr>
              <w:t>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8"/>
              </w:numPr>
              <w:spacing w:line="360" w:lineRule="auto"/>
              <w:jc w:val="center"/>
              <w:rPr>
                <w:rFonts w:ascii="Calibri" w:hAnsi="Calibri"/>
              </w:rPr>
            </w:pP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FP_HM</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发票号码</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8</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w:t>
            </w:r>
            <w:r>
              <w:t>RETURNCODE</w:t>
            </w:r>
            <w:r>
              <w:rPr>
                <w:rFonts w:hint="eastAsia"/>
              </w:rPr>
              <w:t>不为</w:t>
            </w:r>
            <w:r>
              <w:t>0000</w:t>
            </w:r>
            <w:r>
              <w:rPr>
                <w:rFonts w:hint="eastAsia"/>
              </w:rPr>
              <w:t>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8"/>
              </w:numPr>
              <w:spacing w:line="360" w:lineRule="auto"/>
              <w:jc w:val="center"/>
              <w:rPr>
                <w:rFonts w:ascii="Calibri" w:hAnsi="Calibri"/>
              </w:rPr>
            </w:pP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KPRQ</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开票日期</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1095"/>
                <w:tab w:val="center" w:pos="2231"/>
              </w:tabs>
              <w:spacing w:line="360" w:lineRule="auto"/>
              <w:ind w:firstLine="315" w:firstLineChars="150"/>
              <w:rPr>
                <w:rFonts w:ascii="Calibri" w:hAnsi="Calibri"/>
              </w:rPr>
            </w:pPr>
            <w:r>
              <w:t>DATETIME</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095"/>
                <w:tab w:val="center" w:pos="2231"/>
              </w:tabs>
              <w:spacing w:line="360" w:lineRule="auto"/>
              <w:jc w:val="center"/>
              <w:rPr>
                <w:rFonts w:ascii="Calibri" w:hAnsi="Calibri"/>
              </w:rPr>
            </w:pPr>
          </w:p>
        </w:tc>
        <w:tc>
          <w:tcPr>
            <w:tcW w:w="1100" w:type="dxa"/>
            <w:tcBorders>
              <w:top w:val="single" w:color="auto" w:sz="4" w:space="0"/>
              <w:left w:val="single" w:color="auto" w:sz="4" w:space="0"/>
              <w:bottom w:val="single" w:color="auto" w:sz="4" w:space="0"/>
              <w:right w:val="single" w:color="auto" w:sz="4" w:space="0"/>
            </w:tcBorders>
            <w:vAlign w:val="center"/>
          </w:tcPr>
          <w:p>
            <w:pPr>
              <w:tabs>
                <w:tab w:val="left" w:pos="1095"/>
                <w:tab w:val="center" w:pos="2231"/>
              </w:tabs>
              <w:spacing w:line="360" w:lineRule="auto"/>
              <w:ind w:firstLine="315" w:firstLineChars="150"/>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tabs>
                <w:tab w:val="left" w:pos="1095"/>
                <w:tab w:val="center" w:pos="2231"/>
              </w:tabs>
              <w:spacing w:line="360" w:lineRule="auto"/>
              <w:rPr>
                <w:rFonts w:ascii="Calibri" w:hAnsi="Calibri"/>
              </w:rPr>
            </w:pPr>
            <w:r>
              <w:rPr>
                <w:rFonts w:hint="eastAsia"/>
                <w:kern w:val="0"/>
              </w:rPr>
              <w:t>格式</w:t>
            </w:r>
            <w:r>
              <w:rPr>
                <w:kern w:val="0"/>
              </w:rPr>
              <w:t>YYY-MM-DD HH:MI:SS</w:t>
            </w:r>
            <w:r>
              <w:rPr>
                <w:rFonts w:hint="eastAsia"/>
              </w:rPr>
              <w:t>（</w:t>
            </w:r>
            <w:r>
              <w:t>RETURNCODE</w:t>
            </w:r>
            <w:r>
              <w:rPr>
                <w:rFonts w:hint="eastAsia"/>
              </w:rPr>
              <w:t>不为</w:t>
            </w:r>
            <w:r>
              <w:t>0000</w:t>
            </w:r>
            <w:r>
              <w:rPr>
                <w:rFonts w:hint="eastAsia"/>
              </w:rPr>
              <w:t>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8"/>
              </w:numPr>
              <w:spacing w:line="360" w:lineRule="auto"/>
              <w:jc w:val="center"/>
              <w:rPr>
                <w:rFonts w:ascii="Calibri" w:hAnsi="Calibri"/>
              </w:rPr>
            </w:pP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KPLX</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开票类型</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ind w:firstLine="315" w:firstLineChars="150"/>
              <w:rPr>
                <w:rFonts w:ascii="Calibri" w:hAnsi="Calibri"/>
              </w:rPr>
            </w:pPr>
            <w:r>
              <w:t>NUMBER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ind w:firstLine="210" w:firstLineChars="100"/>
              <w:rPr>
                <w:rFonts w:ascii="Calibri" w:hAnsi="Calibri"/>
              </w:rPr>
            </w:pPr>
            <w:r>
              <w:t>1</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ind w:firstLine="315" w:firstLineChars="150"/>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1</w:t>
            </w:r>
            <w:r>
              <w:rPr>
                <w:rFonts w:hint="eastAsia"/>
              </w:rPr>
              <w:t>正票</w:t>
            </w:r>
          </w:p>
          <w:p>
            <w:pPr>
              <w:spacing w:line="360" w:lineRule="auto"/>
            </w:pPr>
            <w:r>
              <w:t>2</w:t>
            </w:r>
            <w:r>
              <w:rPr>
                <w:rFonts w:hint="eastAsia"/>
              </w:rPr>
              <w:t>红票</w:t>
            </w:r>
          </w:p>
          <w:p>
            <w:pPr>
              <w:spacing w:line="360" w:lineRule="auto"/>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8"/>
              </w:numPr>
              <w:spacing w:line="360" w:lineRule="auto"/>
              <w:jc w:val="center"/>
              <w:rPr>
                <w:rFonts w:ascii="Calibri" w:hAnsi="Calibri"/>
              </w:rPr>
            </w:pP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HJBHSJE</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不含税金额</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DOUBLE</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ind w:firstLine="210" w:firstLineChars="100"/>
              <w:rPr>
                <w:rFonts w:ascii="Calibri" w:hAnsi="Calibri"/>
              </w:rPr>
            </w:pPr>
            <w:r>
              <w:t>20</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ind w:firstLine="315" w:firstLineChars="150"/>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8"/>
              </w:numPr>
              <w:spacing w:line="360" w:lineRule="auto"/>
              <w:jc w:val="center"/>
              <w:rPr>
                <w:rFonts w:ascii="Calibri" w:hAnsi="Calibri"/>
              </w:rPr>
            </w:pP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KPHJSE</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税额</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DOUBLE</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ind w:firstLine="210" w:firstLineChars="100"/>
              <w:rPr>
                <w:rFonts w:ascii="Calibri" w:hAnsi="Calibri"/>
              </w:rPr>
            </w:pPr>
            <w:r>
              <w:t>20</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ind w:firstLine="315" w:firstLineChars="150"/>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8"/>
              </w:numPr>
              <w:spacing w:line="360" w:lineRule="auto"/>
              <w:jc w:val="center"/>
              <w:rPr>
                <w:rFonts w:ascii="Calibri" w:hAnsi="Calibri"/>
              </w:rPr>
            </w:pP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PDF_FILE</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Base64</w:t>
            </w:r>
            <w:r>
              <w:rPr>
                <w:rFonts w:hint="eastAsia"/>
              </w:rPr>
              <w:t>（</w:t>
            </w:r>
            <w:r>
              <w:t>pdf</w:t>
            </w:r>
            <w:r>
              <w:rPr>
                <w:rFonts w:hint="eastAsia"/>
              </w:rPr>
              <w:t>文件）</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不定长</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PDF</w:t>
            </w:r>
            <w:r>
              <w:rPr>
                <w:rFonts w:hint="eastAsia"/>
              </w:rPr>
              <w:t>下载方式（</w:t>
            </w:r>
            <w:r>
              <w:t>PDF_XZFS</w:t>
            </w:r>
            <w:r>
              <w:rPr>
                <w:rFonts w:hint="eastAsia"/>
              </w:rPr>
              <w:t>字段）为</w:t>
            </w:r>
            <w:r>
              <w:t>1</w:t>
            </w:r>
            <w:r>
              <w:rPr>
                <w:rFonts w:hint="eastAsia"/>
              </w:rPr>
              <w:t>、</w:t>
            </w:r>
            <w:r>
              <w:t>3</w:t>
            </w:r>
            <w:r>
              <w:rPr>
                <w:rFonts w:hint="eastAsia"/>
              </w:rPr>
              <w:t>时必填。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8"/>
              </w:numPr>
              <w:spacing w:line="360" w:lineRule="auto"/>
              <w:jc w:val="center"/>
              <w:rPr>
                <w:rFonts w:ascii="Calibri" w:hAnsi="Calibri"/>
              </w:rPr>
            </w:pP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PDF_URL</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PDF</w:t>
            </w:r>
            <w:r>
              <w:rPr>
                <w:rFonts w:hint="eastAsia"/>
              </w:rPr>
              <w:t>下载路径</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不定长</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PDF</w:t>
            </w:r>
            <w:r>
              <w:rPr>
                <w:rFonts w:hint="eastAsia"/>
              </w:rPr>
              <w:t>下载方式（</w:t>
            </w:r>
            <w:r>
              <w:t>PDF_XZFS</w:t>
            </w:r>
            <w:r>
              <w:rPr>
                <w:rFonts w:hint="eastAsia"/>
              </w:rPr>
              <w:t>字段）为</w:t>
            </w:r>
            <w:r>
              <w:t>2</w:t>
            </w:r>
            <w:r>
              <w:rPr>
                <w:rFonts w:hint="eastAsia"/>
              </w:rPr>
              <w:t>、</w:t>
            </w:r>
            <w:r>
              <w:t>3</w:t>
            </w:r>
            <w:r>
              <w:rPr>
                <w:rFonts w:hint="eastAsia"/>
              </w:rPr>
              <w:t>时必填；</w:t>
            </w:r>
          </w:p>
          <w:p>
            <w:pPr>
              <w:spacing w:line="360" w:lineRule="auto"/>
              <w:rPr>
                <w:rFonts w:ascii="Calibri" w:hAnsi="Calibri"/>
              </w:rPr>
            </w:pPr>
            <w:r>
              <w:t>PDF</w:t>
            </w:r>
            <w:r>
              <w:rPr>
                <w:rFonts w:hint="eastAsia"/>
              </w:rPr>
              <w:t>的下载路径</w:t>
            </w:r>
            <w:r>
              <w:t>PDF_URL(</w:t>
            </w:r>
            <w:r>
              <w:rPr>
                <w:rFonts w:hint="eastAsia"/>
              </w:rPr>
              <w:t>仅供对接企业内部使用</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8"/>
              </w:numPr>
              <w:spacing w:line="360" w:lineRule="auto"/>
              <w:jc w:val="center"/>
              <w:rPr>
                <w:rFonts w:ascii="Calibri" w:hAnsi="Calibri"/>
              </w:rPr>
            </w:pP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CZDM</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操作代码</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10</w:t>
            </w:r>
            <w:r>
              <w:rPr>
                <w:rFonts w:hint="eastAsia"/>
              </w:rPr>
              <w:t>正品正常开具</w:t>
            </w:r>
          </w:p>
          <w:p>
            <w:pPr>
              <w:spacing w:line="360" w:lineRule="auto"/>
            </w:pPr>
            <w:r>
              <w:t>11</w:t>
            </w:r>
            <w:r>
              <w:rPr>
                <w:rFonts w:hint="eastAsia"/>
              </w:rPr>
              <w:t>正票错票重开</w:t>
            </w:r>
          </w:p>
          <w:p>
            <w:pPr>
              <w:spacing w:line="360" w:lineRule="auto"/>
            </w:pPr>
            <w:r>
              <w:t>20</w:t>
            </w:r>
            <w:r>
              <w:rPr>
                <w:rFonts w:hint="eastAsia"/>
              </w:rPr>
              <w:t>退货折让红票、</w:t>
            </w:r>
          </w:p>
          <w:p>
            <w:pPr>
              <w:spacing w:line="360" w:lineRule="auto"/>
            </w:pPr>
            <w:r>
              <w:t>21</w:t>
            </w:r>
            <w:r>
              <w:rPr>
                <w:rFonts w:hint="eastAsia"/>
              </w:rPr>
              <w:t>错票重开红票、</w:t>
            </w:r>
          </w:p>
          <w:p>
            <w:pPr>
              <w:spacing w:line="360" w:lineRule="auto"/>
              <w:rPr>
                <w:rFonts w:ascii="Calibri" w:hAnsi="Calibri"/>
              </w:rPr>
            </w:pPr>
            <w:r>
              <w:t>22</w:t>
            </w:r>
            <w:r>
              <w:rPr>
                <w:rFonts w:hint="eastAsia"/>
              </w:rPr>
              <w:t>换票冲红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8"/>
              </w:numPr>
              <w:spacing w:line="360" w:lineRule="auto"/>
              <w:jc w:val="center"/>
              <w:rPr>
                <w:rFonts w:ascii="Calibri" w:hAnsi="Calibri"/>
              </w:rPr>
            </w:pP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RETURNCODE</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结果代码</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4</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0000</w:t>
            </w:r>
            <w:r>
              <w:rPr>
                <w:rFonts w:hint="eastAsia"/>
              </w:rPr>
              <w:t>：下发成功</w:t>
            </w:r>
          </w:p>
          <w:p>
            <w:pPr>
              <w:spacing w:line="360" w:lineRule="auto"/>
              <w:rPr>
                <w:rFonts w:ascii="Calibri" w:hAnsi="Calibri"/>
              </w:rPr>
            </w:pPr>
            <w:r>
              <w:t>9999</w:t>
            </w:r>
            <w:r>
              <w:rPr>
                <w:rFonts w:hint="eastAsia"/>
              </w:rPr>
              <w:t>：下发失败</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8"/>
              </w:numPr>
              <w:spacing w:line="360" w:lineRule="auto"/>
              <w:jc w:val="center"/>
              <w:rPr>
                <w:rFonts w:ascii="Calibri" w:hAnsi="Calibri"/>
              </w:rPr>
            </w:pP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RETURNMESSAGE</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结果描述</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128</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错误原因</w:t>
            </w:r>
          </w:p>
        </w:tc>
      </w:tr>
    </w:tbl>
    <w:p>
      <w:pPr>
        <w:spacing w:line="360" w:lineRule="auto"/>
        <w:rPr>
          <w:rFonts w:ascii="Calibri" w:hAnsi="Calibri"/>
          <w:color w:val="FF0000"/>
        </w:rPr>
      </w:pPr>
    </w:p>
    <w:p>
      <w:pPr>
        <w:pStyle w:val="5"/>
        <w:numPr>
          <w:ilvl w:val="3"/>
          <w:numId w:val="0"/>
        </w:numPr>
        <w:spacing w:before="0" w:after="0" w:line="360" w:lineRule="auto"/>
      </w:pPr>
      <w:bookmarkStart w:id="134" w:name="_Toc11822"/>
      <w:bookmarkStart w:id="135" w:name="_Toc442308303"/>
      <w:bookmarkStart w:id="136" w:name="_Toc21642"/>
      <w:bookmarkStart w:id="137" w:name="_Toc25922"/>
      <w:bookmarkStart w:id="138" w:name="_Toc434485325"/>
      <w:bookmarkStart w:id="139" w:name="_Toc18305"/>
      <w:bookmarkStart w:id="140" w:name="_Toc16539"/>
      <w:bookmarkStart w:id="141" w:name="_Toc18756"/>
      <w:r>
        <w:rPr>
          <w:rFonts w:hint="eastAsia"/>
        </w:rPr>
        <w:t>3.2.3.3发票信息推送接口</w:t>
      </w:r>
      <w:bookmarkEnd w:id="134"/>
      <w:bookmarkEnd w:id="135"/>
      <w:bookmarkEnd w:id="136"/>
      <w:bookmarkEnd w:id="137"/>
      <w:bookmarkEnd w:id="138"/>
      <w:bookmarkEnd w:id="139"/>
      <w:bookmarkEnd w:id="140"/>
      <w:bookmarkEnd w:id="141"/>
    </w:p>
    <w:p>
      <w:pPr>
        <w:numPr>
          <w:ilvl w:val="0"/>
          <w:numId w:val="6"/>
        </w:numPr>
        <w:spacing w:line="360" w:lineRule="auto"/>
        <w:rPr>
          <w:b/>
        </w:rPr>
      </w:pPr>
      <w:r>
        <w:rPr>
          <w:rFonts w:hint="eastAsia"/>
          <w:b/>
        </w:rPr>
        <w:t>接口说明：生成完成的发票信息传递给业务系统</w:t>
      </w:r>
    </w:p>
    <w:p>
      <w:pPr>
        <w:numPr>
          <w:ilvl w:val="0"/>
          <w:numId w:val="6"/>
        </w:numPr>
        <w:spacing w:line="360" w:lineRule="auto"/>
        <w:rPr>
          <w:b/>
        </w:rPr>
      </w:pPr>
      <w:r>
        <w:rPr>
          <w:rFonts w:hint="eastAsia"/>
          <w:b/>
        </w:rPr>
        <w:t>调用方式：</w:t>
      </w:r>
      <w:r>
        <w:rPr>
          <w:bCs/>
        </w:rPr>
        <w:t>WEB SERVICE</w:t>
      </w:r>
      <w:r>
        <w:rPr>
          <w:rFonts w:hint="eastAsia"/>
          <w:b/>
        </w:rPr>
        <w:t>方式</w:t>
      </w:r>
    </w:p>
    <w:p>
      <w:pPr>
        <w:numPr>
          <w:ilvl w:val="0"/>
          <w:numId w:val="6"/>
        </w:numPr>
        <w:spacing w:line="360" w:lineRule="auto"/>
        <w:rPr>
          <w:b/>
        </w:rPr>
      </w:pPr>
      <w:r>
        <w:rPr>
          <w:rFonts w:hint="eastAsia"/>
          <w:b/>
        </w:rPr>
        <w:t>接口编码：</w:t>
      </w:r>
      <w:r>
        <w:t>ECXML.FPKJJG.TS.E_INV</w:t>
      </w:r>
    </w:p>
    <w:p>
      <w:pPr>
        <w:spacing w:line="360" w:lineRule="auto"/>
        <w:ind w:left="420"/>
        <w:rPr>
          <w:b/>
        </w:rPr>
      </w:pPr>
    </w:p>
    <w:p>
      <w:pPr>
        <w:autoSpaceDE w:val="0"/>
        <w:autoSpaceDN w:val="0"/>
        <w:adjustRightInd w:val="0"/>
        <w:spacing w:line="360" w:lineRule="auto"/>
        <w:ind w:left="210" w:leftChars="100"/>
        <w:rPr>
          <w:rFonts w:ascii="宋体" w:hAnsi="宋体" w:cs="新宋体"/>
          <w:color w:val="0000FF"/>
          <w:kern w:val="0"/>
          <w:sz w:val="18"/>
          <w:szCs w:val="18"/>
        </w:rPr>
      </w:pPr>
      <w:r>
        <w:rPr>
          <w:rFonts w:hint="eastAsia" w:ascii="宋体" w:hAnsi="宋体" w:cs="新宋体"/>
          <w:color w:val="0000FF"/>
          <w:kern w:val="0"/>
          <w:sz w:val="18"/>
          <w:szCs w:val="18"/>
        </w:rPr>
        <w:t>请求报文示例与数据项说明</w:t>
      </w:r>
    </w:p>
    <w:p>
      <w:pPr>
        <w:numPr>
          <w:ilvl w:val="0"/>
          <w:numId w:val="6"/>
        </w:numPr>
        <w:spacing w:line="360" w:lineRule="auto"/>
        <w:rPr>
          <w:b/>
        </w:rPr>
      </w:pPr>
      <w:r>
        <w:rPr>
          <w:rFonts w:hint="eastAsia"/>
          <w:b/>
        </w:rPr>
        <w:t>【</w:t>
      </w:r>
      <w:r>
        <w:rPr>
          <w:b/>
        </w:rPr>
        <w:t>Content</w:t>
      </w:r>
      <w:r>
        <w:rPr>
          <w:rFonts w:hint="eastAsia"/>
          <w:b/>
        </w:rPr>
        <w:t>中】请求报文示例：</w:t>
      </w:r>
    </w:p>
    <w:p>
      <w:pPr>
        <w:autoSpaceDE w:val="0"/>
        <w:autoSpaceDN w:val="0"/>
        <w:adjustRightInd w:val="0"/>
        <w:spacing w:line="360" w:lineRule="auto"/>
        <w:ind w:left="210" w:leftChars="100"/>
        <w:rPr>
          <w:rFonts w:ascii="宋体" w:hAnsi="宋体" w:cs="新宋体"/>
          <w:color w:val="0000FF"/>
          <w:kern w:val="0"/>
          <w:sz w:val="18"/>
          <w:szCs w:val="18"/>
        </w:rPr>
      </w:pPr>
    </w:p>
    <w:p>
      <w:pPr>
        <w:autoSpaceDE w:val="0"/>
        <w:autoSpaceDN w:val="0"/>
        <w:adjustRightInd w:val="0"/>
        <w:spacing w:line="360" w:lineRule="auto"/>
        <w:ind w:left="420" w:leftChars="200"/>
        <w:rPr>
          <w:rFonts w:ascii="宋体" w:hAnsi="宋体" w:cs="新宋体"/>
          <w:color w:val="0000FF"/>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REQUEST_FPKJXX_FPJGXX_NEW</w:t>
      </w:r>
      <w:r>
        <w:t xml:space="preserve"> </w:t>
      </w:r>
      <w:r>
        <w:rPr>
          <w:rFonts w:hint="eastAsia" w:ascii="宋体" w:hAnsi="宋体" w:cs="新宋体"/>
          <w:color w:val="FF0000"/>
          <w:kern w:val="0"/>
          <w:sz w:val="18"/>
          <w:szCs w:val="18"/>
        </w:rPr>
        <w:t>class</w:t>
      </w:r>
      <w:r>
        <w:rPr>
          <w:rFonts w:hint="eastAsia" w:ascii="宋体" w:hAnsi="宋体" w:cs="新宋体"/>
          <w:color w:val="0000FF"/>
          <w:kern w:val="0"/>
          <w:sz w:val="18"/>
          <w:szCs w:val="18"/>
        </w:rPr>
        <w:t>=</w:t>
      </w:r>
      <w:r>
        <w:rPr>
          <w:rFonts w:hint="eastAsia" w:ascii="宋体" w:hAnsi="宋体" w:cs="新宋体"/>
          <w:kern w:val="0"/>
          <w:sz w:val="18"/>
          <w:szCs w:val="18"/>
        </w:rPr>
        <w:t>"</w:t>
      </w:r>
      <w:r>
        <w:rPr>
          <w:rFonts w:hint="eastAsia" w:ascii="宋体" w:hAnsi="宋体" w:cs="新宋体"/>
          <w:color w:val="0000FF"/>
          <w:kern w:val="0"/>
          <w:sz w:val="18"/>
          <w:szCs w:val="18"/>
        </w:rPr>
        <w:t>REQUEST_FPKJXX_FPJGXX_NEW</w:t>
      </w:r>
      <w:r>
        <w:rPr>
          <w:rFonts w:hint="eastAsia" w:ascii="宋体" w:hAnsi="宋体" w:cs="新宋体"/>
          <w:kern w:val="0"/>
          <w:sz w:val="18"/>
          <w:szCs w:val="18"/>
        </w:rPr>
        <w:t>"&gt;</w:t>
      </w:r>
    </w:p>
    <w:p>
      <w:pPr>
        <w:autoSpaceDE w:val="0"/>
        <w:autoSpaceDN w:val="0"/>
        <w:adjustRightInd w:val="0"/>
        <w:spacing w:line="360" w:lineRule="auto"/>
        <w:ind w:left="420" w:leftChars="200" w:firstLine="42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FPQQLSH</w:t>
      </w:r>
      <w:r>
        <w:rPr>
          <w:rFonts w:hint="eastAsia" w:ascii="宋体" w:hAnsi="宋体" w:cs="新宋体"/>
          <w:color w:val="0000FF"/>
          <w:kern w:val="0"/>
          <w:sz w:val="18"/>
          <w:szCs w:val="18"/>
        </w:rPr>
        <w:t>&gt;</w:t>
      </w:r>
      <w:r>
        <w:rPr>
          <w:rFonts w:hint="eastAsia" w:ascii="宋体" w:hAnsi="宋体" w:cs="新宋体"/>
          <w:kern w:val="0"/>
          <w:sz w:val="18"/>
          <w:szCs w:val="18"/>
        </w:rPr>
        <w:t>发票请求唯一流水号</w:t>
      </w:r>
      <w:r>
        <w:rPr>
          <w:rFonts w:hint="eastAsia" w:ascii="宋体" w:hAnsi="宋体" w:cs="新宋体"/>
          <w:color w:val="0000FF"/>
          <w:kern w:val="0"/>
          <w:sz w:val="18"/>
          <w:szCs w:val="18"/>
        </w:rPr>
        <w:t>&lt;/</w:t>
      </w:r>
      <w:r>
        <w:rPr>
          <w:rFonts w:hint="eastAsia" w:ascii="宋体" w:hAnsi="宋体" w:cs="新宋体"/>
          <w:color w:val="A31515"/>
          <w:kern w:val="0"/>
          <w:sz w:val="18"/>
          <w:szCs w:val="18"/>
        </w:rPr>
        <w:t>FPQQLSH</w:t>
      </w:r>
      <w:r>
        <w:rPr>
          <w:rFonts w:hint="eastAsia" w:ascii="宋体" w:hAnsi="宋体" w:cs="新宋体"/>
          <w:color w:val="0000FF"/>
          <w:kern w:val="0"/>
          <w:sz w:val="18"/>
          <w:szCs w:val="18"/>
        </w:rPr>
        <w:t>&gt;</w:t>
      </w:r>
    </w:p>
    <w:p>
      <w:pPr>
        <w:autoSpaceDE w:val="0"/>
        <w:autoSpaceDN w:val="0"/>
        <w:adjustRightInd w:val="0"/>
        <w:spacing w:line="360" w:lineRule="auto"/>
        <w:ind w:left="420" w:leftChars="200" w:firstLine="42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DDH</w:t>
      </w:r>
      <w:r>
        <w:rPr>
          <w:rFonts w:hint="eastAsia" w:ascii="宋体" w:hAnsi="宋体" w:cs="新宋体"/>
          <w:color w:val="0000FF"/>
          <w:kern w:val="0"/>
          <w:sz w:val="18"/>
          <w:szCs w:val="18"/>
        </w:rPr>
        <w:t>&gt;</w:t>
      </w:r>
      <w:r>
        <w:rPr>
          <w:rFonts w:hint="eastAsia" w:ascii="宋体" w:hAnsi="宋体" w:cs="新宋体"/>
          <w:kern w:val="0"/>
          <w:sz w:val="18"/>
          <w:szCs w:val="18"/>
        </w:rPr>
        <w:t>订单号</w:t>
      </w:r>
      <w:r>
        <w:rPr>
          <w:rFonts w:hint="eastAsia" w:ascii="宋体" w:hAnsi="宋体" w:cs="新宋体"/>
          <w:color w:val="0000FF"/>
          <w:kern w:val="0"/>
          <w:sz w:val="18"/>
          <w:szCs w:val="18"/>
        </w:rPr>
        <w:t>&lt;/</w:t>
      </w:r>
      <w:r>
        <w:rPr>
          <w:rFonts w:hint="eastAsia" w:ascii="宋体" w:hAnsi="宋体" w:cs="新宋体"/>
          <w:color w:val="A31515"/>
          <w:kern w:val="0"/>
          <w:sz w:val="18"/>
          <w:szCs w:val="18"/>
        </w:rPr>
        <w:t>DDH</w:t>
      </w:r>
      <w:r>
        <w:rPr>
          <w:rFonts w:hint="eastAsia" w:ascii="宋体" w:hAnsi="宋体" w:cs="新宋体"/>
          <w:color w:val="0000FF"/>
          <w:kern w:val="0"/>
          <w:sz w:val="18"/>
          <w:szCs w:val="18"/>
        </w:rPr>
        <w:t>&gt;</w:t>
      </w:r>
    </w:p>
    <w:p>
      <w:pPr>
        <w:autoSpaceDE w:val="0"/>
        <w:autoSpaceDN w:val="0"/>
        <w:adjustRightInd w:val="0"/>
        <w:spacing w:line="360" w:lineRule="auto"/>
        <w:ind w:left="420" w:leftChars="200" w:firstLine="42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KPLSH</w:t>
      </w:r>
      <w:r>
        <w:rPr>
          <w:rFonts w:hint="eastAsia" w:ascii="宋体" w:hAnsi="宋体" w:cs="新宋体"/>
          <w:color w:val="0000FF"/>
          <w:kern w:val="0"/>
          <w:sz w:val="18"/>
          <w:szCs w:val="18"/>
        </w:rPr>
        <w:t>&gt;</w:t>
      </w:r>
      <w:r>
        <w:rPr>
          <w:rFonts w:hint="eastAsia" w:ascii="宋体" w:hAnsi="宋体" w:cs="新宋体"/>
          <w:kern w:val="0"/>
          <w:sz w:val="18"/>
          <w:szCs w:val="18"/>
        </w:rPr>
        <w:t>开票流水号</w:t>
      </w:r>
      <w:r>
        <w:rPr>
          <w:rFonts w:hint="eastAsia" w:ascii="宋体" w:hAnsi="宋体" w:cs="新宋体"/>
          <w:color w:val="0000FF"/>
          <w:kern w:val="0"/>
          <w:sz w:val="18"/>
          <w:szCs w:val="18"/>
        </w:rPr>
        <w:t>&lt;/</w:t>
      </w:r>
      <w:r>
        <w:rPr>
          <w:rFonts w:hint="eastAsia" w:ascii="宋体" w:hAnsi="宋体" w:cs="新宋体"/>
          <w:color w:val="A31515"/>
          <w:kern w:val="0"/>
          <w:sz w:val="18"/>
          <w:szCs w:val="18"/>
        </w:rPr>
        <w:t>KPLSH</w:t>
      </w:r>
      <w:r>
        <w:rPr>
          <w:rFonts w:hint="eastAsia" w:ascii="宋体" w:hAnsi="宋体" w:cs="新宋体"/>
          <w:color w:val="0000FF"/>
          <w:kern w:val="0"/>
          <w:sz w:val="18"/>
          <w:szCs w:val="18"/>
        </w:rPr>
        <w:t>&gt;</w:t>
      </w:r>
    </w:p>
    <w:p>
      <w:pPr>
        <w:autoSpaceDE w:val="0"/>
        <w:autoSpaceDN w:val="0"/>
        <w:adjustRightInd w:val="0"/>
        <w:spacing w:line="360" w:lineRule="auto"/>
        <w:ind w:left="420" w:leftChars="200" w:firstLine="42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FWM</w:t>
      </w:r>
      <w:r>
        <w:rPr>
          <w:rFonts w:hint="eastAsia" w:ascii="宋体" w:hAnsi="宋体" w:cs="新宋体"/>
          <w:color w:val="0000FF"/>
          <w:kern w:val="0"/>
          <w:sz w:val="18"/>
          <w:szCs w:val="18"/>
        </w:rPr>
        <w:t>&gt;</w:t>
      </w:r>
      <w:r>
        <w:rPr>
          <w:rFonts w:hint="eastAsia" w:ascii="宋体" w:hAnsi="宋体" w:cs="新宋体"/>
          <w:kern w:val="0"/>
          <w:sz w:val="18"/>
          <w:szCs w:val="18"/>
        </w:rPr>
        <w:t>防伪码</w:t>
      </w:r>
      <w:r>
        <w:rPr>
          <w:rFonts w:hint="eastAsia" w:ascii="宋体" w:hAnsi="宋体" w:cs="新宋体"/>
          <w:color w:val="0000FF"/>
          <w:kern w:val="0"/>
          <w:sz w:val="18"/>
          <w:szCs w:val="18"/>
        </w:rPr>
        <w:t>&lt;/</w:t>
      </w:r>
      <w:r>
        <w:rPr>
          <w:rFonts w:hint="eastAsia" w:ascii="宋体" w:hAnsi="宋体" w:cs="新宋体"/>
          <w:color w:val="A31515"/>
          <w:kern w:val="0"/>
          <w:sz w:val="18"/>
          <w:szCs w:val="18"/>
        </w:rPr>
        <w:t>FWM</w:t>
      </w:r>
      <w:r>
        <w:rPr>
          <w:rFonts w:hint="eastAsia" w:ascii="宋体" w:hAnsi="宋体" w:cs="新宋体"/>
          <w:color w:val="0000FF"/>
          <w:kern w:val="0"/>
          <w:sz w:val="18"/>
          <w:szCs w:val="18"/>
        </w:rPr>
        <w:t>&gt;</w:t>
      </w:r>
    </w:p>
    <w:p>
      <w:pPr>
        <w:autoSpaceDE w:val="0"/>
        <w:autoSpaceDN w:val="0"/>
        <w:adjustRightInd w:val="0"/>
        <w:spacing w:line="360" w:lineRule="auto"/>
        <w:ind w:left="420" w:leftChars="200" w:firstLine="42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EWM</w:t>
      </w:r>
      <w:r>
        <w:rPr>
          <w:rFonts w:hint="eastAsia" w:ascii="宋体" w:hAnsi="宋体" w:cs="新宋体"/>
          <w:color w:val="0000FF"/>
          <w:kern w:val="0"/>
          <w:sz w:val="18"/>
          <w:szCs w:val="18"/>
        </w:rPr>
        <w:t>&gt;</w:t>
      </w:r>
      <w:r>
        <w:rPr>
          <w:rFonts w:hint="eastAsia" w:ascii="宋体" w:hAnsi="宋体" w:cs="新宋体"/>
          <w:kern w:val="0"/>
          <w:sz w:val="18"/>
          <w:szCs w:val="18"/>
        </w:rPr>
        <w:t>二维码</w:t>
      </w:r>
      <w:r>
        <w:rPr>
          <w:rFonts w:hint="eastAsia" w:ascii="宋体" w:hAnsi="宋体" w:cs="新宋体"/>
          <w:color w:val="0000FF"/>
          <w:kern w:val="0"/>
          <w:sz w:val="18"/>
          <w:szCs w:val="18"/>
        </w:rPr>
        <w:t>&lt;/</w:t>
      </w:r>
      <w:r>
        <w:rPr>
          <w:rFonts w:hint="eastAsia" w:ascii="宋体" w:hAnsi="宋体" w:cs="新宋体"/>
          <w:color w:val="A31515"/>
          <w:kern w:val="0"/>
          <w:sz w:val="18"/>
          <w:szCs w:val="18"/>
        </w:rPr>
        <w:t>EWM</w:t>
      </w:r>
      <w:r>
        <w:rPr>
          <w:rFonts w:hint="eastAsia" w:ascii="宋体" w:hAnsi="宋体" w:cs="新宋体"/>
          <w:color w:val="0000FF"/>
          <w:kern w:val="0"/>
          <w:sz w:val="18"/>
          <w:szCs w:val="18"/>
        </w:rPr>
        <w:t>&gt;</w:t>
      </w:r>
    </w:p>
    <w:p>
      <w:pPr>
        <w:autoSpaceDE w:val="0"/>
        <w:autoSpaceDN w:val="0"/>
        <w:adjustRightInd w:val="0"/>
        <w:spacing w:line="360" w:lineRule="auto"/>
        <w:ind w:left="420" w:leftChars="200" w:firstLine="42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FPZL_DM</w:t>
      </w:r>
      <w:r>
        <w:rPr>
          <w:rFonts w:hint="eastAsia" w:ascii="宋体" w:hAnsi="宋体" w:cs="新宋体"/>
          <w:color w:val="0000FF"/>
          <w:kern w:val="0"/>
          <w:sz w:val="18"/>
          <w:szCs w:val="18"/>
        </w:rPr>
        <w:t>&gt;</w:t>
      </w:r>
      <w:r>
        <w:rPr>
          <w:rFonts w:hint="eastAsia" w:ascii="宋体" w:hAnsi="宋体" w:cs="新宋体"/>
          <w:kern w:val="0"/>
          <w:sz w:val="18"/>
          <w:szCs w:val="18"/>
        </w:rPr>
        <w:t>发票种类代码</w:t>
      </w:r>
      <w:r>
        <w:rPr>
          <w:rFonts w:hint="eastAsia" w:ascii="宋体" w:hAnsi="宋体" w:cs="新宋体"/>
          <w:color w:val="0000FF"/>
          <w:kern w:val="0"/>
          <w:sz w:val="18"/>
          <w:szCs w:val="18"/>
        </w:rPr>
        <w:t>&lt;/</w:t>
      </w:r>
      <w:r>
        <w:rPr>
          <w:rFonts w:hint="eastAsia" w:ascii="宋体" w:hAnsi="宋体" w:cs="新宋体"/>
          <w:color w:val="A31515"/>
          <w:kern w:val="0"/>
          <w:sz w:val="18"/>
          <w:szCs w:val="18"/>
        </w:rPr>
        <w:t>FPZL_DM</w:t>
      </w:r>
      <w:r>
        <w:rPr>
          <w:rFonts w:hint="eastAsia" w:ascii="宋体" w:hAnsi="宋体" w:cs="新宋体"/>
          <w:color w:val="0000FF"/>
          <w:kern w:val="0"/>
          <w:sz w:val="18"/>
          <w:szCs w:val="18"/>
        </w:rPr>
        <w:t>&gt;</w:t>
      </w:r>
    </w:p>
    <w:p>
      <w:pPr>
        <w:autoSpaceDE w:val="0"/>
        <w:autoSpaceDN w:val="0"/>
        <w:adjustRightInd w:val="0"/>
        <w:spacing w:line="360" w:lineRule="auto"/>
        <w:ind w:left="420" w:leftChars="200" w:firstLine="42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FP_DM</w:t>
      </w:r>
      <w:r>
        <w:rPr>
          <w:rFonts w:hint="eastAsia" w:ascii="宋体" w:hAnsi="宋体" w:cs="新宋体"/>
          <w:color w:val="0000FF"/>
          <w:kern w:val="0"/>
          <w:sz w:val="18"/>
          <w:szCs w:val="18"/>
        </w:rPr>
        <w:t>&gt;</w:t>
      </w:r>
      <w:r>
        <w:rPr>
          <w:rFonts w:hint="eastAsia" w:ascii="宋体" w:hAnsi="宋体" w:cs="新宋体"/>
          <w:kern w:val="0"/>
          <w:sz w:val="18"/>
          <w:szCs w:val="18"/>
        </w:rPr>
        <w:t>发票代码</w:t>
      </w:r>
      <w:r>
        <w:rPr>
          <w:rFonts w:hint="eastAsia" w:ascii="宋体" w:hAnsi="宋体" w:cs="新宋体"/>
          <w:color w:val="0000FF"/>
          <w:kern w:val="0"/>
          <w:sz w:val="18"/>
          <w:szCs w:val="18"/>
        </w:rPr>
        <w:t>&lt;/</w:t>
      </w:r>
      <w:r>
        <w:rPr>
          <w:rFonts w:hint="eastAsia" w:ascii="宋体" w:hAnsi="宋体" w:cs="新宋体"/>
          <w:color w:val="A31515"/>
          <w:kern w:val="0"/>
          <w:sz w:val="18"/>
          <w:szCs w:val="18"/>
        </w:rPr>
        <w:t>FP_DM</w:t>
      </w:r>
      <w:r>
        <w:rPr>
          <w:rFonts w:hint="eastAsia" w:ascii="宋体" w:hAnsi="宋体" w:cs="新宋体"/>
          <w:color w:val="0000FF"/>
          <w:kern w:val="0"/>
          <w:sz w:val="18"/>
          <w:szCs w:val="18"/>
        </w:rPr>
        <w:t>&gt;</w:t>
      </w:r>
    </w:p>
    <w:p>
      <w:pPr>
        <w:autoSpaceDE w:val="0"/>
        <w:autoSpaceDN w:val="0"/>
        <w:adjustRightInd w:val="0"/>
        <w:spacing w:line="360" w:lineRule="auto"/>
        <w:ind w:left="420" w:leftChars="200" w:firstLine="42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FP_HM</w:t>
      </w:r>
      <w:r>
        <w:rPr>
          <w:rFonts w:hint="eastAsia" w:ascii="宋体" w:hAnsi="宋体" w:cs="新宋体"/>
          <w:color w:val="0000FF"/>
          <w:kern w:val="0"/>
          <w:sz w:val="18"/>
          <w:szCs w:val="18"/>
        </w:rPr>
        <w:t>&gt;</w:t>
      </w:r>
      <w:r>
        <w:rPr>
          <w:rFonts w:hint="eastAsia" w:ascii="宋体" w:hAnsi="宋体" w:cs="新宋体"/>
          <w:kern w:val="0"/>
          <w:sz w:val="18"/>
          <w:szCs w:val="18"/>
        </w:rPr>
        <w:t>发票号码</w:t>
      </w:r>
      <w:r>
        <w:rPr>
          <w:rFonts w:hint="eastAsia" w:ascii="宋体" w:hAnsi="宋体" w:cs="新宋体"/>
          <w:color w:val="0000FF"/>
          <w:kern w:val="0"/>
          <w:sz w:val="18"/>
          <w:szCs w:val="18"/>
        </w:rPr>
        <w:t>&lt;/</w:t>
      </w:r>
      <w:r>
        <w:rPr>
          <w:rFonts w:hint="eastAsia" w:ascii="宋体" w:hAnsi="宋体" w:cs="新宋体"/>
          <w:color w:val="A31515"/>
          <w:kern w:val="0"/>
          <w:sz w:val="18"/>
          <w:szCs w:val="18"/>
        </w:rPr>
        <w:t>FP_HM</w:t>
      </w:r>
      <w:r>
        <w:rPr>
          <w:rFonts w:hint="eastAsia" w:ascii="宋体" w:hAnsi="宋体" w:cs="新宋体"/>
          <w:color w:val="0000FF"/>
          <w:kern w:val="0"/>
          <w:sz w:val="18"/>
          <w:szCs w:val="18"/>
        </w:rPr>
        <w:t>&gt;</w:t>
      </w:r>
    </w:p>
    <w:p>
      <w:pPr>
        <w:autoSpaceDE w:val="0"/>
        <w:autoSpaceDN w:val="0"/>
        <w:adjustRightInd w:val="0"/>
        <w:spacing w:line="360" w:lineRule="auto"/>
        <w:ind w:left="420" w:leftChars="200" w:firstLine="42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KPRQ</w:t>
      </w:r>
      <w:r>
        <w:rPr>
          <w:rFonts w:hint="eastAsia" w:ascii="宋体" w:hAnsi="宋体" w:cs="新宋体"/>
          <w:color w:val="0000FF"/>
          <w:kern w:val="0"/>
          <w:sz w:val="18"/>
          <w:szCs w:val="18"/>
        </w:rPr>
        <w:t>&gt;</w:t>
      </w:r>
      <w:r>
        <w:rPr>
          <w:rFonts w:hint="eastAsia" w:ascii="宋体" w:hAnsi="宋体" w:cs="新宋体"/>
          <w:kern w:val="0"/>
          <w:sz w:val="18"/>
          <w:szCs w:val="18"/>
        </w:rPr>
        <w:t>开票日期</w:t>
      </w:r>
      <w:r>
        <w:rPr>
          <w:rFonts w:hint="eastAsia" w:ascii="宋体" w:hAnsi="宋体" w:cs="新宋体"/>
          <w:color w:val="0000FF"/>
          <w:kern w:val="0"/>
          <w:sz w:val="18"/>
          <w:szCs w:val="18"/>
        </w:rPr>
        <w:t>&lt;/</w:t>
      </w:r>
      <w:r>
        <w:rPr>
          <w:rFonts w:hint="eastAsia" w:ascii="宋体" w:hAnsi="宋体" w:cs="新宋体"/>
          <w:color w:val="A31515"/>
          <w:kern w:val="0"/>
          <w:sz w:val="18"/>
          <w:szCs w:val="18"/>
        </w:rPr>
        <w:t>KPRQ</w:t>
      </w:r>
      <w:r>
        <w:rPr>
          <w:rFonts w:hint="eastAsia" w:ascii="宋体" w:hAnsi="宋体" w:cs="新宋体"/>
          <w:color w:val="0000FF"/>
          <w:kern w:val="0"/>
          <w:sz w:val="18"/>
          <w:szCs w:val="18"/>
        </w:rPr>
        <w:t>&gt;</w:t>
      </w:r>
    </w:p>
    <w:p>
      <w:pPr>
        <w:autoSpaceDE w:val="0"/>
        <w:autoSpaceDN w:val="0"/>
        <w:adjustRightInd w:val="0"/>
        <w:spacing w:line="360" w:lineRule="auto"/>
        <w:ind w:left="420" w:leftChars="200" w:firstLine="420"/>
        <w:rPr>
          <w:rFonts w:ascii="宋体" w:hAnsi="宋体" w:cs="新宋体"/>
          <w:color w:val="0000FF"/>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KPLX</w:t>
      </w:r>
      <w:r>
        <w:rPr>
          <w:rFonts w:hint="eastAsia" w:ascii="宋体" w:hAnsi="宋体" w:cs="新宋体"/>
          <w:color w:val="0000FF"/>
          <w:kern w:val="0"/>
          <w:sz w:val="18"/>
          <w:szCs w:val="18"/>
        </w:rPr>
        <w:t>&gt;</w:t>
      </w:r>
      <w:r>
        <w:rPr>
          <w:rFonts w:hint="eastAsia" w:ascii="宋体" w:hAnsi="宋体" w:cs="新宋体"/>
          <w:kern w:val="0"/>
          <w:sz w:val="18"/>
          <w:szCs w:val="18"/>
        </w:rPr>
        <w:t>开票类型</w:t>
      </w:r>
      <w:r>
        <w:rPr>
          <w:rFonts w:hint="eastAsia" w:ascii="宋体" w:hAnsi="宋体" w:cs="新宋体"/>
          <w:color w:val="0000FF"/>
          <w:kern w:val="0"/>
          <w:sz w:val="18"/>
          <w:szCs w:val="18"/>
        </w:rPr>
        <w:t>&lt;/</w:t>
      </w:r>
      <w:r>
        <w:rPr>
          <w:rFonts w:hint="eastAsia" w:ascii="宋体" w:hAnsi="宋体" w:cs="新宋体"/>
          <w:color w:val="A31515"/>
          <w:kern w:val="0"/>
          <w:sz w:val="18"/>
          <w:szCs w:val="18"/>
        </w:rPr>
        <w:t>KPLX</w:t>
      </w:r>
      <w:r>
        <w:rPr>
          <w:rFonts w:hint="eastAsia" w:ascii="宋体" w:hAnsi="宋体" w:cs="新宋体"/>
          <w:color w:val="0000FF"/>
          <w:kern w:val="0"/>
          <w:sz w:val="18"/>
          <w:szCs w:val="18"/>
        </w:rPr>
        <w:t>&gt;</w:t>
      </w:r>
    </w:p>
    <w:p>
      <w:pPr>
        <w:autoSpaceDE w:val="0"/>
        <w:autoSpaceDN w:val="0"/>
        <w:adjustRightInd w:val="0"/>
        <w:spacing w:line="360" w:lineRule="auto"/>
        <w:ind w:left="420" w:leftChars="200" w:firstLine="420"/>
        <w:rPr>
          <w:rFonts w:ascii="宋体" w:hAnsi="宋体" w:cs="新宋体"/>
          <w:color w:val="0000FF"/>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HJBHSJE</w:t>
      </w:r>
      <w:r>
        <w:rPr>
          <w:rFonts w:hint="eastAsia" w:ascii="宋体" w:hAnsi="宋体" w:cs="新宋体"/>
          <w:color w:val="0000FF"/>
          <w:kern w:val="0"/>
          <w:sz w:val="18"/>
          <w:szCs w:val="18"/>
        </w:rPr>
        <w:t>&gt;</w:t>
      </w:r>
      <w:r>
        <w:rPr>
          <w:rFonts w:hint="eastAsia" w:ascii="宋体" w:hAnsi="宋体" w:cs="新宋体"/>
          <w:kern w:val="0"/>
          <w:sz w:val="18"/>
          <w:szCs w:val="18"/>
        </w:rPr>
        <w:t>不含税金额</w:t>
      </w:r>
      <w:r>
        <w:rPr>
          <w:rFonts w:hint="eastAsia" w:ascii="宋体" w:hAnsi="宋体" w:cs="新宋体"/>
          <w:color w:val="0000FF"/>
          <w:kern w:val="0"/>
          <w:sz w:val="18"/>
          <w:szCs w:val="18"/>
        </w:rPr>
        <w:t>&lt;/</w:t>
      </w:r>
      <w:r>
        <w:rPr>
          <w:rFonts w:hint="eastAsia" w:ascii="宋体" w:hAnsi="宋体" w:cs="新宋体"/>
          <w:color w:val="A31515"/>
          <w:kern w:val="0"/>
          <w:sz w:val="18"/>
          <w:szCs w:val="18"/>
        </w:rPr>
        <w:t>HJBHSJE</w:t>
      </w:r>
      <w:r>
        <w:rPr>
          <w:rFonts w:hint="eastAsia" w:ascii="宋体" w:hAnsi="宋体" w:cs="新宋体"/>
          <w:color w:val="0000FF"/>
          <w:kern w:val="0"/>
          <w:sz w:val="18"/>
          <w:szCs w:val="18"/>
        </w:rPr>
        <w:t>&gt;</w:t>
      </w:r>
    </w:p>
    <w:p>
      <w:pPr>
        <w:autoSpaceDE w:val="0"/>
        <w:autoSpaceDN w:val="0"/>
        <w:adjustRightInd w:val="0"/>
        <w:spacing w:line="360" w:lineRule="auto"/>
        <w:ind w:left="420" w:leftChars="200" w:firstLine="420"/>
        <w:rPr>
          <w:rFonts w:ascii="宋体" w:hAnsi="宋体" w:cs="新宋体"/>
          <w:color w:val="0000FF"/>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KPHJSE</w:t>
      </w:r>
      <w:r>
        <w:rPr>
          <w:rFonts w:hint="eastAsia" w:ascii="宋体" w:hAnsi="宋体" w:cs="新宋体"/>
          <w:color w:val="0000FF"/>
          <w:kern w:val="0"/>
          <w:sz w:val="18"/>
          <w:szCs w:val="18"/>
        </w:rPr>
        <w:t>&gt;</w:t>
      </w:r>
      <w:r>
        <w:rPr>
          <w:rFonts w:hint="eastAsia" w:ascii="宋体" w:hAnsi="宋体" w:cs="新宋体"/>
          <w:kern w:val="0"/>
          <w:sz w:val="18"/>
          <w:szCs w:val="18"/>
        </w:rPr>
        <w:t>税额</w:t>
      </w:r>
      <w:r>
        <w:rPr>
          <w:rFonts w:hint="eastAsia" w:ascii="宋体" w:hAnsi="宋体" w:cs="新宋体"/>
          <w:color w:val="0000FF"/>
          <w:kern w:val="0"/>
          <w:sz w:val="18"/>
          <w:szCs w:val="18"/>
        </w:rPr>
        <w:t>&lt;/</w:t>
      </w:r>
      <w:r>
        <w:rPr>
          <w:rFonts w:hint="eastAsia" w:ascii="宋体" w:hAnsi="宋体" w:cs="新宋体"/>
          <w:color w:val="A31515"/>
          <w:kern w:val="0"/>
          <w:sz w:val="18"/>
          <w:szCs w:val="18"/>
        </w:rPr>
        <w:t>KPHJSE</w:t>
      </w:r>
      <w:r>
        <w:rPr>
          <w:rFonts w:hint="eastAsia" w:ascii="宋体" w:hAnsi="宋体" w:cs="新宋体"/>
          <w:color w:val="0000FF"/>
          <w:kern w:val="0"/>
          <w:sz w:val="18"/>
          <w:szCs w:val="18"/>
        </w:rPr>
        <w:t>&gt;</w:t>
      </w:r>
    </w:p>
    <w:p>
      <w:pPr>
        <w:autoSpaceDE w:val="0"/>
        <w:autoSpaceDN w:val="0"/>
        <w:adjustRightInd w:val="0"/>
        <w:spacing w:line="360" w:lineRule="auto"/>
        <w:ind w:left="420" w:leftChars="200" w:firstLine="420"/>
        <w:rPr>
          <w:rFonts w:ascii="宋体" w:hAnsi="宋体" w:cs="新宋体"/>
          <w:color w:val="0000FF"/>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PDF_FILE</w:t>
      </w:r>
      <w:r>
        <w:rPr>
          <w:rFonts w:hint="eastAsia" w:ascii="宋体" w:hAnsi="宋体" w:cs="新宋体"/>
          <w:color w:val="0000FF"/>
          <w:kern w:val="0"/>
          <w:sz w:val="18"/>
          <w:szCs w:val="18"/>
        </w:rPr>
        <w:t>&gt;</w:t>
      </w:r>
      <w:r>
        <w:rPr>
          <w:rFonts w:hint="eastAsia" w:ascii="宋体" w:hAnsi="宋体" w:cs="新宋体"/>
          <w:kern w:val="0"/>
          <w:sz w:val="18"/>
          <w:szCs w:val="18"/>
        </w:rPr>
        <w:t>Base64（pdf文件）</w:t>
      </w:r>
      <w:r>
        <w:rPr>
          <w:rFonts w:hint="eastAsia" w:ascii="宋体" w:hAnsi="宋体" w:cs="新宋体"/>
          <w:color w:val="0000FF"/>
          <w:kern w:val="0"/>
          <w:sz w:val="18"/>
          <w:szCs w:val="18"/>
        </w:rPr>
        <w:t>&lt;/</w:t>
      </w:r>
      <w:r>
        <w:rPr>
          <w:rFonts w:hint="eastAsia" w:ascii="宋体" w:hAnsi="宋体" w:cs="新宋体"/>
          <w:color w:val="A31515"/>
          <w:kern w:val="0"/>
          <w:sz w:val="18"/>
          <w:szCs w:val="18"/>
        </w:rPr>
        <w:t>PDF_FILE</w:t>
      </w:r>
      <w:r>
        <w:rPr>
          <w:rFonts w:hint="eastAsia" w:ascii="宋体" w:hAnsi="宋体" w:cs="新宋体"/>
          <w:color w:val="0000FF"/>
          <w:kern w:val="0"/>
          <w:sz w:val="18"/>
          <w:szCs w:val="18"/>
        </w:rPr>
        <w:t>&gt;</w:t>
      </w:r>
    </w:p>
    <w:p>
      <w:pPr>
        <w:autoSpaceDE w:val="0"/>
        <w:autoSpaceDN w:val="0"/>
        <w:adjustRightInd w:val="0"/>
        <w:spacing w:line="360" w:lineRule="auto"/>
        <w:ind w:left="420" w:leftChars="200" w:firstLine="420"/>
        <w:rPr>
          <w:rFonts w:ascii="宋体" w:hAnsi="宋体" w:cs="新宋体"/>
          <w:color w:val="0000FF"/>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PDF_URL</w:t>
      </w:r>
      <w:r>
        <w:rPr>
          <w:rFonts w:hint="eastAsia" w:ascii="宋体" w:hAnsi="宋体" w:cs="新宋体"/>
          <w:color w:val="0000FF"/>
          <w:kern w:val="0"/>
          <w:sz w:val="18"/>
          <w:szCs w:val="18"/>
        </w:rPr>
        <w:t>&gt;</w:t>
      </w:r>
      <w:r>
        <w:rPr>
          <w:rFonts w:hint="eastAsia" w:ascii="宋体" w:hAnsi="宋体" w:cs="新宋体"/>
          <w:kern w:val="0"/>
          <w:sz w:val="18"/>
          <w:szCs w:val="18"/>
        </w:rPr>
        <w:t>PDF下载路径</w:t>
      </w:r>
      <w:r>
        <w:rPr>
          <w:rFonts w:hint="eastAsia" w:ascii="宋体" w:hAnsi="宋体" w:cs="新宋体"/>
          <w:color w:val="0000FF"/>
          <w:kern w:val="0"/>
          <w:sz w:val="18"/>
          <w:szCs w:val="18"/>
        </w:rPr>
        <w:t>&lt;/</w:t>
      </w:r>
      <w:r>
        <w:rPr>
          <w:rFonts w:hint="eastAsia" w:ascii="宋体" w:hAnsi="宋体" w:cs="新宋体"/>
          <w:color w:val="A31515"/>
          <w:kern w:val="0"/>
          <w:sz w:val="18"/>
          <w:szCs w:val="18"/>
        </w:rPr>
        <w:t>PDF_URL</w:t>
      </w:r>
      <w:r>
        <w:rPr>
          <w:rFonts w:hint="eastAsia" w:ascii="宋体" w:hAnsi="宋体" w:cs="新宋体"/>
          <w:color w:val="0000FF"/>
          <w:kern w:val="0"/>
          <w:sz w:val="18"/>
          <w:szCs w:val="18"/>
        </w:rPr>
        <w:t>&gt;</w:t>
      </w:r>
    </w:p>
    <w:p>
      <w:pPr>
        <w:autoSpaceDE w:val="0"/>
        <w:autoSpaceDN w:val="0"/>
        <w:adjustRightInd w:val="0"/>
        <w:spacing w:line="360" w:lineRule="auto"/>
        <w:ind w:left="420" w:leftChars="200" w:firstLine="42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CZDM</w:t>
      </w:r>
      <w:r>
        <w:rPr>
          <w:rFonts w:hint="eastAsia" w:ascii="宋体" w:hAnsi="宋体" w:cs="新宋体"/>
          <w:color w:val="0000FF"/>
          <w:kern w:val="0"/>
          <w:sz w:val="18"/>
          <w:szCs w:val="18"/>
        </w:rPr>
        <w:t>&gt;</w:t>
      </w:r>
      <w:r>
        <w:rPr>
          <w:rFonts w:hint="eastAsia" w:ascii="宋体" w:hAnsi="宋体" w:cs="新宋体"/>
          <w:kern w:val="0"/>
          <w:sz w:val="18"/>
          <w:szCs w:val="18"/>
        </w:rPr>
        <w:t>操作代码</w:t>
      </w:r>
      <w:r>
        <w:rPr>
          <w:rFonts w:hint="eastAsia" w:ascii="宋体" w:hAnsi="宋体" w:cs="新宋体"/>
          <w:color w:val="0000FF"/>
          <w:kern w:val="0"/>
          <w:sz w:val="18"/>
          <w:szCs w:val="18"/>
        </w:rPr>
        <w:t>&lt;/</w:t>
      </w:r>
      <w:r>
        <w:rPr>
          <w:rFonts w:hint="eastAsia" w:ascii="宋体" w:hAnsi="宋体" w:cs="新宋体"/>
          <w:color w:val="A31515"/>
          <w:kern w:val="0"/>
          <w:sz w:val="18"/>
          <w:szCs w:val="18"/>
        </w:rPr>
        <w:t>CZDM</w:t>
      </w:r>
      <w:r>
        <w:rPr>
          <w:rFonts w:hint="eastAsia" w:ascii="宋体" w:hAnsi="宋体" w:cs="新宋体"/>
          <w:color w:val="0000FF"/>
          <w:kern w:val="0"/>
          <w:sz w:val="18"/>
          <w:szCs w:val="18"/>
        </w:rPr>
        <w:t>&gt;</w:t>
      </w:r>
    </w:p>
    <w:p>
      <w:pPr>
        <w:autoSpaceDE w:val="0"/>
        <w:autoSpaceDN w:val="0"/>
        <w:adjustRightInd w:val="0"/>
        <w:spacing w:line="360" w:lineRule="auto"/>
        <w:ind w:left="420" w:leftChars="200" w:firstLine="42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RETURNCODE</w:t>
      </w:r>
      <w:r>
        <w:rPr>
          <w:rFonts w:hint="eastAsia" w:ascii="宋体" w:hAnsi="宋体" w:cs="新宋体"/>
          <w:color w:val="0000FF"/>
          <w:kern w:val="0"/>
          <w:sz w:val="18"/>
          <w:szCs w:val="18"/>
        </w:rPr>
        <w:t>&gt;</w:t>
      </w:r>
      <w:r>
        <w:rPr>
          <w:rFonts w:hint="eastAsia" w:ascii="宋体" w:hAnsi="宋体" w:cs="新宋体"/>
          <w:kern w:val="0"/>
          <w:sz w:val="18"/>
          <w:szCs w:val="18"/>
        </w:rPr>
        <w:t>结果代码</w:t>
      </w:r>
      <w:r>
        <w:rPr>
          <w:rFonts w:hint="eastAsia" w:ascii="宋体" w:hAnsi="宋体" w:cs="新宋体"/>
          <w:color w:val="0000FF"/>
          <w:kern w:val="0"/>
          <w:sz w:val="18"/>
          <w:szCs w:val="18"/>
        </w:rPr>
        <w:t>&lt;/</w:t>
      </w:r>
      <w:r>
        <w:rPr>
          <w:rFonts w:hint="eastAsia" w:ascii="宋体" w:hAnsi="宋体" w:cs="新宋体"/>
          <w:color w:val="A31515"/>
          <w:kern w:val="0"/>
          <w:sz w:val="18"/>
          <w:szCs w:val="18"/>
        </w:rPr>
        <w:t>RETURNCODE</w:t>
      </w:r>
      <w:r>
        <w:rPr>
          <w:rFonts w:hint="eastAsia" w:ascii="宋体" w:hAnsi="宋体" w:cs="新宋体"/>
          <w:color w:val="0000FF"/>
          <w:kern w:val="0"/>
          <w:sz w:val="18"/>
          <w:szCs w:val="18"/>
        </w:rPr>
        <w:t>&gt;</w:t>
      </w:r>
    </w:p>
    <w:p>
      <w:pPr>
        <w:autoSpaceDE w:val="0"/>
        <w:autoSpaceDN w:val="0"/>
        <w:adjustRightInd w:val="0"/>
        <w:spacing w:line="360" w:lineRule="auto"/>
        <w:ind w:left="420" w:leftChars="200" w:firstLine="42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RETURNMESSAGE</w:t>
      </w:r>
      <w:r>
        <w:rPr>
          <w:rFonts w:hint="eastAsia" w:ascii="宋体" w:hAnsi="宋体" w:cs="新宋体"/>
          <w:color w:val="0000FF"/>
          <w:kern w:val="0"/>
          <w:sz w:val="18"/>
          <w:szCs w:val="18"/>
        </w:rPr>
        <w:t>&gt;</w:t>
      </w:r>
      <w:r>
        <w:rPr>
          <w:rFonts w:hint="eastAsia" w:ascii="宋体" w:hAnsi="宋体" w:cs="新宋体"/>
          <w:kern w:val="0"/>
          <w:sz w:val="18"/>
          <w:szCs w:val="18"/>
        </w:rPr>
        <w:t>结果描述</w:t>
      </w:r>
      <w:r>
        <w:rPr>
          <w:rFonts w:hint="eastAsia" w:ascii="宋体" w:hAnsi="宋体" w:cs="新宋体"/>
          <w:color w:val="0000FF"/>
          <w:kern w:val="0"/>
          <w:sz w:val="18"/>
          <w:szCs w:val="18"/>
        </w:rPr>
        <w:t>&lt;/</w:t>
      </w:r>
      <w:r>
        <w:rPr>
          <w:rFonts w:hint="eastAsia" w:ascii="宋体" w:hAnsi="宋体" w:cs="新宋体"/>
          <w:color w:val="A31515"/>
          <w:kern w:val="0"/>
          <w:sz w:val="18"/>
          <w:szCs w:val="18"/>
        </w:rPr>
        <w:t>RETURNMESSAGE</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color w:val="0000FF"/>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REQUEST_FPKJXX_FPJGXX_NEW</w:t>
      </w:r>
      <w:r>
        <w:rPr>
          <w:rFonts w:hint="eastAsia" w:ascii="宋体" w:hAnsi="宋体" w:cs="新宋体"/>
          <w:color w:val="0000FF"/>
          <w:kern w:val="0"/>
          <w:sz w:val="18"/>
          <w:szCs w:val="18"/>
        </w:rPr>
        <w:t>&gt;</w:t>
      </w:r>
    </w:p>
    <w:p>
      <w:pPr>
        <w:autoSpaceDE w:val="0"/>
        <w:autoSpaceDN w:val="0"/>
        <w:adjustRightInd w:val="0"/>
        <w:spacing w:line="360" w:lineRule="auto"/>
        <w:ind w:left="210" w:leftChars="100"/>
        <w:rPr>
          <w:rFonts w:ascii="宋体" w:hAnsi="宋体" w:cs="新宋体"/>
          <w:color w:val="0000FF"/>
          <w:kern w:val="0"/>
          <w:sz w:val="18"/>
          <w:szCs w:val="18"/>
        </w:rPr>
      </w:pPr>
    </w:p>
    <w:p>
      <w:pPr>
        <w:numPr>
          <w:ilvl w:val="0"/>
          <w:numId w:val="6"/>
        </w:numPr>
        <w:spacing w:line="360" w:lineRule="auto"/>
        <w:rPr>
          <w:rFonts w:ascii="Calibri" w:hAnsi="Calibri"/>
          <w:b/>
        </w:rPr>
      </w:pPr>
      <w:r>
        <w:rPr>
          <w:rFonts w:hint="eastAsia"/>
          <w:b/>
        </w:rPr>
        <w:t>【</w:t>
      </w:r>
      <w:r>
        <w:rPr>
          <w:b/>
        </w:rPr>
        <w:t>Content</w:t>
      </w:r>
      <w:r>
        <w:rPr>
          <w:rFonts w:hint="eastAsia"/>
          <w:b/>
        </w:rPr>
        <w:t>中】请求数据项说明</w:t>
      </w:r>
    </w:p>
    <w:p>
      <w:pPr>
        <w:spacing w:line="360" w:lineRule="auto"/>
        <w:rPr>
          <w:b/>
        </w:rPr>
      </w:pPr>
    </w:p>
    <w:tbl>
      <w:tblPr>
        <w:tblStyle w:val="34"/>
        <w:tblW w:w="104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860"/>
        <w:gridCol w:w="1717"/>
        <w:gridCol w:w="1701"/>
        <w:gridCol w:w="851"/>
        <w:gridCol w:w="1100"/>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序号</w:t>
            </w:r>
          </w:p>
        </w:tc>
        <w:tc>
          <w:tcPr>
            <w:tcW w:w="1860"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数据项</w:t>
            </w:r>
          </w:p>
        </w:tc>
        <w:tc>
          <w:tcPr>
            <w:tcW w:w="1717"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rPr>
                <w:rFonts w:ascii="Calibri" w:hAnsi="Calibri"/>
                <w:b/>
                <w:color w:val="000000"/>
                <w:kern w:val="0"/>
              </w:rPr>
            </w:pPr>
            <w:r>
              <w:rPr>
                <w:rFonts w:hint="eastAsia"/>
                <w:b/>
                <w:color w:val="000000"/>
                <w:kern w:val="0"/>
              </w:rPr>
              <w:t>数据项名称</w:t>
            </w:r>
          </w:p>
        </w:tc>
        <w:tc>
          <w:tcPr>
            <w:tcW w:w="1701"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类型</w:t>
            </w:r>
          </w:p>
        </w:tc>
        <w:tc>
          <w:tcPr>
            <w:tcW w:w="851"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长度</w:t>
            </w:r>
          </w:p>
        </w:tc>
        <w:tc>
          <w:tcPr>
            <w:tcW w:w="1100"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必须</w:t>
            </w:r>
          </w:p>
        </w:tc>
        <w:tc>
          <w:tcPr>
            <w:tcW w:w="2410"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rPr>
                <w:rFonts w:ascii="Calibri" w:hAnsi="Calibri"/>
                <w:b/>
                <w:color w:val="000000"/>
                <w:kern w:val="0"/>
              </w:rPr>
            </w:pPr>
            <w:r>
              <w:rPr>
                <w:rFonts w:hint="eastAsia"/>
                <w:b/>
                <w:color w:val="000000"/>
                <w:kern w:val="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9"/>
              </w:numPr>
              <w:spacing w:line="360" w:lineRule="auto"/>
              <w:jc w:val="center"/>
              <w:rPr>
                <w:rFonts w:ascii="Calibri" w:hAnsi="Calibri"/>
              </w:rPr>
            </w:pPr>
          </w:p>
        </w:tc>
        <w:tc>
          <w:tcPr>
            <w:tcW w:w="18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FPQQLSH</w:t>
            </w:r>
          </w:p>
        </w:tc>
        <w:tc>
          <w:tcPr>
            <w:tcW w:w="17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发票请求唯一流水号</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50</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9"/>
              </w:numPr>
              <w:spacing w:line="360" w:lineRule="auto"/>
              <w:jc w:val="center"/>
              <w:rPr>
                <w:rFonts w:ascii="Calibri" w:hAnsi="Calibri"/>
              </w:rPr>
            </w:pPr>
          </w:p>
        </w:tc>
        <w:tc>
          <w:tcPr>
            <w:tcW w:w="18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DDH</w:t>
            </w:r>
          </w:p>
        </w:tc>
        <w:tc>
          <w:tcPr>
            <w:tcW w:w="17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订单号</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9"/>
              </w:numPr>
              <w:spacing w:line="360" w:lineRule="auto"/>
              <w:jc w:val="center"/>
              <w:rPr>
                <w:rFonts w:ascii="Calibri" w:hAnsi="Calibri"/>
              </w:rPr>
            </w:pPr>
          </w:p>
        </w:tc>
        <w:tc>
          <w:tcPr>
            <w:tcW w:w="18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KPLSH</w:t>
            </w:r>
          </w:p>
        </w:tc>
        <w:tc>
          <w:tcPr>
            <w:tcW w:w="17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开票流水号</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发票代码</w:t>
            </w:r>
            <w:r>
              <w:t>+</w:t>
            </w:r>
            <w:r>
              <w:rPr>
                <w:rFonts w:hint="eastAsia"/>
              </w:rPr>
              <w:t>发票号码（</w:t>
            </w:r>
            <w:r>
              <w:t>RETURNCODE</w:t>
            </w:r>
            <w:r>
              <w:rPr>
                <w:rFonts w:hint="eastAsia"/>
              </w:rPr>
              <w:t>不为</w:t>
            </w:r>
            <w:r>
              <w:t>0000</w:t>
            </w:r>
            <w:r>
              <w:rPr>
                <w:rFonts w:hint="eastAsia"/>
              </w:rPr>
              <w:t>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9"/>
              </w:numPr>
              <w:spacing w:line="360" w:lineRule="auto"/>
              <w:jc w:val="center"/>
              <w:rPr>
                <w:rFonts w:ascii="Calibri" w:hAnsi="Calibri"/>
              </w:rPr>
            </w:pPr>
          </w:p>
        </w:tc>
        <w:tc>
          <w:tcPr>
            <w:tcW w:w="18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FWM</w:t>
            </w:r>
          </w:p>
        </w:tc>
        <w:tc>
          <w:tcPr>
            <w:tcW w:w="17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防伪码</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w:t>
            </w:r>
            <w:r>
              <w:t>RETURNCODE</w:t>
            </w:r>
            <w:r>
              <w:rPr>
                <w:rFonts w:hint="eastAsia"/>
              </w:rPr>
              <w:t>不为</w:t>
            </w:r>
            <w:r>
              <w:t>0000</w:t>
            </w:r>
            <w:r>
              <w:rPr>
                <w:rFonts w:hint="eastAsia"/>
              </w:rPr>
              <w:t>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9"/>
              </w:numPr>
              <w:spacing w:line="360" w:lineRule="auto"/>
              <w:jc w:val="center"/>
              <w:rPr>
                <w:rFonts w:ascii="Calibri" w:hAnsi="Calibri"/>
              </w:rPr>
            </w:pPr>
          </w:p>
        </w:tc>
        <w:tc>
          <w:tcPr>
            <w:tcW w:w="18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EWM</w:t>
            </w:r>
          </w:p>
        </w:tc>
        <w:tc>
          <w:tcPr>
            <w:tcW w:w="17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二维码</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1000</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w:t>
            </w:r>
            <w:r>
              <w:t>RETURNCODE</w:t>
            </w:r>
            <w:r>
              <w:rPr>
                <w:rFonts w:hint="eastAsia"/>
              </w:rPr>
              <w:t>不为</w:t>
            </w:r>
            <w:r>
              <w:t>0000</w:t>
            </w:r>
            <w:r>
              <w:rPr>
                <w:rFonts w:hint="eastAsia"/>
              </w:rPr>
              <w:t>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9"/>
              </w:numPr>
              <w:spacing w:line="360" w:lineRule="auto"/>
              <w:jc w:val="center"/>
              <w:rPr>
                <w:rFonts w:ascii="Calibri" w:hAnsi="Calibri"/>
              </w:rPr>
            </w:pPr>
          </w:p>
        </w:tc>
        <w:tc>
          <w:tcPr>
            <w:tcW w:w="18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FPZL_DM</w:t>
            </w:r>
          </w:p>
        </w:tc>
        <w:tc>
          <w:tcPr>
            <w:tcW w:w="17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发票种类代码</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5</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w:t>
            </w:r>
            <w:r>
              <w:t>RETURNCODE</w:t>
            </w:r>
            <w:r>
              <w:rPr>
                <w:rFonts w:hint="eastAsia"/>
              </w:rPr>
              <w:t>不为</w:t>
            </w:r>
            <w:r>
              <w:t>0000</w:t>
            </w:r>
            <w:r>
              <w:rPr>
                <w:rFonts w:hint="eastAsia"/>
              </w:rPr>
              <w:t>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9"/>
              </w:numPr>
              <w:spacing w:line="360" w:lineRule="auto"/>
              <w:jc w:val="center"/>
              <w:rPr>
                <w:rFonts w:ascii="Calibri" w:hAnsi="Calibri"/>
              </w:rPr>
            </w:pPr>
          </w:p>
        </w:tc>
        <w:tc>
          <w:tcPr>
            <w:tcW w:w="18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FP_DM</w:t>
            </w:r>
          </w:p>
        </w:tc>
        <w:tc>
          <w:tcPr>
            <w:tcW w:w="17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发票代码</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12</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w:t>
            </w:r>
            <w:r>
              <w:t>RETURNCODE</w:t>
            </w:r>
            <w:r>
              <w:rPr>
                <w:rFonts w:hint="eastAsia"/>
              </w:rPr>
              <w:t>不为</w:t>
            </w:r>
            <w:r>
              <w:t>0000</w:t>
            </w:r>
            <w:r>
              <w:rPr>
                <w:rFonts w:hint="eastAsia"/>
              </w:rPr>
              <w:t>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9"/>
              </w:numPr>
              <w:spacing w:line="360" w:lineRule="auto"/>
              <w:jc w:val="center"/>
              <w:rPr>
                <w:rFonts w:ascii="Calibri" w:hAnsi="Calibri"/>
              </w:rPr>
            </w:pPr>
          </w:p>
        </w:tc>
        <w:tc>
          <w:tcPr>
            <w:tcW w:w="18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FP_HM</w:t>
            </w:r>
          </w:p>
        </w:tc>
        <w:tc>
          <w:tcPr>
            <w:tcW w:w="17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发票号码</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8</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w:t>
            </w:r>
            <w:r>
              <w:t>RETURNCODE</w:t>
            </w:r>
            <w:r>
              <w:rPr>
                <w:rFonts w:hint="eastAsia"/>
              </w:rPr>
              <w:t>不为</w:t>
            </w:r>
            <w:r>
              <w:t>0000</w:t>
            </w:r>
            <w:r>
              <w:rPr>
                <w:rFonts w:hint="eastAsia"/>
              </w:rPr>
              <w:t>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9"/>
              </w:numPr>
              <w:spacing w:line="360" w:lineRule="auto"/>
              <w:jc w:val="center"/>
              <w:rPr>
                <w:rFonts w:ascii="Calibri" w:hAnsi="Calibri"/>
              </w:rPr>
            </w:pPr>
          </w:p>
        </w:tc>
        <w:tc>
          <w:tcPr>
            <w:tcW w:w="18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KPRQ</w:t>
            </w:r>
          </w:p>
        </w:tc>
        <w:tc>
          <w:tcPr>
            <w:tcW w:w="17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开票日期</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1095"/>
                <w:tab w:val="center" w:pos="2231"/>
              </w:tabs>
              <w:spacing w:line="360" w:lineRule="auto"/>
              <w:ind w:firstLine="315" w:firstLineChars="150"/>
              <w:rPr>
                <w:rFonts w:ascii="Calibri" w:hAnsi="Calibri"/>
              </w:rPr>
            </w:pPr>
            <w:r>
              <w:t>DATETIME</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095"/>
                <w:tab w:val="center" w:pos="2231"/>
              </w:tabs>
              <w:spacing w:line="360" w:lineRule="auto"/>
              <w:jc w:val="center"/>
              <w:rPr>
                <w:rFonts w:ascii="Calibri" w:hAnsi="Calibri"/>
              </w:rPr>
            </w:pPr>
          </w:p>
        </w:tc>
        <w:tc>
          <w:tcPr>
            <w:tcW w:w="1100" w:type="dxa"/>
            <w:tcBorders>
              <w:top w:val="single" w:color="auto" w:sz="4" w:space="0"/>
              <w:left w:val="single" w:color="auto" w:sz="4" w:space="0"/>
              <w:bottom w:val="single" w:color="auto" w:sz="4" w:space="0"/>
              <w:right w:val="single" w:color="auto" w:sz="4" w:space="0"/>
            </w:tcBorders>
            <w:vAlign w:val="center"/>
          </w:tcPr>
          <w:p>
            <w:pPr>
              <w:tabs>
                <w:tab w:val="left" w:pos="1095"/>
                <w:tab w:val="center" w:pos="2231"/>
              </w:tabs>
              <w:spacing w:line="360" w:lineRule="auto"/>
              <w:ind w:firstLine="315" w:firstLineChars="150"/>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tabs>
                <w:tab w:val="left" w:pos="1095"/>
                <w:tab w:val="center" w:pos="2231"/>
              </w:tabs>
              <w:spacing w:line="360" w:lineRule="auto"/>
              <w:rPr>
                <w:rFonts w:ascii="Calibri" w:hAnsi="Calibri"/>
              </w:rPr>
            </w:pPr>
            <w:r>
              <w:rPr>
                <w:rFonts w:hint="eastAsia"/>
                <w:kern w:val="0"/>
              </w:rPr>
              <w:t>格式</w:t>
            </w:r>
            <w:r>
              <w:rPr>
                <w:kern w:val="0"/>
              </w:rPr>
              <w:t>YYY-MM-DD HH:MI:SS</w:t>
            </w:r>
            <w:r>
              <w:rPr>
                <w:rFonts w:hint="eastAsia"/>
              </w:rPr>
              <w:t>（</w:t>
            </w:r>
            <w:r>
              <w:t>RETURNCODE</w:t>
            </w:r>
            <w:r>
              <w:rPr>
                <w:rFonts w:hint="eastAsia"/>
              </w:rPr>
              <w:t>不为</w:t>
            </w:r>
            <w:r>
              <w:t>0000</w:t>
            </w:r>
            <w:r>
              <w:rPr>
                <w:rFonts w:hint="eastAsia"/>
              </w:rPr>
              <w:t>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9"/>
              </w:numPr>
              <w:spacing w:line="360" w:lineRule="auto"/>
              <w:jc w:val="center"/>
              <w:rPr>
                <w:rFonts w:ascii="Calibri" w:hAnsi="Calibri"/>
              </w:rPr>
            </w:pPr>
          </w:p>
        </w:tc>
        <w:tc>
          <w:tcPr>
            <w:tcW w:w="18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KPLX</w:t>
            </w:r>
          </w:p>
        </w:tc>
        <w:tc>
          <w:tcPr>
            <w:tcW w:w="17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开票类型</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ind w:firstLine="315" w:firstLineChars="150"/>
              <w:rPr>
                <w:rFonts w:ascii="Calibri" w:hAnsi="Calibri"/>
              </w:rPr>
            </w:pPr>
            <w:r>
              <w:t>NUMBER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ind w:firstLine="210" w:firstLineChars="100"/>
              <w:rPr>
                <w:rFonts w:ascii="Calibri" w:hAnsi="Calibri"/>
              </w:rPr>
            </w:pPr>
            <w:r>
              <w:t>1</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ind w:firstLine="315" w:firstLineChars="150"/>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1</w:t>
            </w:r>
            <w:r>
              <w:rPr>
                <w:rFonts w:hint="eastAsia"/>
              </w:rPr>
              <w:t>正票</w:t>
            </w:r>
          </w:p>
          <w:p>
            <w:pPr>
              <w:spacing w:line="360" w:lineRule="auto"/>
            </w:pPr>
            <w:r>
              <w:t>2</w:t>
            </w:r>
            <w:r>
              <w:rPr>
                <w:rFonts w:hint="eastAsia"/>
              </w:rPr>
              <w:t>红票</w:t>
            </w:r>
          </w:p>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9"/>
              </w:numPr>
              <w:spacing w:line="360" w:lineRule="auto"/>
              <w:jc w:val="center"/>
              <w:rPr>
                <w:rFonts w:ascii="Calibri" w:hAnsi="Calibri"/>
              </w:rPr>
            </w:pPr>
          </w:p>
        </w:tc>
        <w:tc>
          <w:tcPr>
            <w:tcW w:w="18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HJBHSJE</w:t>
            </w:r>
          </w:p>
        </w:tc>
        <w:tc>
          <w:tcPr>
            <w:tcW w:w="17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不含税金额</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DOUBLE</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ind w:firstLine="210" w:firstLineChars="100"/>
              <w:rPr>
                <w:rFonts w:ascii="Calibri" w:hAnsi="Calibri"/>
              </w:rPr>
            </w:pPr>
            <w:r>
              <w:t>20</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ind w:firstLine="315" w:firstLineChars="150"/>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9"/>
              </w:numPr>
              <w:spacing w:line="360" w:lineRule="auto"/>
              <w:jc w:val="center"/>
              <w:rPr>
                <w:rFonts w:ascii="Calibri" w:hAnsi="Calibri"/>
              </w:rPr>
            </w:pPr>
          </w:p>
        </w:tc>
        <w:tc>
          <w:tcPr>
            <w:tcW w:w="18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KPHJSE</w:t>
            </w:r>
          </w:p>
        </w:tc>
        <w:tc>
          <w:tcPr>
            <w:tcW w:w="17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税额</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DOUBLE</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ind w:firstLine="210" w:firstLineChars="100"/>
              <w:rPr>
                <w:rFonts w:ascii="Calibri" w:hAnsi="Calibri"/>
              </w:rPr>
            </w:pPr>
            <w:r>
              <w:t>20</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ind w:firstLine="315" w:firstLineChars="150"/>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9"/>
              </w:numPr>
              <w:spacing w:line="360" w:lineRule="auto"/>
              <w:jc w:val="center"/>
              <w:rPr>
                <w:rFonts w:ascii="Calibri" w:hAnsi="Calibri"/>
              </w:rPr>
            </w:pPr>
          </w:p>
        </w:tc>
        <w:tc>
          <w:tcPr>
            <w:tcW w:w="18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PDF_FILE</w:t>
            </w:r>
          </w:p>
        </w:tc>
        <w:tc>
          <w:tcPr>
            <w:tcW w:w="17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Base64</w:t>
            </w:r>
            <w:r>
              <w:rPr>
                <w:rFonts w:hint="eastAsia"/>
              </w:rPr>
              <w:t>（</w:t>
            </w:r>
            <w:r>
              <w:t>pdf</w:t>
            </w:r>
            <w:r>
              <w:rPr>
                <w:rFonts w:hint="eastAsia"/>
              </w:rPr>
              <w:t>文件）</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不定长</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9"/>
              </w:numPr>
              <w:spacing w:line="360" w:lineRule="auto"/>
              <w:jc w:val="center"/>
              <w:rPr>
                <w:rFonts w:ascii="Calibri" w:hAnsi="Calibri"/>
              </w:rPr>
            </w:pPr>
          </w:p>
        </w:tc>
        <w:tc>
          <w:tcPr>
            <w:tcW w:w="18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PDF_URL</w:t>
            </w:r>
          </w:p>
        </w:tc>
        <w:tc>
          <w:tcPr>
            <w:tcW w:w="17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PDF</w:t>
            </w:r>
            <w:r>
              <w:rPr>
                <w:rFonts w:hint="eastAsia"/>
              </w:rPr>
              <w:t>下载路径</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不定长</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PDF</w:t>
            </w:r>
            <w:r>
              <w:rPr>
                <w:rFonts w:hint="eastAsia"/>
              </w:rPr>
              <w:t>的下载路径</w:t>
            </w:r>
            <w:r>
              <w:t>PDF_URL(</w:t>
            </w:r>
            <w:r>
              <w:rPr>
                <w:rFonts w:hint="eastAsia"/>
              </w:rPr>
              <w:t>仅供对接企业内部使用</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9"/>
              </w:numPr>
              <w:spacing w:line="360" w:lineRule="auto"/>
              <w:jc w:val="center"/>
              <w:rPr>
                <w:rFonts w:ascii="Calibri" w:hAnsi="Calibri"/>
              </w:rPr>
            </w:pPr>
          </w:p>
        </w:tc>
        <w:tc>
          <w:tcPr>
            <w:tcW w:w="18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CZDM</w:t>
            </w:r>
          </w:p>
        </w:tc>
        <w:tc>
          <w:tcPr>
            <w:tcW w:w="17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操作代码</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ind w:firstLine="105" w:firstLineChars="50"/>
              <w:rPr>
                <w:rFonts w:ascii="Calibri" w:hAnsi="Calibri"/>
              </w:rPr>
            </w:pPr>
            <w:r>
              <w:rPr>
                <w:rFonts w:hint="eastAsia"/>
              </w:rPr>
              <w:t>否</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10</w:t>
            </w:r>
            <w:r>
              <w:rPr>
                <w:rFonts w:hint="eastAsia"/>
              </w:rPr>
              <w:t>正品正常开具</w:t>
            </w:r>
          </w:p>
          <w:p>
            <w:pPr>
              <w:spacing w:line="360" w:lineRule="auto"/>
            </w:pPr>
            <w:r>
              <w:t>11</w:t>
            </w:r>
            <w:r>
              <w:rPr>
                <w:rFonts w:hint="eastAsia"/>
              </w:rPr>
              <w:t>正票错票重开</w:t>
            </w:r>
          </w:p>
          <w:p>
            <w:pPr>
              <w:spacing w:line="360" w:lineRule="auto"/>
            </w:pPr>
            <w:r>
              <w:t>20</w:t>
            </w:r>
            <w:r>
              <w:rPr>
                <w:rFonts w:hint="eastAsia"/>
              </w:rPr>
              <w:t>退货折让红票、</w:t>
            </w:r>
          </w:p>
          <w:p>
            <w:pPr>
              <w:spacing w:line="360" w:lineRule="auto"/>
            </w:pPr>
            <w:r>
              <w:t>21</w:t>
            </w:r>
            <w:r>
              <w:rPr>
                <w:rFonts w:hint="eastAsia"/>
              </w:rPr>
              <w:t>错票重开红票、</w:t>
            </w:r>
          </w:p>
          <w:p>
            <w:pPr>
              <w:spacing w:line="360" w:lineRule="auto"/>
              <w:rPr>
                <w:rFonts w:ascii="Calibri" w:hAnsi="Calibri"/>
              </w:rPr>
            </w:pPr>
            <w:r>
              <w:t>22</w:t>
            </w:r>
            <w:r>
              <w:rPr>
                <w:rFonts w:hint="eastAsia"/>
              </w:rPr>
              <w:t>换票冲红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9"/>
              </w:numPr>
              <w:spacing w:line="360" w:lineRule="auto"/>
              <w:jc w:val="center"/>
              <w:rPr>
                <w:rFonts w:ascii="Calibri" w:hAnsi="Calibri"/>
              </w:rPr>
            </w:pPr>
          </w:p>
        </w:tc>
        <w:tc>
          <w:tcPr>
            <w:tcW w:w="18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RETURNCODE</w:t>
            </w:r>
          </w:p>
        </w:tc>
        <w:tc>
          <w:tcPr>
            <w:tcW w:w="17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结果代码</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4</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0000</w:t>
            </w:r>
            <w:r>
              <w:rPr>
                <w:rFonts w:hint="eastAsia"/>
              </w:rPr>
              <w:t>：下发成功</w:t>
            </w:r>
          </w:p>
          <w:p>
            <w:pPr>
              <w:spacing w:line="360" w:lineRule="auto"/>
              <w:rPr>
                <w:rFonts w:ascii="Calibri" w:hAnsi="Calibri"/>
              </w:rPr>
            </w:pPr>
            <w:r>
              <w:t>9999</w:t>
            </w:r>
            <w:r>
              <w:rPr>
                <w:rFonts w:hint="eastAsia"/>
              </w:rPr>
              <w:t>：下发失败</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19"/>
              </w:numPr>
              <w:spacing w:line="360" w:lineRule="auto"/>
              <w:jc w:val="center"/>
              <w:rPr>
                <w:rFonts w:ascii="Calibri" w:hAnsi="Calibri"/>
              </w:rPr>
            </w:pPr>
          </w:p>
        </w:tc>
        <w:tc>
          <w:tcPr>
            <w:tcW w:w="18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RETURNMESSAGE</w:t>
            </w:r>
          </w:p>
        </w:tc>
        <w:tc>
          <w:tcPr>
            <w:tcW w:w="17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结果描述</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128</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错误原因</w:t>
            </w:r>
          </w:p>
        </w:tc>
      </w:tr>
    </w:tbl>
    <w:p>
      <w:pPr>
        <w:spacing w:line="360" w:lineRule="auto"/>
        <w:rPr>
          <w:rFonts w:ascii="Calibri" w:hAnsi="Calibri"/>
        </w:rPr>
      </w:pPr>
    </w:p>
    <w:p>
      <w:pPr>
        <w:spacing w:line="360" w:lineRule="auto"/>
        <w:ind w:left="420"/>
        <w:rPr>
          <w:b/>
          <w:kern w:val="0"/>
          <w:sz w:val="32"/>
        </w:rPr>
      </w:pPr>
      <w:r>
        <w:rPr>
          <w:rFonts w:hint="eastAsia"/>
          <w:b/>
          <w:kern w:val="0"/>
          <w:sz w:val="32"/>
        </w:rPr>
        <w:t>返回报文示例与数据项说明</w:t>
      </w:r>
    </w:p>
    <w:p>
      <w:pPr>
        <w:numPr>
          <w:ilvl w:val="0"/>
          <w:numId w:val="6"/>
        </w:numPr>
        <w:spacing w:line="360" w:lineRule="auto"/>
        <w:rPr>
          <w:b/>
        </w:rPr>
      </w:pPr>
      <w:r>
        <w:rPr>
          <w:rFonts w:hint="eastAsia"/>
          <w:b/>
        </w:rPr>
        <w:t>返回报文示例（只有外层报文，没</w:t>
      </w:r>
      <w:r>
        <w:rPr>
          <w:b/>
        </w:rPr>
        <w:t>Content</w:t>
      </w:r>
      <w:r>
        <w:rPr>
          <w:rFonts w:hint="eastAsia"/>
          <w:b/>
        </w:rPr>
        <w:t>）：</w:t>
      </w:r>
    </w:p>
    <w:p>
      <w:pPr>
        <w:spacing w:line="360" w:lineRule="auto"/>
        <w:ind w:left="420"/>
        <w:rPr>
          <w:kern w:val="0"/>
        </w:rPr>
      </w:pPr>
    </w:p>
    <w:p>
      <w:pPr>
        <w:spacing w:line="360" w:lineRule="auto"/>
        <w:ind w:left="420"/>
        <w:rPr>
          <w:kern w:val="0"/>
        </w:rPr>
      </w:pPr>
      <w:r>
        <w:rPr>
          <w:rFonts w:hint="eastAsia"/>
          <w:kern w:val="0"/>
        </w:rPr>
        <w:t>返回报文只有外层报文，</w:t>
      </w:r>
      <w:r>
        <w:rPr>
          <w:kern w:val="0"/>
        </w:rPr>
        <w:t>Content</w:t>
      </w:r>
      <w:r>
        <w:rPr>
          <w:rFonts w:hint="eastAsia"/>
          <w:kern w:val="0"/>
        </w:rPr>
        <w:t>内容为空，无数据项。</w:t>
      </w:r>
    </w:p>
    <w:p>
      <w:pPr>
        <w:spacing w:line="360" w:lineRule="auto"/>
        <w:ind w:left="420"/>
      </w:pPr>
      <w:r>
        <w:t>&lt;</w:t>
      </w:r>
      <w:r>
        <w:rPr>
          <w:rFonts w:hint="eastAsia" w:ascii="宋体" w:hAnsi="宋体" w:cs="新宋体"/>
          <w:color w:val="A31515"/>
          <w:kern w:val="0"/>
          <w:sz w:val="18"/>
          <w:szCs w:val="18"/>
        </w:rPr>
        <w:t>returnCode</w:t>
      </w:r>
      <w:r>
        <w:t>&gt;0000&lt;</w:t>
      </w:r>
      <w:r>
        <w:rPr>
          <w:rFonts w:hint="eastAsia" w:ascii="宋体" w:hAnsi="宋体" w:cs="新宋体"/>
          <w:color w:val="A31515"/>
          <w:kern w:val="0"/>
          <w:sz w:val="18"/>
          <w:szCs w:val="18"/>
        </w:rPr>
        <w:t>/returnCode</w:t>
      </w:r>
      <w:r>
        <w:t>&gt;</w:t>
      </w:r>
    </w:p>
    <w:p>
      <w:pPr>
        <w:spacing w:line="360" w:lineRule="auto"/>
        <w:ind w:left="420"/>
        <w:rPr>
          <w:kern w:val="0"/>
        </w:rPr>
      </w:pPr>
      <w:r>
        <w:t>&lt;</w:t>
      </w:r>
      <w:r>
        <w:rPr>
          <w:rFonts w:hint="eastAsia" w:ascii="宋体" w:hAnsi="宋体" w:cs="新宋体"/>
          <w:color w:val="A31515"/>
          <w:kern w:val="0"/>
          <w:sz w:val="18"/>
          <w:szCs w:val="18"/>
        </w:rPr>
        <w:t>returnMessage</w:t>
      </w:r>
      <w:r>
        <w:t>&gt;5Y+R56Wo5LiL6L295o6l5Y+j6LCD55So5oiQ5Yqf&lt;</w:t>
      </w:r>
      <w:r>
        <w:rPr>
          <w:rFonts w:hint="eastAsia" w:ascii="宋体" w:hAnsi="宋体" w:cs="新宋体"/>
          <w:color w:val="A31515"/>
          <w:kern w:val="0"/>
          <w:sz w:val="18"/>
          <w:szCs w:val="18"/>
        </w:rPr>
        <w:t>/returnMessage</w:t>
      </w:r>
      <w:r>
        <w:t>&gt;</w:t>
      </w:r>
    </w:p>
    <w:p>
      <w:pPr>
        <w:pStyle w:val="5"/>
        <w:numPr>
          <w:ilvl w:val="3"/>
          <w:numId w:val="0"/>
        </w:numPr>
        <w:spacing w:before="0" w:after="0" w:line="360" w:lineRule="auto"/>
      </w:pPr>
      <w:bookmarkStart w:id="142" w:name="_Toc442308304"/>
      <w:bookmarkStart w:id="143" w:name="_Toc14771"/>
      <w:r>
        <w:rPr>
          <w:rFonts w:hint="eastAsia"/>
        </w:rPr>
        <w:t>2.2.3.4对账接口</w:t>
      </w:r>
      <w:bookmarkEnd w:id="142"/>
      <w:bookmarkEnd w:id="143"/>
    </w:p>
    <w:p>
      <w:pPr>
        <w:numPr>
          <w:ilvl w:val="0"/>
          <w:numId w:val="20"/>
        </w:numPr>
        <w:spacing w:line="360" w:lineRule="auto"/>
      </w:pPr>
      <w:r>
        <w:rPr>
          <w:rFonts w:hint="eastAsia"/>
          <w:b/>
        </w:rPr>
        <w:t>接口说明：</w:t>
      </w:r>
      <w:r>
        <w:rPr>
          <w:rFonts w:hint="eastAsia"/>
          <w:szCs w:val="21"/>
        </w:rPr>
        <w:t>业务系统与电子发票系统日汇总对账。</w:t>
      </w:r>
    </w:p>
    <w:p>
      <w:pPr>
        <w:numPr>
          <w:ilvl w:val="0"/>
          <w:numId w:val="20"/>
        </w:numPr>
        <w:spacing w:line="360" w:lineRule="auto"/>
        <w:rPr>
          <w:b/>
          <w:bCs/>
        </w:rPr>
      </w:pPr>
      <w:r>
        <w:rPr>
          <w:rFonts w:hint="eastAsia"/>
          <w:b/>
        </w:rPr>
        <w:t>调用方式：</w:t>
      </w:r>
      <w:r>
        <w:t>WEB SERVICE</w:t>
      </w:r>
      <w:r>
        <w:rPr>
          <w:rFonts w:hint="eastAsia"/>
          <w:b/>
          <w:bCs/>
        </w:rPr>
        <w:t>方式</w:t>
      </w:r>
    </w:p>
    <w:p>
      <w:pPr>
        <w:numPr>
          <w:ilvl w:val="0"/>
          <w:numId w:val="20"/>
        </w:numPr>
        <w:spacing w:line="360" w:lineRule="auto"/>
        <w:rPr>
          <w:szCs w:val="21"/>
        </w:rPr>
      </w:pPr>
      <w:r>
        <w:rPr>
          <w:rFonts w:hint="eastAsia"/>
          <w:b/>
        </w:rPr>
        <w:t>接口编码</w:t>
      </w:r>
      <w:r>
        <w:rPr>
          <w:rFonts w:hint="eastAsia"/>
        </w:rPr>
        <w:t>：</w:t>
      </w:r>
      <w:r>
        <w:rPr>
          <w:szCs w:val="21"/>
        </w:rPr>
        <w:t>ECXML.HZDZ.CX.E.INV</w:t>
      </w:r>
    </w:p>
    <w:p>
      <w:pPr>
        <w:spacing w:line="360" w:lineRule="auto"/>
        <w:rPr>
          <w:szCs w:val="21"/>
        </w:rPr>
      </w:pPr>
    </w:p>
    <w:p>
      <w:pPr>
        <w:spacing w:line="360" w:lineRule="auto"/>
        <w:rPr>
          <w:szCs w:val="21"/>
        </w:rPr>
      </w:pPr>
      <w:r>
        <w:rPr>
          <w:rFonts w:hint="eastAsia"/>
          <w:szCs w:val="21"/>
        </w:rPr>
        <w:t>请求报文示例与数据项说明</w:t>
      </w:r>
    </w:p>
    <w:p>
      <w:pPr>
        <w:numPr>
          <w:ilvl w:val="0"/>
          <w:numId w:val="6"/>
        </w:numPr>
        <w:spacing w:line="360" w:lineRule="auto"/>
        <w:rPr>
          <w:b/>
        </w:rPr>
      </w:pPr>
      <w:r>
        <w:rPr>
          <w:rFonts w:hint="eastAsia"/>
          <w:b/>
        </w:rPr>
        <w:t>【</w:t>
      </w:r>
      <w:r>
        <w:rPr>
          <w:b/>
        </w:rPr>
        <w:t>Content</w:t>
      </w:r>
      <w:r>
        <w:rPr>
          <w:rFonts w:hint="eastAsia"/>
          <w:b/>
        </w:rPr>
        <w:t>中】请求报文示例：</w:t>
      </w:r>
    </w:p>
    <w:p>
      <w:pPr>
        <w:autoSpaceDE w:val="0"/>
        <w:autoSpaceDN w:val="0"/>
        <w:adjustRightInd w:val="0"/>
        <w:spacing w:line="360" w:lineRule="auto"/>
        <w:ind w:left="210" w:leftChars="10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REQUEST_HZDZ</w:t>
      </w:r>
      <w:r>
        <w:rPr>
          <w:rFonts w:hint="eastAsia" w:ascii="宋体" w:hAnsi="宋体" w:cs="新宋体"/>
          <w:color w:val="0000FF"/>
          <w:kern w:val="0"/>
          <w:sz w:val="18"/>
          <w:szCs w:val="18"/>
        </w:rPr>
        <w:t xml:space="preserve"> </w:t>
      </w:r>
      <w:r>
        <w:rPr>
          <w:rFonts w:hint="eastAsia" w:ascii="宋体" w:hAnsi="宋体" w:cs="新宋体"/>
          <w:color w:val="FF0000"/>
          <w:kern w:val="0"/>
          <w:sz w:val="18"/>
          <w:szCs w:val="18"/>
        </w:rPr>
        <w:t>class</w:t>
      </w:r>
      <w:r>
        <w:rPr>
          <w:rFonts w:hint="eastAsia" w:ascii="宋体" w:hAnsi="宋体" w:cs="新宋体"/>
          <w:color w:val="0000FF"/>
          <w:kern w:val="0"/>
          <w:sz w:val="18"/>
          <w:szCs w:val="18"/>
        </w:rPr>
        <w:t>=</w:t>
      </w:r>
      <w:r>
        <w:rPr>
          <w:rFonts w:hint="eastAsia" w:ascii="宋体" w:hAnsi="宋体" w:cs="新宋体"/>
          <w:kern w:val="0"/>
          <w:sz w:val="18"/>
          <w:szCs w:val="18"/>
        </w:rPr>
        <w:t>"</w:t>
      </w:r>
      <w:r>
        <w:rPr>
          <w:rFonts w:hint="eastAsia" w:ascii="宋体" w:hAnsi="宋体" w:cs="新宋体"/>
          <w:color w:val="A31515"/>
          <w:kern w:val="0"/>
          <w:sz w:val="18"/>
          <w:szCs w:val="18"/>
        </w:rPr>
        <w:t>REQUEST_HZDZ</w:t>
      </w:r>
      <w:r>
        <w:rPr>
          <w:rFonts w:hint="eastAsia" w:ascii="宋体" w:hAnsi="宋体" w:cs="新宋体"/>
          <w:kern w:val="0"/>
          <w:sz w:val="18"/>
          <w:szCs w:val="18"/>
        </w:rPr>
        <w:t>"</w:t>
      </w:r>
      <w:r>
        <w:rPr>
          <w:rFonts w:hint="eastAsia" w:ascii="宋体" w:hAnsi="宋体" w:cs="新宋体"/>
          <w:color w:val="0000FF"/>
          <w:kern w:val="0"/>
          <w:sz w:val="18"/>
          <w:szCs w:val="18"/>
        </w:rPr>
        <w:t>&gt;</w:t>
      </w:r>
    </w:p>
    <w:p>
      <w:pPr>
        <w:autoSpaceDE w:val="0"/>
        <w:autoSpaceDN w:val="0"/>
        <w:adjustRightInd w:val="0"/>
        <w:spacing w:line="360" w:lineRule="auto"/>
        <w:ind w:left="420" w:leftChars="200" w:firstLine="21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HZDZQQLSH</w:t>
      </w:r>
      <w:r>
        <w:rPr>
          <w:rFonts w:hint="eastAsia" w:ascii="宋体" w:hAnsi="宋体" w:cs="新宋体"/>
          <w:color w:val="0000FF"/>
          <w:kern w:val="0"/>
          <w:sz w:val="18"/>
          <w:szCs w:val="18"/>
        </w:rPr>
        <w:t>&gt;</w:t>
      </w:r>
      <w:r>
        <w:rPr>
          <w:rFonts w:hint="eastAsia" w:ascii="宋体" w:hAnsi="宋体" w:cs="新宋体"/>
          <w:kern w:val="0"/>
          <w:sz w:val="18"/>
          <w:szCs w:val="18"/>
        </w:rPr>
        <w:t>汇总对账请求唯一流水号</w:t>
      </w:r>
      <w:r>
        <w:rPr>
          <w:rFonts w:hint="eastAsia" w:ascii="宋体" w:hAnsi="宋体" w:cs="新宋体"/>
          <w:color w:val="0000FF"/>
          <w:kern w:val="0"/>
          <w:sz w:val="18"/>
          <w:szCs w:val="18"/>
        </w:rPr>
        <w:t>&lt;/</w:t>
      </w:r>
      <w:r>
        <w:rPr>
          <w:rFonts w:hint="eastAsia" w:ascii="宋体" w:hAnsi="宋体" w:cs="新宋体"/>
          <w:color w:val="A31515"/>
          <w:kern w:val="0"/>
          <w:sz w:val="18"/>
          <w:szCs w:val="18"/>
        </w:rPr>
        <w:t>HZDZQQLSH</w:t>
      </w:r>
      <w:r>
        <w:rPr>
          <w:rFonts w:hint="eastAsia" w:ascii="宋体" w:hAnsi="宋体" w:cs="新宋体"/>
          <w:color w:val="0000FF"/>
          <w:kern w:val="0"/>
          <w:sz w:val="18"/>
          <w:szCs w:val="18"/>
        </w:rPr>
        <w:t>&gt;</w:t>
      </w:r>
    </w:p>
    <w:p>
      <w:pPr>
        <w:autoSpaceDE w:val="0"/>
        <w:autoSpaceDN w:val="0"/>
        <w:adjustRightInd w:val="0"/>
        <w:spacing w:line="360" w:lineRule="auto"/>
        <w:ind w:left="420" w:leftChars="200" w:firstLine="21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XTBM</w:t>
      </w:r>
      <w:r>
        <w:rPr>
          <w:rFonts w:hint="eastAsia" w:ascii="宋体" w:hAnsi="宋体" w:cs="新宋体"/>
          <w:color w:val="0000FF"/>
          <w:kern w:val="0"/>
          <w:sz w:val="18"/>
          <w:szCs w:val="18"/>
        </w:rPr>
        <w:t>&gt;</w:t>
      </w:r>
      <w:r>
        <w:rPr>
          <w:rFonts w:hint="eastAsia" w:ascii="宋体" w:hAnsi="宋体" w:cs="新宋体"/>
          <w:kern w:val="0"/>
          <w:sz w:val="18"/>
          <w:szCs w:val="18"/>
        </w:rPr>
        <w:t>系统编码</w:t>
      </w:r>
      <w:r>
        <w:rPr>
          <w:rFonts w:hint="eastAsia" w:ascii="宋体" w:hAnsi="宋体" w:cs="新宋体"/>
          <w:color w:val="0000FF"/>
          <w:kern w:val="0"/>
          <w:sz w:val="18"/>
          <w:szCs w:val="18"/>
        </w:rPr>
        <w:t>&lt;/</w:t>
      </w:r>
      <w:r>
        <w:rPr>
          <w:rFonts w:hint="eastAsia" w:ascii="宋体" w:hAnsi="宋体" w:cs="新宋体"/>
          <w:color w:val="A31515"/>
          <w:kern w:val="0"/>
          <w:sz w:val="18"/>
          <w:szCs w:val="18"/>
        </w:rPr>
        <w:t>XPTBM</w:t>
      </w:r>
      <w:r>
        <w:rPr>
          <w:rFonts w:hint="eastAsia" w:ascii="宋体" w:hAnsi="宋体" w:cs="新宋体"/>
          <w:color w:val="0000FF"/>
          <w:kern w:val="0"/>
          <w:sz w:val="18"/>
          <w:szCs w:val="18"/>
        </w:rPr>
        <w:t>&gt;</w:t>
      </w:r>
    </w:p>
    <w:p>
      <w:pPr>
        <w:autoSpaceDE w:val="0"/>
        <w:autoSpaceDN w:val="0"/>
        <w:adjustRightInd w:val="0"/>
        <w:spacing w:line="360" w:lineRule="auto"/>
        <w:ind w:left="420" w:leftChars="200" w:firstLine="210"/>
        <w:rPr>
          <w:rFonts w:ascii="宋体" w:hAnsi="宋体" w:cs="新宋体"/>
          <w:color w:val="0000FF"/>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DZRQ</w:t>
      </w:r>
      <w:r>
        <w:rPr>
          <w:rFonts w:hint="eastAsia" w:ascii="宋体" w:hAnsi="宋体" w:cs="新宋体"/>
          <w:color w:val="0000FF"/>
          <w:kern w:val="0"/>
          <w:sz w:val="18"/>
          <w:szCs w:val="18"/>
        </w:rPr>
        <w:t>&gt;</w:t>
      </w:r>
      <w:r>
        <w:rPr>
          <w:rFonts w:hint="eastAsia" w:ascii="宋体" w:hAnsi="宋体" w:cs="新宋体"/>
          <w:kern w:val="0"/>
          <w:sz w:val="18"/>
          <w:szCs w:val="18"/>
        </w:rPr>
        <w:t>对账日期</w:t>
      </w:r>
      <w:r>
        <w:rPr>
          <w:rFonts w:hint="eastAsia" w:ascii="宋体" w:hAnsi="宋体" w:cs="新宋体"/>
          <w:color w:val="0000FF"/>
          <w:kern w:val="0"/>
          <w:sz w:val="18"/>
          <w:szCs w:val="18"/>
        </w:rPr>
        <w:t>&lt;/</w:t>
      </w:r>
      <w:r>
        <w:rPr>
          <w:rFonts w:hint="eastAsia" w:ascii="宋体" w:hAnsi="宋体" w:cs="新宋体"/>
          <w:color w:val="A31515"/>
          <w:kern w:val="0"/>
          <w:sz w:val="18"/>
          <w:szCs w:val="18"/>
        </w:rPr>
        <w:t>DZRQ</w:t>
      </w:r>
      <w:r>
        <w:rPr>
          <w:rFonts w:hint="eastAsia" w:ascii="宋体" w:hAnsi="宋体" w:cs="新宋体"/>
          <w:color w:val="0000FF"/>
          <w:kern w:val="0"/>
          <w:sz w:val="18"/>
          <w:szCs w:val="18"/>
        </w:rPr>
        <w:t>&gt;</w:t>
      </w:r>
    </w:p>
    <w:p>
      <w:pPr>
        <w:autoSpaceDE w:val="0"/>
        <w:autoSpaceDN w:val="0"/>
        <w:adjustRightInd w:val="0"/>
        <w:spacing w:line="360" w:lineRule="auto"/>
        <w:ind w:left="420" w:leftChars="200" w:firstLine="210"/>
        <w:rPr>
          <w:rFonts w:ascii="宋体" w:hAnsi="宋体" w:cs="新宋体"/>
          <w:color w:val="0000FF"/>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NSRSBH</w:t>
      </w:r>
      <w:r>
        <w:rPr>
          <w:rFonts w:hint="eastAsia" w:ascii="宋体" w:hAnsi="宋体" w:cs="新宋体"/>
          <w:color w:val="0000FF"/>
          <w:kern w:val="0"/>
          <w:sz w:val="18"/>
          <w:szCs w:val="18"/>
        </w:rPr>
        <w:t>&gt;</w:t>
      </w:r>
      <w:r>
        <w:rPr>
          <w:rFonts w:hint="eastAsia" w:ascii="宋体" w:hAnsi="宋体" w:cs="新宋体"/>
          <w:kern w:val="0"/>
          <w:sz w:val="18"/>
          <w:szCs w:val="18"/>
        </w:rPr>
        <w:t>纳税人识别号</w:t>
      </w:r>
      <w:r>
        <w:rPr>
          <w:rFonts w:hint="eastAsia" w:ascii="宋体" w:hAnsi="宋体" w:cs="新宋体"/>
          <w:color w:val="0000FF"/>
          <w:kern w:val="0"/>
          <w:sz w:val="18"/>
          <w:szCs w:val="18"/>
        </w:rPr>
        <w:t>&lt;/</w:t>
      </w:r>
      <w:r>
        <w:rPr>
          <w:rFonts w:hint="eastAsia" w:ascii="宋体" w:hAnsi="宋体" w:cs="新宋体"/>
          <w:color w:val="A31515"/>
          <w:kern w:val="0"/>
          <w:sz w:val="18"/>
          <w:szCs w:val="18"/>
        </w:rPr>
        <w:t>NSRSBH</w:t>
      </w:r>
      <w:r>
        <w:rPr>
          <w:rFonts w:hint="eastAsia" w:ascii="宋体" w:hAnsi="宋体" w:cs="新宋体"/>
          <w:color w:val="0000FF"/>
          <w:kern w:val="0"/>
          <w:sz w:val="18"/>
          <w:szCs w:val="18"/>
        </w:rPr>
        <w:t>&gt;</w:t>
      </w:r>
    </w:p>
    <w:p>
      <w:pPr>
        <w:autoSpaceDE w:val="0"/>
        <w:autoSpaceDN w:val="0"/>
        <w:adjustRightInd w:val="0"/>
        <w:spacing w:line="360" w:lineRule="auto"/>
        <w:ind w:left="210" w:leftChars="100"/>
        <w:rPr>
          <w:rFonts w:ascii="宋体" w:hAnsi="宋体" w:cs="新宋体"/>
          <w:color w:val="0000FF"/>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REQUEST_HZDZ</w:t>
      </w:r>
      <w:r>
        <w:rPr>
          <w:rFonts w:hint="eastAsia" w:ascii="宋体" w:hAnsi="宋体" w:cs="新宋体"/>
          <w:color w:val="0000FF"/>
          <w:kern w:val="0"/>
          <w:sz w:val="18"/>
          <w:szCs w:val="18"/>
        </w:rPr>
        <w:t>&gt;</w:t>
      </w:r>
    </w:p>
    <w:p>
      <w:pPr>
        <w:autoSpaceDE w:val="0"/>
        <w:autoSpaceDN w:val="0"/>
        <w:adjustRightInd w:val="0"/>
        <w:spacing w:line="360" w:lineRule="auto"/>
        <w:ind w:left="210" w:leftChars="100"/>
        <w:rPr>
          <w:rFonts w:ascii="宋体" w:hAnsi="宋体" w:cs="新宋体"/>
          <w:color w:val="0000FF"/>
          <w:kern w:val="0"/>
          <w:sz w:val="18"/>
          <w:szCs w:val="18"/>
        </w:rPr>
      </w:pPr>
    </w:p>
    <w:p>
      <w:pPr>
        <w:numPr>
          <w:ilvl w:val="0"/>
          <w:numId w:val="6"/>
        </w:numPr>
        <w:spacing w:line="360" w:lineRule="auto"/>
        <w:rPr>
          <w:rFonts w:ascii="Calibri" w:hAnsi="Calibri"/>
          <w:b/>
        </w:rPr>
      </w:pPr>
      <w:r>
        <w:rPr>
          <w:rFonts w:hint="eastAsia"/>
          <w:b/>
        </w:rPr>
        <w:t>【</w:t>
      </w:r>
      <w:r>
        <w:rPr>
          <w:b/>
        </w:rPr>
        <w:t>Content</w:t>
      </w:r>
      <w:r>
        <w:rPr>
          <w:rFonts w:hint="eastAsia"/>
          <w:b/>
        </w:rPr>
        <w:t>中】请求数据项说明</w:t>
      </w:r>
    </w:p>
    <w:p>
      <w:pPr>
        <w:spacing w:line="360" w:lineRule="auto"/>
        <w:rPr>
          <w:b/>
        </w:rPr>
      </w:pPr>
    </w:p>
    <w:tbl>
      <w:tblPr>
        <w:tblStyle w:val="34"/>
        <w:tblW w:w="104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435"/>
        <w:gridCol w:w="2142"/>
        <w:gridCol w:w="1701"/>
        <w:gridCol w:w="851"/>
        <w:gridCol w:w="834"/>
        <w:gridCol w:w="2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序号</w:t>
            </w:r>
          </w:p>
        </w:tc>
        <w:tc>
          <w:tcPr>
            <w:tcW w:w="1435"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数据项</w:t>
            </w:r>
          </w:p>
        </w:tc>
        <w:tc>
          <w:tcPr>
            <w:tcW w:w="2142"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数据项名称</w:t>
            </w:r>
          </w:p>
        </w:tc>
        <w:tc>
          <w:tcPr>
            <w:tcW w:w="1701"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类型</w:t>
            </w:r>
          </w:p>
        </w:tc>
        <w:tc>
          <w:tcPr>
            <w:tcW w:w="851"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长度</w:t>
            </w:r>
          </w:p>
        </w:tc>
        <w:tc>
          <w:tcPr>
            <w:tcW w:w="834"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必须</w:t>
            </w:r>
          </w:p>
        </w:tc>
        <w:tc>
          <w:tcPr>
            <w:tcW w:w="2676"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1.</w:t>
            </w:r>
          </w:p>
        </w:tc>
        <w:tc>
          <w:tcPr>
            <w:tcW w:w="143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HZDZQQLSH</w:t>
            </w:r>
          </w:p>
        </w:tc>
        <w:tc>
          <w:tcPr>
            <w:tcW w:w="214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汇总对账请求流水号</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w:t>
            </w:r>
          </w:p>
        </w:tc>
        <w:tc>
          <w:tcPr>
            <w:tcW w:w="8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2.</w:t>
            </w:r>
          </w:p>
        </w:tc>
        <w:tc>
          <w:tcPr>
            <w:tcW w:w="143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XTBM</w:t>
            </w:r>
          </w:p>
        </w:tc>
        <w:tc>
          <w:tcPr>
            <w:tcW w:w="214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系统编码</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color w:val="000000"/>
              </w:rP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8</w:t>
            </w:r>
          </w:p>
        </w:tc>
        <w:tc>
          <w:tcPr>
            <w:tcW w:w="8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3.</w:t>
            </w:r>
          </w:p>
        </w:tc>
        <w:tc>
          <w:tcPr>
            <w:tcW w:w="143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DZRQ</w:t>
            </w:r>
          </w:p>
        </w:tc>
        <w:tc>
          <w:tcPr>
            <w:tcW w:w="214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对账日期</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rPr>
                <w:color w:val="000000"/>
              </w:rPr>
              <w:t>DATE</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8</w:t>
            </w:r>
          </w:p>
        </w:tc>
        <w:tc>
          <w:tcPr>
            <w:tcW w:w="8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4.</w:t>
            </w:r>
          </w:p>
        </w:tc>
        <w:tc>
          <w:tcPr>
            <w:tcW w:w="143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NSRSBH</w:t>
            </w:r>
          </w:p>
        </w:tc>
        <w:tc>
          <w:tcPr>
            <w:tcW w:w="214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税号</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w:t>
            </w:r>
          </w:p>
        </w:tc>
        <w:tc>
          <w:tcPr>
            <w:tcW w:w="8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p>
        </w:tc>
      </w:tr>
    </w:tbl>
    <w:p>
      <w:pPr>
        <w:spacing w:line="360" w:lineRule="auto"/>
        <w:rPr>
          <w:rFonts w:ascii="Calibri" w:hAnsi="Calibri"/>
        </w:rPr>
      </w:pPr>
    </w:p>
    <w:p>
      <w:pPr>
        <w:spacing w:line="360" w:lineRule="auto"/>
      </w:pPr>
      <w:r>
        <w:rPr>
          <w:rFonts w:hint="eastAsia"/>
        </w:rPr>
        <w:t>返回报文示例与数据项说明</w:t>
      </w:r>
    </w:p>
    <w:p>
      <w:pPr>
        <w:numPr>
          <w:ilvl w:val="0"/>
          <w:numId w:val="6"/>
        </w:numPr>
        <w:spacing w:line="360" w:lineRule="auto"/>
        <w:rPr>
          <w:b/>
        </w:rPr>
      </w:pPr>
      <w:r>
        <w:rPr>
          <w:rFonts w:hint="eastAsia"/>
          <w:b/>
        </w:rPr>
        <w:t>【</w:t>
      </w:r>
      <w:r>
        <w:rPr>
          <w:b/>
        </w:rPr>
        <w:t>Content</w:t>
      </w:r>
      <w:r>
        <w:rPr>
          <w:rFonts w:hint="eastAsia"/>
          <w:b/>
        </w:rPr>
        <w:t>中】返回报文示例：</w:t>
      </w:r>
    </w:p>
    <w:p>
      <w:pPr>
        <w:spacing w:line="360" w:lineRule="auto"/>
      </w:pPr>
    </w:p>
    <w:p>
      <w:pPr>
        <w:autoSpaceDE w:val="0"/>
        <w:autoSpaceDN w:val="0"/>
        <w:adjustRightInd w:val="0"/>
        <w:spacing w:line="360" w:lineRule="auto"/>
        <w:ind w:firstLine="420"/>
        <w:rPr>
          <w:rFonts w:ascii="宋体" w:hAnsi="宋体" w:cs="新宋体"/>
          <w:kern w:val="0"/>
          <w:sz w:val="18"/>
          <w:szCs w:val="18"/>
        </w:rPr>
      </w:pPr>
      <w:r>
        <w:rPr>
          <w:rFonts w:hint="eastAsia" w:ascii="宋体" w:hAnsi="宋体" w:cs="新宋体"/>
          <w:color w:val="0000FF"/>
          <w:kern w:val="0"/>
          <w:sz w:val="18"/>
          <w:szCs w:val="18"/>
        </w:rPr>
        <w:t>&lt;</w:t>
      </w:r>
      <w:r>
        <w:t xml:space="preserve"> </w:t>
      </w:r>
      <w:r>
        <w:rPr>
          <w:rFonts w:hint="eastAsia" w:ascii="宋体" w:hAnsi="宋体" w:cs="新宋体"/>
          <w:color w:val="A31515"/>
          <w:kern w:val="0"/>
          <w:sz w:val="18"/>
          <w:szCs w:val="18"/>
        </w:rPr>
        <w:t xml:space="preserve">RESPONSE_HZDZ </w:t>
      </w:r>
      <w:r>
        <w:rPr>
          <w:rFonts w:hint="eastAsia" w:ascii="宋体" w:hAnsi="宋体" w:cs="新宋体"/>
          <w:color w:val="FF0000"/>
          <w:kern w:val="0"/>
          <w:sz w:val="18"/>
          <w:szCs w:val="18"/>
        </w:rPr>
        <w:t>class</w:t>
      </w:r>
      <w:r>
        <w:rPr>
          <w:rFonts w:hint="eastAsia" w:ascii="宋体" w:hAnsi="宋体" w:cs="新宋体"/>
          <w:color w:val="0000FF"/>
          <w:kern w:val="0"/>
          <w:sz w:val="18"/>
          <w:szCs w:val="18"/>
        </w:rPr>
        <w:t>=</w:t>
      </w:r>
      <w:r>
        <w:rPr>
          <w:rFonts w:hint="eastAsia" w:ascii="宋体" w:hAnsi="宋体" w:cs="新宋体"/>
          <w:kern w:val="0"/>
          <w:sz w:val="18"/>
          <w:szCs w:val="18"/>
        </w:rPr>
        <w:t>"</w:t>
      </w:r>
      <w:r>
        <w:rPr>
          <w:rFonts w:hint="eastAsia" w:ascii="宋体" w:hAnsi="宋体" w:cs="新宋体"/>
          <w:color w:val="0000FF"/>
          <w:kern w:val="0"/>
          <w:sz w:val="18"/>
          <w:szCs w:val="18"/>
        </w:rPr>
        <w:t>RESPONSE_HZDZ</w:t>
      </w:r>
      <w:r>
        <w:rPr>
          <w:rFonts w:hint="eastAsia" w:ascii="宋体" w:hAnsi="宋体" w:cs="新宋体"/>
          <w:kern w:val="0"/>
          <w:sz w:val="18"/>
          <w:szCs w:val="18"/>
        </w:rPr>
        <w:t>"</w:t>
      </w:r>
      <w:r>
        <w:rPr>
          <w:rFonts w:hint="eastAsia" w:ascii="宋体" w:hAnsi="宋体" w:cs="新宋体"/>
          <w:color w:val="0000FF"/>
          <w:kern w:val="0"/>
          <w:sz w:val="18"/>
          <w:szCs w:val="18"/>
        </w:rPr>
        <w:t>&gt;</w:t>
      </w:r>
    </w:p>
    <w:p>
      <w:pPr>
        <w:autoSpaceDE w:val="0"/>
        <w:autoSpaceDN w:val="0"/>
        <w:adjustRightInd w:val="0"/>
        <w:spacing w:line="360" w:lineRule="auto"/>
        <w:rPr>
          <w:rFonts w:ascii="宋体" w:hAnsi="宋体" w:cs="新宋体"/>
          <w:color w:val="0000FF"/>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HZDZQQLSH</w:t>
      </w:r>
      <w:r>
        <w:rPr>
          <w:rFonts w:hint="eastAsia" w:ascii="宋体" w:hAnsi="宋体" w:cs="新宋体"/>
          <w:color w:val="0000FF"/>
          <w:kern w:val="0"/>
          <w:sz w:val="18"/>
          <w:szCs w:val="18"/>
        </w:rPr>
        <w:t>&gt;</w:t>
      </w:r>
      <w:r>
        <w:rPr>
          <w:rFonts w:hint="eastAsia" w:ascii="宋体" w:hAnsi="宋体" w:cs="新宋体"/>
          <w:kern w:val="0"/>
          <w:sz w:val="18"/>
          <w:szCs w:val="18"/>
        </w:rPr>
        <w:t>汇总对账请求唯一流水号</w:t>
      </w:r>
      <w:r>
        <w:rPr>
          <w:rFonts w:hint="eastAsia" w:ascii="宋体" w:hAnsi="宋体" w:cs="新宋体"/>
          <w:color w:val="0000FF"/>
          <w:kern w:val="0"/>
          <w:sz w:val="18"/>
          <w:szCs w:val="18"/>
        </w:rPr>
        <w:t>&lt;/</w:t>
      </w:r>
      <w:r>
        <w:rPr>
          <w:rFonts w:hint="eastAsia" w:ascii="宋体" w:hAnsi="宋体" w:cs="新宋体"/>
          <w:color w:val="A31515"/>
          <w:kern w:val="0"/>
          <w:sz w:val="18"/>
          <w:szCs w:val="18"/>
        </w:rPr>
        <w:t>HZDZQQLSH</w:t>
      </w:r>
      <w:r>
        <w:rPr>
          <w:rFonts w:hint="eastAsia" w:ascii="宋体" w:hAnsi="宋体" w:cs="新宋体"/>
          <w:color w:val="0000FF"/>
          <w:kern w:val="0"/>
          <w:sz w:val="18"/>
          <w:szCs w:val="18"/>
        </w:rPr>
        <w:t>&gt;</w:t>
      </w:r>
    </w:p>
    <w:p>
      <w:pPr>
        <w:autoSpaceDE w:val="0"/>
        <w:autoSpaceDN w:val="0"/>
        <w:adjustRightInd w:val="0"/>
        <w:spacing w:line="360" w:lineRule="auto"/>
        <w:ind w:left="420" w:leftChars="200" w:firstLine="21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XTBM</w:t>
      </w:r>
      <w:r>
        <w:rPr>
          <w:rFonts w:hint="eastAsia" w:ascii="宋体" w:hAnsi="宋体" w:cs="新宋体"/>
          <w:color w:val="0000FF"/>
          <w:kern w:val="0"/>
          <w:sz w:val="18"/>
          <w:szCs w:val="18"/>
        </w:rPr>
        <w:t>&gt;</w:t>
      </w:r>
      <w:r>
        <w:rPr>
          <w:rFonts w:hint="eastAsia" w:ascii="宋体" w:hAnsi="宋体" w:cs="新宋体"/>
          <w:kern w:val="0"/>
          <w:sz w:val="18"/>
          <w:szCs w:val="18"/>
        </w:rPr>
        <w:t>系统编码</w:t>
      </w:r>
      <w:r>
        <w:rPr>
          <w:rFonts w:hint="eastAsia" w:ascii="宋体" w:hAnsi="宋体" w:cs="新宋体"/>
          <w:color w:val="0000FF"/>
          <w:kern w:val="0"/>
          <w:sz w:val="18"/>
          <w:szCs w:val="18"/>
        </w:rPr>
        <w:t>&lt;/</w:t>
      </w:r>
      <w:r>
        <w:rPr>
          <w:rFonts w:hint="eastAsia" w:ascii="宋体" w:hAnsi="宋体" w:cs="新宋体"/>
          <w:color w:val="A31515"/>
          <w:kern w:val="0"/>
          <w:sz w:val="18"/>
          <w:szCs w:val="18"/>
        </w:rPr>
        <w:t>XPTBM</w:t>
      </w:r>
      <w:r>
        <w:rPr>
          <w:rFonts w:hint="eastAsia" w:ascii="宋体" w:hAnsi="宋体" w:cs="新宋体"/>
          <w:color w:val="0000FF"/>
          <w:kern w:val="0"/>
          <w:sz w:val="18"/>
          <w:szCs w:val="18"/>
        </w:rPr>
        <w:t>&gt;</w:t>
      </w:r>
    </w:p>
    <w:p>
      <w:pPr>
        <w:autoSpaceDE w:val="0"/>
        <w:autoSpaceDN w:val="0"/>
        <w:adjustRightInd w:val="0"/>
        <w:spacing w:line="360" w:lineRule="auto"/>
        <w:ind w:left="420" w:leftChars="200" w:firstLine="210"/>
        <w:rPr>
          <w:rFonts w:ascii="宋体" w:hAnsi="宋体" w:cs="新宋体"/>
          <w:color w:val="0000FF"/>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DZRQ</w:t>
      </w:r>
      <w:r>
        <w:rPr>
          <w:rFonts w:hint="eastAsia" w:ascii="宋体" w:hAnsi="宋体" w:cs="新宋体"/>
          <w:color w:val="0000FF"/>
          <w:kern w:val="0"/>
          <w:sz w:val="18"/>
          <w:szCs w:val="18"/>
        </w:rPr>
        <w:t>&gt;</w:t>
      </w:r>
      <w:r>
        <w:rPr>
          <w:rFonts w:hint="eastAsia" w:ascii="宋体" w:hAnsi="宋体" w:cs="新宋体"/>
          <w:kern w:val="0"/>
          <w:sz w:val="18"/>
          <w:szCs w:val="18"/>
        </w:rPr>
        <w:t>对账日期</w:t>
      </w:r>
      <w:r>
        <w:rPr>
          <w:rFonts w:hint="eastAsia" w:ascii="宋体" w:hAnsi="宋体" w:cs="新宋体"/>
          <w:color w:val="0000FF"/>
          <w:kern w:val="0"/>
          <w:sz w:val="18"/>
          <w:szCs w:val="18"/>
        </w:rPr>
        <w:t>&lt;/</w:t>
      </w:r>
      <w:r>
        <w:rPr>
          <w:rFonts w:hint="eastAsia" w:ascii="宋体" w:hAnsi="宋体" w:cs="新宋体"/>
          <w:color w:val="A31515"/>
          <w:kern w:val="0"/>
          <w:sz w:val="18"/>
          <w:szCs w:val="18"/>
        </w:rPr>
        <w:t>DZRQ</w:t>
      </w:r>
      <w:r>
        <w:rPr>
          <w:rFonts w:hint="eastAsia" w:ascii="宋体" w:hAnsi="宋体" w:cs="新宋体"/>
          <w:color w:val="0000FF"/>
          <w:kern w:val="0"/>
          <w:sz w:val="18"/>
          <w:szCs w:val="18"/>
        </w:rPr>
        <w:t>&gt;</w:t>
      </w:r>
    </w:p>
    <w:p>
      <w:pPr>
        <w:autoSpaceDE w:val="0"/>
        <w:autoSpaceDN w:val="0"/>
        <w:adjustRightInd w:val="0"/>
        <w:spacing w:line="360" w:lineRule="auto"/>
        <w:ind w:left="420" w:leftChars="200" w:firstLine="210"/>
        <w:rPr>
          <w:rFonts w:ascii="宋体" w:hAnsi="宋体" w:cs="新宋体"/>
          <w:color w:val="0000FF"/>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NSRSBH</w:t>
      </w:r>
      <w:r>
        <w:rPr>
          <w:rFonts w:hint="eastAsia" w:ascii="宋体" w:hAnsi="宋体" w:cs="新宋体"/>
          <w:color w:val="0000FF"/>
          <w:kern w:val="0"/>
          <w:sz w:val="18"/>
          <w:szCs w:val="18"/>
        </w:rPr>
        <w:t>&gt;</w:t>
      </w:r>
      <w:r>
        <w:rPr>
          <w:rFonts w:hint="eastAsia" w:ascii="宋体" w:hAnsi="宋体" w:cs="新宋体"/>
          <w:kern w:val="0"/>
          <w:sz w:val="18"/>
          <w:szCs w:val="18"/>
        </w:rPr>
        <w:t>纳税人识别号</w:t>
      </w:r>
      <w:r>
        <w:rPr>
          <w:rFonts w:hint="eastAsia" w:ascii="宋体" w:hAnsi="宋体" w:cs="新宋体"/>
          <w:color w:val="0000FF"/>
          <w:kern w:val="0"/>
          <w:sz w:val="18"/>
          <w:szCs w:val="18"/>
        </w:rPr>
        <w:t>&lt;/</w:t>
      </w:r>
      <w:r>
        <w:rPr>
          <w:rFonts w:hint="eastAsia" w:ascii="宋体" w:hAnsi="宋体" w:cs="新宋体"/>
          <w:color w:val="A31515"/>
          <w:kern w:val="0"/>
          <w:sz w:val="18"/>
          <w:szCs w:val="18"/>
        </w:rPr>
        <w:t>NSRSBH</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&lt;HZDZ_XXS class="HZDZ_XX;" size="1"&gt;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&lt;HZDZ_XX&gt; </w:t>
      </w:r>
    </w:p>
    <w:p>
      <w:pPr>
        <w:autoSpaceDE w:val="0"/>
        <w:autoSpaceDN w:val="0"/>
        <w:adjustRightInd w:val="0"/>
        <w:spacing w:line="360" w:lineRule="auto"/>
        <w:ind w:left="840" w:firstLine="42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FPZL_DM</w:t>
      </w:r>
      <w:r>
        <w:rPr>
          <w:rFonts w:hint="eastAsia" w:ascii="宋体" w:hAnsi="宋体" w:cs="新宋体"/>
          <w:color w:val="0000FF"/>
          <w:kern w:val="0"/>
          <w:sz w:val="18"/>
          <w:szCs w:val="18"/>
        </w:rPr>
        <w:t>&gt;</w:t>
      </w:r>
      <w:r>
        <w:rPr>
          <w:rFonts w:hint="eastAsia" w:ascii="宋体" w:hAnsi="宋体" w:cs="新宋体"/>
          <w:kern w:val="0"/>
          <w:sz w:val="18"/>
          <w:szCs w:val="18"/>
        </w:rPr>
        <w:t>发票种类代码</w:t>
      </w:r>
      <w:r>
        <w:rPr>
          <w:rFonts w:hint="eastAsia" w:ascii="宋体" w:hAnsi="宋体" w:cs="新宋体"/>
          <w:color w:val="0000FF"/>
          <w:kern w:val="0"/>
          <w:sz w:val="18"/>
          <w:szCs w:val="18"/>
        </w:rPr>
        <w:t>&lt;/</w:t>
      </w:r>
      <w:r>
        <w:rPr>
          <w:rFonts w:hint="eastAsia" w:ascii="宋体" w:hAnsi="宋体" w:cs="新宋体"/>
          <w:color w:val="A31515"/>
          <w:kern w:val="0"/>
          <w:sz w:val="18"/>
          <w:szCs w:val="18"/>
        </w:rPr>
        <w:t>FPZL_DM</w:t>
      </w:r>
      <w:r>
        <w:rPr>
          <w:rFonts w:hint="eastAsia" w:ascii="宋体" w:hAnsi="宋体" w:cs="新宋体"/>
          <w:color w:val="0000FF"/>
          <w:kern w:val="0"/>
          <w:sz w:val="18"/>
          <w:szCs w:val="18"/>
        </w:rPr>
        <w:t>&gt;</w:t>
      </w:r>
    </w:p>
    <w:p>
      <w:pPr>
        <w:autoSpaceDE w:val="0"/>
        <w:autoSpaceDN w:val="0"/>
        <w:adjustRightInd w:val="0"/>
        <w:spacing w:line="360" w:lineRule="auto"/>
        <w:ind w:left="840" w:firstLine="420"/>
        <w:rPr>
          <w:rFonts w:ascii="宋体" w:hAnsi="宋体" w:cs="新宋体"/>
          <w:color w:val="0000FF"/>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KPLX</w:t>
      </w:r>
      <w:r>
        <w:rPr>
          <w:rFonts w:hint="eastAsia" w:ascii="宋体" w:hAnsi="宋体" w:cs="新宋体"/>
          <w:color w:val="0000FF"/>
          <w:kern w:val="0"/>
          <w:sz w:val="18"/>
          <w:szCs w:val="18"/>
        </w:rPr>
        <w:t>&gt;</w:t>
      </w:r>
      <w:r>
        <w:rPr>
          <w:rFonts w:hint="eastAsia" w:ascii="宋体" w:hAnsi="宋体" w:cs="新宋体"/>
          <w:kern w:val="0"/>
          <w:sz w:val="18"/>
          <w:szCs w:val="18"/>
        </w:rPr>
        <w:t>开票类型</w:t>
      </w:r>
      <w:r>
        <w:rPr>
          <w:rFonts w:hint="eastAsia" w:ascii="宋体" w:hAnsi="宋体" w:cs="新宋体"/>
          <w:color w:val="0000FF"/>
          <w:kern w:val="0"/>
          <w:sz w:val="18"/>
          <w:szCs w:val="18"/>
        </w:rPr>
        <w:t>&lt;/</w:t>
      </w:r>
      <w:r>
        <w:rPr>
          <w:rFonts w:hint="eastAsia" w:ascii="宋体" w:hAnsi="宋体" w:cs="新宋体"/>
          <w:color w:val="A31515"/>
          <w:kern w:val="0"/>
          <w:sz w:val="18"/>
          <w:szCs w:val="18"/>
        </w:rPr>
        <w:t>KPLX</w:t>
      </w:r>
      <w:r>
        <w:rPr>
          <w:rFonts w:hint="eastAsia" w:ascii="宋体" w:hAnsi="宋体" w:cs="新宋体"/>
          <w:color w:val="0000FF"/>
          <w:kern w:val="0"/>
          <w:sz w:val="18"/>
          <w:szCs w:val="18"/>
        </w:rPr>
        <w:t>&gt;</w:t>
      </w:r>
    </w:p>
    <w:p>
      <w:pPr>
        <w:autoSpaceDE w:val="0"/>
        <w:autoSpaceDN w:val="0"/>
        <w:adjustRightInd w:val="0"/>
        <w:spacing w:line="360" w:lineRule="auto"/>
        <w:ind w:left="840" w:firstLine="420"/>
        <w:rPr>
          <w:rFonts w:ascii="宋体" w:hAnsi="宋体" w:cs="新宋体"/>
          <w:color w:val="0000FF"/>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SL</w:t>
      </w:r>
      <w:r>
        <w:rPr>
          <w:rFonts w:hint="eastAsia" w:ascii="宋体" w:hAnsi="宋体" w:cs="新宋体"/>
          <w:color w:val="0000FF"/>
          <w:kern w:val="0"/>
          <w:sz w:val="18"/>
          <w:szCs w:val="18"/>
        </w:rPr>
        <w:t>&gt;</w:t>
      </w:r>
      <w:r>
        <w:rPr>
          <w:rFonts w:hint="eastAsia" w:ascii="宋体" w:hAnsi="宋体" w:cs="新宋体"/>
          <w:kern w:val="0"/>
          <w:sz w:val="18"/>
          <w:szCs w:val="18"/>
        </w:rPr>
        <w:t>发票张数</w:t>
      </w:r>
      <w:r>
        <w:rPr>
          <w:rFonts w:hint="eastAsia" w:ascii="宋体" w:hAnsi="宋体" w:cs="新宋体"/>
          <w:color w:val="0000FF"/>
          <w:kern w:val="0"/>
          <w:sz w:val="18"/>
          <w:szCs w:val="18"/>
        </w:rPr>
        <w:t>&lt;/</w:t>
      </w:r>
      <w:r>
        <w:rPr>
          <w:rFonts w:hint="eastAsia" w:ascii="宋体" w:hAnsi="宋体" w:cs="新宋体"/>
          <w:color w:val="A31515"/>
          <w:kern w:val="0"/>
          <w:sz w:val="18"/>
          <w:szCs w:val="18"/>
        </w:rPr>
        <w:t>SL</w:t>
      </w:r>
      <w:r>
        <w:rPr>
          <w:rFonts w:hint="eastAsia" w:ascii="宋体" w:hAnsi="宋体" w:cs="新宋体"/>
          <w:color w:val="0000FF"/>
          <w:kern w:val="0"/>
          <w:sz w:val="18"/>
          <w:szCs w:val="18"/>
        </w:rPr>
        <w:t>&gt;</w:t>
      </w:r>
    </w:p>
    <w:p>
      <w:pPr>
        <w:autoSpaceDE w:val="0"/>
        <w:autoSpaceDN w:val="0"/>
        <w:adjustRightInd w:val="0"/>
        <w:spacing w:line="360" w:lineRule="auto"/>
        <w:ind w:left="840" w:firstLine="420"/>
        <w:rPr>
          <w:rFonts w:ascii="宋体" w:hAnsi="宋体" w:cs="新宋体"/>
          <w:color w:val="0000FF"/>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HJBHSJE</w:t>
      </w:r>
      <w:r>
        <w:rPr>
          <w:rFonts w:hint="eastAsia" w:ascii="宋体" w:hAnsi="宋体" w:cs="新宋体"/>
          <w:color w:val="0000FF"/>
          <w:kern w:val="0"/>
          <w:sz w:val="18"/>
          <w:szCs w:val="18"/>
        </w:rPr>
        <w:t>&gt;</w:t>
      </w:r>
      <w:r>
        <w:rPr>
          <w:rFonts w:hint="eastAsia" w:ascii="宋体" w:hAnsi="宋体" w:cs="新宋体"/>
          <w:kern w:val="0"/>
          <w:sz w:val="18"/>
          <w:szCs w:val="18"/>
        </w:rPr>
        <w:t>不含税金额</w:t>
      </w:r>
      <w:r>
        <w:rPr>
          <w:rFonts w:hint="eastAsia" w:ascii="宋体" w:hAnsi="宋体" w:cs="新宋体"/>
          <w:color w:val="0000FF"/>
          <w:kern w:val="0"/>
          <w:sz w:val="18"/>
          <w:szCs w:val="18"/>
        </w:rPr>
        <w:t>&lt;/</w:t>
      </w:r>
      <w:r>
        <w:rPr>
          <w:rFonts w:hint="eastAsia" w:ascii="宋体" w:hAnsi="宋体" w:cs="新宋体"/>
          <w:color w:val="A31515"/>
          <w:kern w:val="0"/>
          <w:sz w:val="18"/>
          <w:szCs w:val="18"/>
        </w:rPr>
        <w:t>HJBHSJE</w:t>
      </w:r>
      <w:r>
        <w:rPr>
          <w:rFonts w:hint="eastAsia" w:ascii="宋体" w:hAnsi="宋体" w:cs="新宋体"/>
          <w:color w:val="0000FF"/>
          <w:kern w:val="0"/>
          <w:sz w:val="18"/>
          <w:szCs w:val="18"/>
        </w:rPr>
        <w:t>&gt;</w:t>
      </w:r>
    </w:p>
    <w:p>
      <w:pPr>
        <w:autoSpaceDE w:val="0"/>
        <w:autoSpaceDN w:val="0"/>
        <w:adjustRightInd w:val="0"/>
        <w:spacing w:line="360" w:lineRule="auto"/>
        <w:ind w:left="840" w:firstLine="420"/>
        <w:rPr>
          <w:rFonts w:ascii="宋体" w:hAnsi="宋体" w:cs="新宋体"/>
          <w:color w:val="0000FF"/>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KPHJSE</w:t>
      </w:r>
      <w:r>
        <w:rPr>
          <w:rFonts w:hint="eastAsia" w:ascii="宋体" w:hAnsi="宋体" w:cs="新宋体"/>
          <w:color w:val="0000FF"/>
          <w:kern w:val="0"/>
          <w:sz w:val="18"/>
          <w:szCs w:val="18"/>
        </w:rPr>
        <w:t>&gt;</w:t>
      </w:r>
      <w:r>
        <w:rPr>
          <w:rFonts w:hint="eastAsia" w:ascii="宋体" w:hAnsi="宋体" w:cs="新宋体"/>
          <w:kern w:val="0"/>
          <w:sz w:val="18"/>
          <w:szCs w:val="18"/>
        </w:rPr>
        <w:t>税额</w:t>
      </w:r>
      <w:r>
        <w:rPr>
          <w:rFonts w:hint="eastAsia" w:ascii="宋体" w:hAnsi="宋体" w:cs="新宋体"/>
          <w:color w:val="0000FF"/>
          <w:kern w:val="0"/>
          <w:sz w:val="18"/>
          <w:szCs w:val="18"/>
        </w:rPr>
        <w:t>&lt;/</w:t>
      </w:r>
      <w:r>
        <w:rPr>
          <w:rFonts w:hint="eastAsia" w:ascii="宋体" w:hAnsi="宋体" w:cs="新宋体"/>
          <w:color w:val="A31515"/>
          <w:kern w:val="0"/>
          <w:sz w:val="18"/>
          <w:szCs w:val="18"/>
        </w:rPr>
        <w:t>KPHJSE</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&lt;/HZDZ_XX&gt; </w:t>
      </w:r>
    </w:p>
    <w:p>
      <w:pPr>
        <w:autoSpaceDE w:val="0"/>
        <w:autoSpaceDN w:val="0"/>
        <w:adjustRightInd w:val="0"/>
        <w:spacing w:line="360" w:lineRule="auto"/>
        <w:ind w:left="840"/>
        <w:rPr>
          <w:rFonts w:ascii="宋体" w:hAnsi="宋体" w:cs="新宋体"/>
          <w:color w:val="0000FF"/>
          <w:kern w:val="0"/>
          <w:sz w:val="18"/>
          <w:szCs w:val="18"/>
        </w:rPr>
      </w:pPr>
      <w:r>
        <w:rPr>
          <w:rFonts w:hint="eastAsia" w:ascii="宋体" w:hAnsi="宋体" w:cs="新宋体"/>
          <w:kern w:val="0"/>
          <w:sz w:val="18"/>
          <w:szCs w:val="18"/>
        </w:rPr>
        <w:t>&lt;/HZDZ_XXS&gt;</w:t>
      </w:r>
    </w:p>
    <w:p>
      <w:pPr>
        <w:autoSpaceDE w:val="0"/>
        <w:autoSpaceDN w:val="0"/>
        <w:adjustRightInd w:val="0"/>
        <w:spacing w:line="360" w:lineRule="auto"/>
        <w:ind w:left="84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RETURNCODE</w:t>
      </w:r>
      <w:r>
        <w:rPr>
          <w:rFonts w:hint="eastAsia" w:ascii="宋体" w:hAnsi="宋体" w:cs="新宋体"/>
          <w:color w:val="0000FF"/>
          <w:kern w:val="0"/>
          <w:sz w:val="18"/>
          <w:szCs w:val="18"/>
        </w:rPr>
        <w:t>&gt;</w:t>
      </w:r>
      <w:r>
        <w:rPr>
          <w:rFonts w:hint="eastAsia" w:ascii="宋体" w:hAnsi="宋体" w:cs="新宋体"/>
          <w:kern w:val="0"/>
          <w:sz w:val="18"/>
          <w:szCs w:val="18"/>
        </w:rPr>
        <w:t>结果代码</w:t>
      </w:r>
      <w:r>
        <w:rPr>
          <w:rFonts w:hint="eastAsia" w:ascii="宋体" w:hAnsi="宋体" w:cs="新宋体"/>
          <w:color w:val="0000FF"/>
          <w:kern w:val="0"/>
          <w:sz w:val="18"/>
          <w:szCs w:val="18"/>
        </w:rPr>
        <w:t>&lt;/</w:t>
      </w:r>
      <w:r>
        <w:rPr>
          <w:rFonts w:hint="eastAsia" w:ascii="宋体" w:hAnsi="宋体" w:cs="新宋体"/>
          <w:color w:val="A31515"/>
          <w:kern w:val="0"/>
          <w:sz w:val="18"/>
          <w:szCs w:val="18"/>
        </w:rPr>
        <w:t>RETURNCODE</w:t>
      </w:r>
      <w:r>
        <w:rPr>
          <w:rFonts w:hint="eastAsia" w:ascii="宋体" w:hAnsi="宋体" w:cs="新宋体"/>
          <w:color w:val="0000FF"/>
          <w:kern w:val="0"/>
          <w:sz w:val="18"/>
          <w:szCs w:val="18"/>
        </w:rPr>
        <w:t>&gt;</w:t>
      </w:r>
    </w:p>
    <w:p>
      <w:pPr>
        <w:autoSpaceDE w:val="0"/>
        <w:autoSpaceDN w:val="0"/>
        <w:adjustRightInd w:val="0"/>
        <w:spacing w:line="360" w:lineRule="auto"/>
        <w:ind w:left="84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RETURNMESSAGE</w:t>
      </w:r>
      <w:r>
        <w:rPr>
          <w:rFonts w:hint="eastAsia" w:ascii="宋体" w:hAnsi="宋体" w:cs="新宋体"/>
          <w:color w:val="0000FF"/>
          <w:kern w:val="0"/>
          <w:sz w:val="18"/>
          <w:szCs w:val="18"/>
        </w:rPr>
        <w:t>&gt;</w:t>
      </w:r>
      <w:r>
        <w:rPr>
          <w:rFonts w:hint="eastAsia" w:ascii="宋体" w:hAnsi="宋体" w:cs="新宋体"/>
          <w:kern w:val="0"/>
          <w:sz w:val="18"/>
          <w:szCs w:val="18"/>
        </w:rPr>
        <w:t>结果描述</w:t>
      </w:r>
      <w:r>
        <w:rPr>
          <w:rFonts w:hint="eastAsia" w:ascii="宋体" w:hAnsi="宋体" w:cs="新宋体"/>
          <w:color w:val="0000FF"/>
          <w:kern w:val="0"/>
          <w:sz w:val="18"/>
          <w:szCs w:val="18"/>
        </w:rPr>
        <w:t>&lt;/</w:t>
      </w:r>
      <w:r>
        <w:rPr>
          <w:rFonts w:hint="eastAsia" w:ascii="宋体" w:hAnsi="宋体" w:cs="新宋体"/>
          <w:color w:val="A31515"/>
          <w:kern w:val="0"/>
          <w:sz w:val="18"/>
          <w:szCs w:val="18"/>
        </w:rPr>
        <w:t>RETURNMESSAGE</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color w:val="0000FF"/>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RESPONSE_HZDZ</w:t>
      </w:r>
      <w:r>
        <w:rPr>
          <w:rFonts w:hint="eastAsia" w:ascii="宋体" w:hAnsi="宋体" w:cs="新宋体"/>
          <w:color w:val="0000FF"/>
          <w:kern w:val="0"/>
          <w:sz w:val="18"/>
          <w:szCs w:val="18"/>
        </w:rPr>
        <w:t>&gt;</w:t>
      </w:r>
    </w:p>
    <w:p>
      <w:pPr>
        <w:spacing w:line="360" w:lineRule="auto"/>
        <w:rPr>
          <w:rFonts w:ascii="Calibri" w:hAnsi="Calibri"/>
          <w:color w:val="FF0000"/>
        </w:rPr>
      </w:pPr>
    </w:p>
    <w:p>
      <w:pPr>
        <w:numPr>
          <w:ilvl w:val="0"/>
          <w:numId w:val="6"/>
        </w:numPr>
        <w:spacing w:line="360" w:lineRule="auto"/>
        <w:rPr>
          <w:b/>
        </w:rPr>
      </w:pPr>
      <w:r>
        <w:rPr>
          <w:rFonts w:hint="eastAsia"/>
          <w:b/>
        </w:rPr>
        <w:t>【</w:t>
      </w:r>
      <w:r>
        <w:rPr>
          <w:b/>
        </w:rPr>
        <w:t>Content</w:t>
      </w:r>
      <w:r>
        <w:rPr>
          <w:rFonts w:hint="eastAsia"/>
          <w:b/>
        </w:rPr>
        <w:t>中】返回数据项说明</w:t>
      </w:r>
    </w:p>
    <w:p>
      <w:pPr>
        <w:spacing w:line="360" w:lineRule="auto"/>
        <w:rPr>
          <w:b/>
        </w:rPr>
      </w:pPr>
    </w:p>
    <w:tbl>
      <w:tblPr>
        <w:tblStyle w:val="34"/>
        <w:tblW w:w="104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831"/>
        <w:gridCol w:w="1746"/>
        <w:gridCol w:w="1701"/>
        <w:gridCol w:w="851"/>
        <w:gridCol w:w="1100"/>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序号</w:t>
            </w:r>
          </w:p>
        </w:tc>
        <w:tc>
          <w:tcPr>
            <w:tcW w:w="1831"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数据项</w:t>
            </w:r>
          </w:p>
        </w:tc>
        <w:tc>
          <w:tcPr>
            <w:tcW w:w="1746"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数据项名称</w:t>
            </w:r>
          </w:p>
        </w:tc>
        <w:tc>
          <w:tcPr>
            <w:tcW w:w="1701"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类型</w:t>
            </w:r>
          </w:p>
        </w:tc>
        <w:tc>
          <w:tcPr>
            <w:tcW w:w="851"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长度</w:t>
            </w:r>
          </w:p>
        </w:tc>
        <w:tc>
          <w:tcPr>
            <w:tcW w:w="1100"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必须</w:t>
            </w:r>
          </w:p>
        </w:tc>
        <w:tc>
          <w:tcPr>
            <w:tcW w:w="2410" w:type="dxa"/>
            <w:tcBorders>
              <w:top w:val="single" w:color="auto" w:sz="4" w:space="0"/>
              <w:left w:val="single" w:color="auto" w:sz="4" w:space="0"/>
              <w:bottom w:val="single" w:color="auto" w:sz="4" w:space="0"/>
              <w:right w:val="single" w:color="auto" w:sz="4" w:space="0"/>
            </w:tcBorders>
            <w:shd w:val="clear" w:color="auto" w:fill="DEEAF6"/>
            <w:vAlign w:val="center"/>
          </w:tcPr>
          <w:p>
            <w:pPr>
              <w:widowControl/>
              <w:spacing w:line="360" w:lineRule="auto"/>
              <w:jc w:val="center"/>
              <w:rPr>
                <w:rFonts w:ascii="Calibri" w:hAnsi="Calibri"/>
                <w:b/>
                <w:color w:val="000000"/>
                <w:kern w:val="0"/>
              </w:rPr>
            </w:pPr>
            <w:r>
              <w:rPr>
                <w:rFonts w:hint="eastAsia"/>
                <w:b/>
                <w:color w:val="000000"/>
                <w:kern w:val="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21"/>
              </w:numPr>
              <w:spacing w:line="360" w:lineRule="auto"/>
              <w:ind w:left="2340"/>
              <w:jc w:val="center"/>
              <w:rPr>
                <w:rFonts w:ascii="Calibri" w:hAnsi="Calibri"/>
              </w:rPr>
            </w:pP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HZDZQQLSH</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汇总对账请求流水号</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21"/>
              </w:numPr>
              <w:spacing w:line="360" w:lineRule="auto"/>
              <w:ind w:left="2340"/>
              <w:jc w:val="center"/>
              <w:rPr>
                <w:rFonts w:ascii="Calibri" w:hAnsi="Calibri"/>
              </w:rPr>
            </w:pP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XTBM</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系统编码</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8</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21"/>
              </w:numPr>
              <w:spacing w:line="360" w:lineRule="auto"/>
              <w:ind w:left="2340"/>
              <w:jc w:val="center"/>
              <w:rPr>
                <w:rFonts w:ascii="Calibri" w:hAnsi="Calibri"/>
              </w:rPr>
            </w:pP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DZRQ</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对账日期</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DATE</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8</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21"/>
              </w:numPr>
              <w:spacing w:line="360" w:lineRule="auto"/>
              <w:ind w:left="2340"/>
              <w:jc w:val="center"/>
              <w:rPr>
                <w:rFonts w:ascii="Calibri" w:hAnsi="Calibri"/>
              </w:rPr>
            </w:pP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NSRSBH</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税号</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color w:val="000000"/>
              </w:rP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20</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45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汇总对账信息（多行，按票种和开票类型统计）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21"/>
              </w:numPr>
              <w:spacing w:line="360" w:lineRule="auto"/>
              <w:ind w:left="2340"/>
              <w:jc w:val="center"/>
              <w:rPr>
                <w:rFonts w:ascii="Calibri" w:hAnsi="Calibri"/>
              </w:rPr>
            </w:pP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FPZL_DM</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发票种类代码</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5</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21"/>
              </w:numPr>
              <w:spacing w:line="360" w:lineRule="auto"/>
              <w:ind w:left="2340"/>
              <w:jc w:val="center"/>
              <w:rPr>
                <w:rFonts w:ascii="Calibri" w:hAnsi="Calibri"/>
              </w:rPr>
            </w:pP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KPLX</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开票类型</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ind w:firstLine="315" w:firstLineChars="150"/>
              <w:rPr>
                <w:rFonts w:ascii="Calibri" w:hAnsi="Calibri"/>
              </w:rPr>
            </w:pPr>
            <w:r>
              <w:t>NUMBER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ind w:firstLine="210" w:firstLineChars="100"/>
              <w:rPr>
                <w:rFonts w:ascii="Calibri" w:hAnsi="Calibri"/>
              </w:rPr>
            </w:pPr>
            <w:r>
              <w:t>1</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ind w:firstLine="315" w:firstLineChars="150"/>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1</w:t>
            </w:r>
            <w:r>
              <w:rPr>
                <w:rFonts w:hint="eastAsia"/>
              </w:rPr>
              <w:t>正票</w:t>
            </w:r>
          </w:p>
          <w:p>
            <w:pPr>
              <w:spacing w:line="360" w:lineRule="auto"/>
              <w:rPr>
                <w:rFonts w:ascii="Calibri" w:hAnsi="Calibri"/>
              </w:rPr>
            </w:pPr>
            <w:r>
              <w:t>2</w:t>
            </w:r>
            <w:r>
              <w:rPr>
                <w:rFonts w:hint="eastAsia"/>
              </w:rPr>
              <w:t>红票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21"/>
              </w:numPr>
              <w:spacing w:line="360" w:lineRule="auto"/>
              <w:ind w:left="2340"/>
              <w:jc w:val="center"/>
              <w:rPr>
                <w:rFonts w:ascii="Calibri" w:hAnsi="Calibri"/>
              </w:rPr>
            </w:pP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SL</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发票张数</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DOUBLE</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10</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21"/>
              </w:numPr>
              <w:spacing w:line="360" w:lineRule="auto"/>
              <w:ind w:left="2340"/>
              <w:jc w:val="center"/>
              <w:rPr>
                <w:rFonts w:ascii="Calibri" w:hAnsi="Calibri"/>
              </w:rPr>
            </w:pP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HJBHSJE</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不含税金额</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DOUBLE</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ind w:firstLine="210" w:firstLineChars="100"/>
              <w:rPr>
                <w:rFonts w:ascii="Calibri" w:hAnsi="Calibri"/>
              </w:rPr>
            </w:pPr>
            <w:r>
              <w:t>20</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ind w:firstLine="315" w:firstLineChars="150"/>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21"/>
              </w:numPr>
              <w:spacing w:line="360" w:lineRule="auto"/>
              <w:ind w:left="2340"/>
              <w:jc w:val="center"/>
              <w:rPr>
                <w:rFonts w:ascii="Calibri" w:hAnsi="Calibri"/>
              </w:rPr>
            </w:pP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KPHJSE</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税额</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DOUBLE</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ind w:firstLine="210" w:firstLineChars="100"/>
              <w:rPr>
                <w:rFonts w:ascii="Calibri" w:hAnsi="Calibri"/>
              </w:rPr>
            </w:pPr>
            <w:r>
              <w:t>20</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ind w:firstLine="315" w:firstLineChars="150"/>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tabs>
                <w:tab w:val="left" w:pos="1095"/>
                <w:tab w:val="center" w:pos="2231"/>
              </w:tabs>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21"/>
              </w:numPr>
              <w:spacing w:line="360" w:lineRule="auto"/>
              <w:ind w:left="2340"/>
              <w:jc w:val="center"/>
              <w:rPr>
                <w:rFonts w:ascii="Calibri" w:hAnsi="Calibri"/>
              </w:rPr>
            </w:pP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RETURNCODE</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结果代码</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4</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是</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0000</w:t>
            </w:r>
            <w:r>
              <w:rPr>
                <w:rFonts w:hint="eastAsia"/>
              </w:rPr>
              <w:t>：下发成功</w:t>
            </w:r>
          </w:p>
          <w:p>
            <w:pPr>
              <w:spacing w:line="360" w:lineRule="auto"/>
              <w:rPr>
                <w:rFonts w:ascii="Calibri" w:hAnsi="Calibri"/>
              </w:rPr>
            </w:pPr>
            <w:r>
              <w:t>9999</w:t>
            </w:r>
            <w:r>
              <w:rPr>
                <w:rFonts w:hint="eastAsia"/>
              </w:rPr>
              <w:t>：下发失败</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numPr>
                <w:ilvl w:val="0"/>
                <w:numId w:val="21"/>
              </w:numPr>
              <w:spacing w:line="360" w:lineRule="auto"/>
              <w:ind w:left="2340"/>
              <w:jc w:val="center"/>
              <w:rPr>
                <w:rFonts w:ascii="Calibri" w:hAnsi="Calibri"/>
              </w:rPr>
            </w:pP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RETURNMESSAGE</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结果描述</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t>128</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错误原因</w:t>
            </w:r>
          </w:p>
        </w:tc>
      </w:tr>
    </w:tbl>
    <w:p>
      <w:pPr>
        <w:spacing w:line="360" w:lineRule="auto"/>
        <w:rPr>
          <w:rFonts w:ascii="Calibri" w:hAnsi="Calibri"/>
          <w:b/>
        </w:rPr>
      </w:pPr>
    </w:p>
    <w:p>
      <w:pPr>
        <w:spacing w:line="360" w:lineRule="auto"/>
        <w:rPr>
          <w:b/>
        </w:rPr>
      </w:pPr>
    </w:p>
    <w:p>
      <w:pPr>
        <w:spacing w:line="360" w:lineRule="auto"/>
      </w:pPr>
    </w:p>
    <w:p>
      <w:pPr>
        <w:pStyle w:val="4"/>
        <w:numPr>
          <w:ilvl w:val="2"/>
          <w:numId w:val="3"/>
        </w:numPr>
        <w:spacing w:before="0" w:after="0" w:line="360" w:lineRule="auto"/>
        <w:ind w:left="0" w:leftChars="0" w:firstLine="402" w:firstLineChars="0"/>
      </w:pPr>
      <w:bookmarkStart w:id="144" w:name="_Toc442308305"/>
      <w:bookmarkStart w:id="145" w:name="_Toc8543"/>
      <w:bookmarkStart w:id="146" w:name="_Toc442308309"/>
      <w:r>
        <w:rPr>
          <w:rFonts w:hint="eastAsia"/>
        </w:rPr>
        <w:t>3.2.4 与第三方服务平台的接口设计</w:t>
      </w:r>
      <w:bookmarkEnd w:id="144"/>
      <w:bookmarkEnd w:id="145"/>
    </w:p>
    <w:p>
      <w:pPr>
        <w:pStyle w:val="5"/>
        <w:numPr>
          <w:ilvl w:val="3"/>
          <w:numId w:val="0"/>
        </w:numPr>
        <w:spacing w:before="0" w:after="0" w:line="360" w:lineRule="auto"/>
      </w:pPr>
      <w:bookmarkStart w:id="147" w:name="_Toc442308306"/>
      <w:bookmarkStart w:id="148" w:name="_Toc10724"/>
      <w:r>
        <w:rPr>
          <w:rFonts w:hint="eastAsia"/>
        </w:rPr>
        <w:t>3.2.4.1发票验证</w:t>
      </w:r>
      <w:bookmarkEnd w:id="147"/>
      <w:bookmarkEnd w:id="148"/>
    </w:p>
    <w:p>
      <w:pPr>
        <w:numPr>
          <w:ilvl w:val="0"/>
          <w:numId w:val="20"/>
        </w:numPr>
        <w:spacing w:line="360" w:lineRule="auto"/>
      </w:pPr>
      <w:r>
        <w:rPr>
          <w:rFonts w:hint="eastAsia"/>
          <w:b/>
        </w:rPr>
        <w:t>接口说明：</w:t>
      </w:r>
      <w:r>
        <w:rPr>
          <w:rFonts w:hint="eastAsia"/>
          <w:szCs w:val="21"/>
        </w:rPr>
        <w:t>在第三方发票服务平台进行发票验证（含纸质发票和电子发票）。</w:t>
      </w:r>
    </w:p>
    <w:p>
      <w:pPr>
        <w:numPr>
          <w:ilvl w:val="0"/>
          <w:numId w:val="20"/>
        </w:numPr>
        <w:spacing w:line="360" w:lineRule="auto"/>
        <w:rPr>
          <w:b/>
          <w:bCs/>
        </w:rPr>
      </w:pPr>
      <w:r>
        <w:rPr>
          <w:rFonts w:hint="eastAsia"/>
          <w:b/>
        </w:rPr>
        <w:t>调用方式：</w:t>
      </w:r>
      <w:r>
        <w:t>WEB SERVICE</w:t>
      </w:r>
      <w:r>
        <w:rPr>
          <w:rFonts w:hint="eastAsia"/>
          <w:b/>
          <w:bCs/>
        </w:rPr>
        <w:t>方式</w:t>
      </w:r>
    </w:p>
    <w:p>
      <w:pPr>
        <w:numPr>
          <w:ilvl w:val="0"/>
          <w:numId w:val="20"/>
        </w:numPr>
        <w:spacing w:line="360" w:lineRule="auto"/>
        <w:rPr>
          <w:szCs w:val="21"/>
        </w:rPr>
      </w:pPr>
      <w:r>
        <w:rPr>
          <w:rFonts w:hint="eastAsia"/>
          <w:b/>
        </w:rPr>
        <w:t>接口编码</w:t>
      </w:r>
      <w:r>
        <w:rPr>
          <w:rFonts w:hint="eastAsia"/>
        </w:rPr>
        <w:t>：</w:t>
      </w:r>
      <w:r>
        <w:rPr>
          <w:szCs w:val="21"/>
        </w:rPr>
        <w:t>ECXML.FPYZ.BC.E.INV</w:t>
      </w:r>
    </w:p>
    <w:p>
      <w:pPr>
        <w:spacing w:line="360" w:lineRule="auto"/>
        <w:ind w:left="420"/>
        <w:rPr>
          <w:szCs w:val="21"/>
        </w:rPr>
      </w:pPr>
    </w:p>
    <w:p>
      <w:pPr>
        <w:spacing w:line="360" w:lineRule="auto"/>
        <w:rPr>
          <w:b/>
        </w:rPr>
      </w:pPr>
      <w:r>
        <w:rPr>
          <w:rFonts w:hint="eastAsia"/>
          <w:b/>
        </w:rPr>
        <w:t>请求报文示例与数据项说明</w:t>
      </w:r>
    </w:p>
    <w:p>
      <w:pPr>
        <w:spacing w:line="360" w:lineRule="auto"/>
        <w:rPr>
          <w:b/>
        </w:rPr>
      </w:pPr>
    </w:p>
    <w:p>
      <w:pPr>
        <w:numPr>
          <w:ilvl w:val="0"/>
          <w:numId w:val="6"/>
        </w:numPr>
        <w:spacing w:line="360" w:lineRule="auto"/>
        <w:rPr>
          <w:b/>
        </w:rPr>
      </w:pPr>
      <w:r>
        <w:rPr>
          <w:rFonts w:hint="eastAsia"/>
          <w:b/>
        </w:rPr>
        <w:t>【</w:t>
      </w:r>
      <w:r>
        <w:rPr>
          <w:b/>
        </w:rPr>
        <w:t>Content</w:t>
      </w:r>
      <w:r>
        <w:rPr>
          <w:rFonts w:hint="eastAsia"/>
          <w:b/>
        </w:rPr>
        <w:t>中】请求报文示例：</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&lt;REQUEST_FPYZ class="REQUEST_FPYZ"&gt;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&lt;!--增值税普通发票--&gt;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&lt;YZZZSPTFPS class="YZZZSPTFP;" size="1"&gt;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&lt;YZZZSPTFP&gt;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&lt;YZZZSPTFP_FPT class="YZZZSPTFP_FPT"&gt;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&lt;FPQQLSH&gt;发票请求流水号&lt;/FPQQLSH&gt;</w:t>
      </w:r>
    </w:p>
    <w:p>
      <w:pPr>
        <w:autoSpaceDE w:val="0"/>
        <w:autoSpaceDN w:val="0"/>
        <w:adjustRightInd w:val="0"/>
        <w:spacing w:line="360" w:lineRule="auto"/>
        <w:ind w:left="840" w:leftChars="400" w:firstLine="270" w:firstLineChars="150"/>
        <w:rPr>
          <w:rFonts w:ascii="宋体" w:hAnsi="宋体" w:cs="新宋体"/>
          <w:kern w:val="0"/>
          <w:sz w:val="18"/>
          <w:szCs w:val="18"/>
        </w:rPr>
      </w:pPr>
      <w:r>
        <w:rPr>
          <w:rFonts w:hint="eastAsia" w:ascii="宋体" w:hAnsi="宋体" w:cs="新宋体"/>
          <w:kern w:val="0"/>
          <w:sz w:val="18"/>
          <w:szCs w:val="18"/>
        </w:rPr>
        <w:t>&lt;YZSJLY&gt;发票验证数据来源&lt;/YZSJLY&gt;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&lt;KPLX&gt;开票类型&lt;/KPLX&gt;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&lt;NSRSBH&gt;开票方纳税人识别号&lt;/NSRSBH&gt;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&lt;NSRMC&gt;开票方纳税人名称&lt;/NSRMC&gt;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ab/>
      </w:r>
      <w:r>
        <w:rPr>
          <w:rFonts w:hint="eastAsia" w:ascii="宋体" w:hAnsi="宋体" w:cs="新宋体"/>
          <w:kern w:val="0"/>
          <w:sz w:val="18"/>
          <w:szCs w:val="18"/>
        </w:rPr>
        <w:t xml:space="preserve">   &lt;SWJG_DM&gt;税务机关代码&lt;/SWJG_DM&gt;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&lt;XSF_NSRSBH&gt;销售方纳税人识别号&lt;/XSF_NSRSBH&gt;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&lt;XSF_MC&gt;销售方名称&lt;/XSF_MC&gt;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&lt;XSF_DZDH&gt;销售方地址、电话&lt;/XSF_DZDH&gt;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&lt;XSF_YHZH&gt;销售方银行账号&lt;/XSF_YHZH&gt;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&lt;GMF_NSRSBH&gt;购买方纳税人识别号&lt;/GMF_NSRSBH&gt;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&lt;GMF_MC&gt;购买方名称&lt;/GMF_MC&gt;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&lt;GMF_DZDH&gt;购买方地址、电话&lt;/GMF_DZDH&gt;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&lt;GMF_YHZH&gt;购买方银行账号&lt;/GMF_YHZH&gt;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&lt;KPR&gt;开票人&lt;/KPR&gt;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&lt;SKR&gt;收款人&lt;/SKR&gt;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&lt;FHR&gt;复核人&lt;/FHR&gt;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&lt;YFP_DM&gt;原发票代码&lt;/YFP_DM&gt;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&lt;YFP_HM&gt;原发票号码&lt;/YFP_HM&gt;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&lt;JSHJ&gt;价税合计&lt;/JSHJ&gt;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&lt;HJJE&gt;合计金额&lt;/HJJE&gt;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&lt;HJSE&gt;合计税额&lt;/HJSE&gt;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&lt;BZ&gt;备注&lt;/BZ&gt;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&lt;FPZT&gt;发票状态&lt;/FPZT&gt;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&lt;FP_DM&gt;发票代码&lt;/FP_DM&gt;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&lt;FP_HM&gt;发票号码&lt;/FP_HM&gt;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&lt;KPRQ&gt;开票日期&lt;/KPRQ&gt;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&lt;FP_MW&gt;发票密文&lt;/FP_MW&gt;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&lt;JYM&gt;校验码&lt;/JYM&gt;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&lt;EWM&gt;二维码&lt;/EWM&gt; </w:t>
      </w:r>
    </w:p>
    <w:p>
      <w:pPr>
        <w:autoSpaceDE w:val="0"/>
        <w:autoSpaceDN w:val="0"/>
        <w:adjustRightInd w:val="0"/>
        <w:spacing w:line="360" w:lineRule="auto"/>
        <w:rPr>
          <w:rFonts w:ascii="宋体" w:hAnsi="宋体" w:cs="新宋体"/>
          <w:kern w:val="0"/>
          <w:sz w:val="18"/>
          <w:szCs w:val="18"/>
        </w:rPr>
      </w:pPr>
      <w:r>
        <w:rPr>
          <w:rFonts w:hint="eastAsia" w:ascii="宋体" w:hAnsi="宋体" w:cs="新宋体"/>
          <w:kern w:val="0"/>
          <w:sz w:val="18"/>
          <w:szCs w:val="18"/>
        </w:rPr>
        <w:t xml:space="preserve"> </w:t>
      </w:r>
      <w:r>
        <w:rPr>
          <w:rFonts w:hint="eastAsia" w:ascii="宋体" w:hAnsi="宋体" w:cs="新宋体"/>
          <w:kern w:val="0"/>
          <w:sz w:val="18"/>
          <w:szCs w:val="18"/>
        </w:rPr>
        <w:tab/>
      </w:r>
      <w:r>
        <w:rPr>
          <w:rFonts w:hint="eastAsia" w:ascii="宋体" w:hAnsi="宋体" w:cs="新宋体"/>
          <w:kern w:val="0"/>
          <w:sz w:val="18"/>
          <w:szCs w:val="18"/>
        </w:rPr>
        <w:tab/>
      </w:r>
      <w:r>
        <w:rPr>
          <w:rFonts w:hint="eastAsia" w:ascii="宋体" w:hAnsi="宋体" w:cs="新宋体"/>
          <w:kern w:val="0"/>
          <w:sz w:val="18"/>
          <w:szCs w:val="18"/>
        </w:rPr>
        <w:t xml:space="preserve">   &lt;DZFP_BZ&gt;电子发票标志&lt;/DZFP_BZ&gt;</w:t>
      </w:r>
    </w:p>
    <w:p>
      <w:pPr>
        <w:autoSpaceDE w:val="0"/>
        <w:autoSpaceDN w:val="0"/>
        <w:adjustRightInd w:val="0"/>
        <w:spacing w:line="360" w:lineRule="auto"/>
        <w:rPr>
          <w:rFonts w:ascii="宋体" w:hAnsi="宋体" w:cs="新宋体"/>
          <w:color w:val="0000FF"/>
          <w:kern w:val="0"/>
          <w:sz w:val="18"/>
          <w:szCs w:val="18"/>
        </w:rPr>
      </w:pPr>
      <w:r>
        <w:rPr>
          <w:rFonts w:hint="eastAsia" w:ascii="宋体" w:hAnsi="宋体" w:cs="新宋体"/>
          <w:color w:val="0000FF"/>
          <w:kern w:val="0"/>
          <w:sz w:val="18"/>
          <w:szCs w:val="18"/>
        </w:rPr>
        <w:t xml:space="preserve"> </w:t>
      </w:r>
      <w:r>
        <w:rPr>
          <w:rFonts w:hint="eastAsia" w:ascii="宋体" w:hAnsi="宋体" w:cs="新宋体"/>
          <w:color w:val="0000FF"/>
          <w:kern w:val="0"/>
          <w:sz w:val="18"/>
          <w:szCs w:val="18"/>
        </w:rPr>
        <w:tab/>
      </w:r>
      <w:r>
        <w:rPr>
          <w:rFonts w:hint="eastAsia" w:ascii="宋体" w:hAnsi="宋体" w:cs="新宋体"/>
          <w:color w:val="0000FF"/>
          <w:kern w:val="0"/>
          <w:sz w:val="18"/>
          <w:szCs w:val="18"/>
        </w:rPr>
        <w:tab/>
      </w: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PDF_FILE</w:t>
      </w:r>
      <w:r>
        <w:rPr>
          <w:rFonts w:hint="eastAsia" w:ascii="宋体" w:hAnsi="宋体" w:cs="新宋体"/>
          <w:color w:val="0000FF"/>
          <w:kern w:val="0"/>
          <w:sz w:val="18"/>
          <w:szCs w:val="18"/>
        </w:rPr>
        <w:t>&gt;</w:t>
      </w:r>
      <w:r>
        <w:rPr>
          <w:rFonts w:hint="eastAsia" w:ascii="宋体" w:hAnsi="宋体" w:cs="新宋体"/>
          <w:kern w:val="0"/>
          <w:sz w:val="18"/>
          <w:szCs w:val="18"/>
        </w:rPr>
        <w:t>Base64（pdf文件）</w:t>
      </w:r>
      <w:r>
        <w:rPr>
          <w:rFonts w:hint="eastAsia" w:ascii="宋体" w:hAnsi="宋体" w:cs="新宋体"/>
          <w:color w:val="0000FF"/>
          <w:kern w:val="0"/>
          <w:sz w:val="18"/>
          <w:szCs w:val="18"/>
        </w:rPr>
        <w:t>&lt;/</w:t>
      </w:r>
      <w:r>
        <w:rPr>
          <w:rFonts w:hint="eastAsia" w:ascii="宋体" w:hAnsi="宋体" w:cs="新宋体"/>
          <w:color w:val="A31515"/>
          <w:kern w:val="0"/>
          <w:sz w:val="18"/>
          <w:szCs w:val="18"/>
        </w:rPr>
        <w:t>PDF_FILE</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ab/>
      </w:r>
      <w:r>
        <w:rPr>
          <w:rFonts w:hint="eastAsia" w:ascii="宋体" w:hAnsi="宋体" w:cs="新宋体"/>
          <w:kern w:val="0"/>
          <w:sz w:val="18"/>
          <w:szCs w:val="18"/>
        </w:rPr>
        <w:t xml:space="preserve">   &lt;FPTKZ&gt;发票头扩展&lt;/FPTKZ&gt;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&lt;/YZZZSPTFP_FPT&gt;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&lt;YZZZSPTFP_XMXXS class="YZZZSPTFP_XMXX;" size="1"&gt;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&lt;YZZZSPTFP_XMXX&gt;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&lt;FPHXZ&gt;发票行性质&lt;/FPHXZ&gt;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&lt;XMMC&gt;项目名称&lt;/XMMC&gt;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&lt;GGXH&gt;规格型号&lt;/GGXH&gt;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&lt;DW&gt;单位&lt;/DW&gt;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&lt;XMSL&gt;项目数量&lt;/XMSL&gt;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&lt;XMDJ&gt;项目单价&lt;/XMDJ&gt;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&lt;XMJE&gt;项目金额&lt;/XMJE&gt;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&lt;SL&gt;税率&lt;/SL&gt;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&lt;SE&gt;税额&lt;/SE&gt;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ab/>
      </w:r>
      <w:r>
        <w:rPr>
          <w:rFonts w:hint="eastAsia" w:ascii="宋体" w:hAnsi="宋体" w:cs="新宋体"/>
          <w:kern w:val="0"/>
          <w:sz w:val="18"/>
          <w:szCs w:val="18"/>
        </w:rPr>
        <w:tab/>
      </w:r>
      <w:r>
        <w:rPr>
          <w:rFonts w:hint="eastAsia" w:ascii="宋体" w:hAnsi="宋体" w:cs="新宋体"/>
          <w:kern w:val="0"/>
          <w:sz w:val="18"/>
          <w:szCs w:val="18"/>
        </w:rPr>
        <w:t xml:space="preserve">  &lt;YZXMXXKZ&gt;项目信息扩展&lt;/YZXMXXKZ&gt;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&lt;/YZZZSPTFP_XMXX&gt;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&lt;/YZZZSPTFP_XMXXS&gt;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&lt;/YZZZSPTFP&gt;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&lt;/YZZZSPTFPS&gt; </w:t>
      </w:r>
    </w:p>
    <w:p>
      <w:pPr>
        <w:autoSpaceDE w:val="0"/>
        <w:autoSpaceDN w:val="0"/>
        <w:adjustRightInd w:val="0"/>
        <w:spacing w:line="360" w:lineRule="auto"/>
        <w:ind w:left="420" w:leftChars="200"/>
        <w:rPr>
          <w:rFonts w:ascii="宋体" w:hAnsi="宋体" w:cs="新宋体"/>
          <w:kern w:val="0"/>
          <w:sz w:val="18"/>
          <w:szCs w:val="18"/>
        </w:rPr>
      </w:pP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&lt;!--增值税专用发票--&gt;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&lt;YZZZSZYFPS class="YZZZSZYFP;" size="1"&gt;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&lt;YZZZSZYFP&gt;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&lt;YZZZSZYFP_FPT class="YZZZSZYFP_FPT"&gt;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&lt;FPQQLSH&gt;发票请求流水号&lt;/FPQQLSH&gt;  </w:t>
      </w:r>
    </w:p>
    <w:p>
      <w:pPr>
        <w:autoSpaceDE w:val="0"/>
        <w:autoSpaceDN w:val="0"/>
        <w:adjustRightInd w:val="0"/>
        <w:spacing w:line="360" w:lineRule="auto"/>
        <w:ind w:left="840" w:leftChars="400" w:firstLine="270" w:firstLineChars="150"/>
        <w:rPr>
          <w:rFonts w:ascii="宋体" w:hAnsi="宋体" w:cs="新宋体"/>
          <w:kern w:val="0"/>
          <w:sz w:val="18"/>
          <w:szCs w:val="18"/>
        </w:rPr>
      </w:pPr>
      <w:r>
        <w:rPr>
          <w:rFonts w:hint="eastAsia" w:ascii="宋体" w:hAnsi="宋体" w:cs="新宋体"/>
          <w:kern w:val="0"/>
          <w:sz w:val="18"/>
          <w:szCs w:val="18"/>
        </w:rPr>
        <w:t>&lt;YZSJLY&gt;发票验证数据来源&lt;/YZSJLY&gt;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&lt;KPLX&gt;开票类型&lt;/KPLX&gt;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&lt;NSRSBH&gt;开票方纳税人识别号&lt;/NSRSBH&gt;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&lt;NSRMC&gt;开票方纳税人名称&lt;/NSRMC&gt;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ab/>
      </w:r>
      <w:r>
        <w:rPr>
          <w:rFonts w:hint="eastAsia" w:ascii="宋体" w:hAnsi="宋体" w:cs="新宋体"/>
          <w:kern w:val="0"/>
          <w:sz w:val="18"/>
          <w:szCs w:val="18"/>
        </w:rPr>
        <w:t xml:space="preserve">   &lt;SWJG_DM&gt;税务机关代码&lt;/SWJG_DM&gt;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&lt;XSF_NSRSBH&gt;销售方纳税人识别号&lt;/XSF_NSRSBH&gt;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&lt;XSF_MC&gt;销售方名称&lt;/XSF_MC&gt;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&lt;XSF_DZDH&gt;销售方地址、电话&lt;/XSF_DZDH&gt;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&lt;XSF_YHZH&gt;销售方银行账号&lt;/XSF_YHZH&gt;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&lt;GMF_NSRSBH&gt;购买方纳税人识别号&lt;/GMF_NSRSBH&gt;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&lt;GMF_MC&gt;购买方名称&lt;/GMF_MC&gt;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&lt;GMF_DZDH&gt;购买方地址、电话&lt;/GMF_DZDH&gt;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&lt;GMF_YHZH&gt;购买方银行账号&lt;/GMF_YHZH&gt;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&lt;KPR&gt;开票人&lt;/KPR&gt;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&lt;SKR&gt;收款人&lt;/SKR&gt;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&lt;FHR&gt;复核人&lt;/FHR&gt;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&lt;YFP_DM&gt;原发票代码&lt;/YFP_DM&gt;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&lt;YFP_HM&gt;原发票号码&lt;/YFP_HM&gt;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&lt;JSHJ&gt;价税合计&lt;/JSHJ&gt;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&lt;HJJE&gt;合计金额&lt;/HJJE&gt;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&lt;HJSE&gt;合计税额&lt;/HJSE&gt;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&lt;BZ&gt;备注&lt;/BZ&gt;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&lt;FPZT&gt;发票状态&lt;/FPZT&gt;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&lt;FP_DM&gt;发票代码&lt;/FP_DM&gt;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&lt;FP_HM&gt;发票号码&lt;/FP_HM&gt;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&lt;KPRQ&gt;开票日期&lt;/KPRQ&gt;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&lt;FP_MW&gt;发票密文&lt;/FP_MW&gt;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&lt;JYM&gt;校验码&lt;/JYM&gt;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&lt;EWM&gt;二维码&lt;/EWM&gt;</w:t>
      </w:r>
    </w:p>
    <w:p>
      <w:pPr>
        <w:autoSpaceDE w:val="0"/>
        <w:autoSpaceDN w:val="0"/>
        <w:adjustRightInd w:val="0"/>
        <w:spacing w:line="360" w:lineRule="auto"/>
        <w:ind w:left="420" w:leftChars="200" w:firstLine="720" w:firstLineChars="400"/>
        <w:rPr>
          <w:rFonts w:ascii="宋体" w:hAnsi="宋体" w:cs="新宋体"/>
          <w:kern w:val="0"/>
          <w:sz w:val="18"/>
          <w:szCs w:val="18"/>
        </w:rPr>
      </w:pPr>
      <w:r>
        <w:rPr>
          <w:rFonts w:hint="eastAsia" w:ascii="宋体" w:hAnsi="宋体" w:cs="新宋体"/>
          <w:kern w:val="0"/>
          <w:sz w:val="18"/>
          <w:szCs w:val="18"/>
        </w:rPr>
        <w:t>&lt;FPTKZ&gt;发票头扩展&lt;/FPTKZ&gt;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&lt;/YZZZSZYFP_FPT&gt;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&lt;YZZZSZYFP_XMXXS class="YZZZSZYFP_XMXX;" size="1"&gt;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&lt;YZZZSZYFP_XMXX&gt;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&lt;FPHXZ&gt;发票行性质&lt;/FPHXZ&gt;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&lt;XMMC&gt;项目名称&lt;/XMMC&gt;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&lt;GGXH&gt;规格型号&lt;/GGXH&gt;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&lt;DW&gt;单位&lt;/DW&gt;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&lt;XMSL&gt;项目数量&lt;/XMSL&gt;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&lt;XMDJ&gt;项目单价&lt;/XMDJ&gt;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&lt;XMJE&gt;项目金额&lt;/XMJE&gt;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&lt;SL&gt;税率&lt;/SL&gt;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&lt;SE&gt;税额&lt;/SE&gt;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ab/>
      </w:r>
      <w:r>
        <w:rPr>
          <w:rFonts w:hint="eastAsia" w:ascii="宋体" w:hAnsi="宋体" w:cs="新宋体"/>
          <w:kern w:val="0"/>
          <w:sz w:val="18"/>
          <w:szCs w:val="18"/>
        </w:rPr>
        <w:tab/>
      </w:r>
      <w:r>
        <w:rPr>
          <w:rFonts w:hint="eastAsia" w:ascii="宋体" w:hAnsi="宋体" w:cs="新宋体"/>
          <w:kern w:val="0"/>
          <w:sz w:val="18"/>
          <w:szCs w:val="18"/>
        </w:rPr>
        <w:t xml:space="preserve"> &lt;XMXXKZ&gt;项目信息扩展&lt;/XMXXKZ&gt;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&lt;/YZZZSZYFP_XMXX&gt;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&lt;/YZZZSZYFP_XMXXS&gt;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&lt;/YZZZSZYFP&gt;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&lt;/YZZZSZYFPS&gt; </w:t>
      </w:r>
    </w:p>
    <w:p>
      <w:pPr>
        <w:autoSpaceDE w:val="0"/>
        <w:autoSpaceDN w:val="0"/>
        <w:adjustRightInd w:val="0"/>
        <w:spacing w:line="360" w:lineRule="auto"/>
        <w:ind w:left="420" w:leftChars="200"/>
        <w:rPr>
          <w:rFonts w:ascii="Calibri" w:hAnsi="Calibri"/>
          <w:color w:val="00B0F0"/>
        </w:rPr>
      </w:pPr>
      <w:r>
        <w:rPr>
          <w:rFonts w:hint="eastAsia" w:ascii="宋体" w:hAnsi="宋体" w:cs="新宋体"/>
          <w:kern w:val="0"/>
          <w:sz w:val="18"/>
          <w:szCs w:val="18"/>
        </w:rPr>
        <w:t>&lt;/REQUEST_FPYZ&gt;</w:t>
      </w:r>
    </w:p>
    <w:p>
      <w:pPr>
        <w:spacing w:line="360" w:lineRule="auto"/>
        <w:rPr>
          <w:color w:val="00B0F0"/>
        </w:rPr>
      </w:pPr>
    </w:p>
    <w:p>
      <w:pPr>
        <w:numPr>
          <w:ilvl w:val="0"/>
          <w:numId w:val="20"/>
        </w:numPr>
        <w:spacing w:line="360" w:lineRule="auto"/>
      </w:pPr>
      <w:r>
        <w:rPr>
          <w:rFonts w:hint="eastAsia"/>
          <w:b/>
        </w:rPr>
        <w:t>【</w:t>
      </w:r>
      <w:r>
        <w:rPr>
          <w:b/>
        </w:rPr>
        <w:t>Content</w:t>
      </w:r>
      <w:r>
        <w:rPr>
          <w:rFonts w:hint="eastAsia"/>
          <w:b/>
        </w:rPr>
        <w:t>中】请求数据项说明：</w:t>
      </w:r>
    </w:p>
    <w:p>
      <w:pPr>
        <w:spacing w:line="360" w:lineRule="auto"/>
        <w:ind w:left="420"/>
      </w:pPr>
    </w:p>
    <w:tbl>
      <w:tblPr>
        <w:tblStyle w:val="34"/>
        <w:tblW w:w="101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457"/>
        <w:gridCol w:w="2087"/>
        <w:gridCol w:w="1090"/>
        <w:gridCol w:w="867"/>
        <w:gridCol w:w="670"/>
        <w:gridCol w:w="3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shd w:val="clear" w:color="auto" w:fill="DEEAF6"/>
            <w:vAlign w:val="center"/>
          </w:tcPr>
          <w:p>
            <w:pPr>
              <w:spacing w:line="360" w:lineRule="auto"/>
              <w:jc w:val="center"/>
              <w:rPr>
                <w:rFonts w:ascii="宋体" w:hAnsi="宋体"/>
                <w:b/>
                <w:szCs w:val="21"/>
              </w:rPr>
            </w:pPr>
            <w:r>
              <w:rPr>
                <w:rFonts w:hint="eastAsia" w:ascii="宋体" w:hAnsi="宋体"/>
                <w:b/>
                <w:szCs w:val="21"/>
              </w:rPr>
              <w:t>序号</w:t>
            </w:r>
          </w:p>
        </w:tc>
        <w:tc>
          <w:tcPr>
            <w:tcW w:w="1457" w:type="dxa"/>
            <w:tcBorders>
              <w:top w:val="single" w:color="auto" w:sz="4" w:space="0"/>
              <w:left w:val="single" w:color="auto" w:sz="4" w:space="0"/>
              <w:bottom w:val="single" w:color="auto" w:sz="4" w:space="0"/>
              <w:right w:val="single" w:color="auto" w:sz="4" w:space="0"/>
            </w:tcBorders>
            <w:shd w:val="clear" w:color="auto" w:fill="DEEAF6"/>
            <w:vAlign w:val="center"/>
          </w:tcPr>
          <w:p>
            <w:pPr>
              <w:spacing w:line="360" w:lineRule="auto"/>
              <w:jc w:val="center"/>
              <w:rPr>
                <w:rFonts w:ascii="宋体" w:hAnsi="宋体"/>
                <w:b/>
                <w:szCs w:val="21"/>
              </w:rPr>
            </w:pPr>
            <w:r>
              <w:rPr>
                <w:rFonts w:hint="eastAsia" w:ascii="宋体" w:hAnsi="宋体"/>
                <w:b/>
                <w:szCs w:val="21"/>
              </w:rPr>
              <w:t>数据项</w:t>
            </w:r>
          </w:p>
        </w:tc>
        <w:tc>
          <w:tcPr>
            <w:tcW w:w="2087" w:type="dxa"/>
            <w:tcBorders>
              <w:top w:val="single" w:color="auto" w:sz="4" w:space="0"/>
              <w:left w:val="single" w:color="auto" w:sz="4" w:space="0"/>
              <w:bottom w:val="single" w:color="auto" w:sz="4" w:space="0"/>
              <w:right w:val="single" w:color="auto" w:sz="4" w:space="0"/>
            </w:tcBorders>
            <w:shd w:val="clear" w:color="auto" w:fill="DEEAF6"/>
            <w:vAlign w:val="center"/>
          </w:tcPr>
          <w:p>
            <w:pPr>
              <w:spacing w:line="360" w:lineRule="auto"/>
              <w:jc w:val="center"/>
              <w:rPr>
                <w:rFonts w:ascii="宋体" w:hAnsi="宋体"/>
                <w:b/>
                <w:szCs w:val="21"/>
              </w:rPr>
            </w:pPr>
            <w:r>
              <w:rPr>
                <w:rFonts w:hint="eastAsia" w:ascii="宋体" w:hAnsi="宋体"/>
                <w:b/>
                <w:szCs w:val="21"/>
              </w:rPr>
              <w:t>数据项名称名称</w:t>
            </w:r>
          </w:p>
        </w:tc>
        <w:tc>
          <w:tcPr>
            <w:tcW w:w="1090" w:type="dxa"/>
            <w:tcBorders>
              <w:top w:val="single" w:color="auto" w:sz="4" w:space="0"/>
              <w:left w:val="single" w:color="auto" w:sz="4" w:space="0"/>
              <w:bottom w:val="single" w:color="auto" w:sz="4" w:space="0"/>
              <w:right w:val="single" w:color="auto" w:sz="4" w:space="0"/>
            </w:tcBorders>
            <w:shd w:val="clear" w:color="auto" w:fill="DEEAF6"/>
            <w:vAlign w:val="center"/>
          </w:tcPr>
          <w:p>
            <w:pPr>
              <w:spacing w:line="360" w:lineRule="auto"/>
              <w:jc w:val="center"/>
              <w:rPr>
                <w:rFonts w:ascii="宋体" w:hAnsi="宋体"/>
                <w:b/>
                <w:szCs w:val="21"/>
              </w:rPr>
            </w:pPr>
            <w:r>
              <w:rPr>
                <w:rFonts w:hint="eastAsia" w:ascii="宋体" w:hAnsi="宋体"/>
                <w:b/>
                <w:szCs w:val="21"/>
              </w:rPr>
              <w:t>类型</w:t>
            </w:r>
          </w:p>
        </w:tc>
        <w:tc>
          <w:tcPr>
            <w:tcW w:w="867" w:type="dxa"/>
            <w:tcBorders>
              <w:top w:val="single" w:color="auto" w:sz="4" w:space="0"/>
              <w:left w:val="single" w:color="auto" w:sz="4" w:space="0"/>
              <w:bottom w:val="single" w:color="auto" w:sz="4" w:space="0"/>
              <w:right w:val="single" w:color="auto" w:sz="4" w:space="0"/>
            </w:tcBorders>
            <w:shd w:val="clear" w:color="auto" w:fill="DEEAF6"/>
            <w:vAlign w:val="center"/>
          </w:tcPr>
          <w:p>
            <w:pPr>
              <w:spacing w:line="360" w:lineRule="auto"/>
              <w:rPr>
                <w:rFonts w:ascii="宋体" w:hAnsi="宋体"/>
                <w:b/>
                <w:szCs w:val="21"/>
              </w:rPr>
            </w:pPr>
            <w:r>
              <w:rPr>
                <w:rFonts w:hint="eastAsia" w:ascii="宋体" w:hAnsi="宋体"/>
                <w:b/>
                <w:szCs w:val="21"/>
              </w:rPr>
              <w:t>长度</w:t>
            </w:r>
          </w:p>
        </w:tc>
        <w:tc>
          <w:tcPr>
            <w:tcW w:w="670" w:type="dxa"/>
            <w:tcBorders>
              <w:top w:val="single" w:color="auto" w:sz="4" w:space="0"/>
              <w:left w:val="single" w:color="auto" w:sz="4" w:space="0"/>
              <w:bottom w:val="single" w:color="auto" w:sz="4" w:space="0"/>
              <w:right w:val="single" w:color="auto" w:sz="4" w:space="0"/>
            </w:tcBorders>
            <w:shd w:val="clear" w:color="auto" w:fill="DEEAF6"/>
            <w:vAlign w:val="center"/>
          </w:tcPr>
          <w:p>
            <w:pPr>
              <w:spacing w:line="360" w:lineRule="auto"/>
              <w:rPr>
                <w:rFonts w:ascii="宋体" w:hAnsi="宋体"/>
                <w:b/>
                <w:szCs w:val="21"/>
              </w:rPr>
            </w:pPr>
            <w:r>
              <w:rPr>
                <w:rFonts w:hint="eastAsia" w:ascii="宋体" w:hAnsi="宋体"/>
                <w:b/>
                <w:szCs w:val="21"/>
              </w:rPr>
              <w:t>必须</w:t>
            </w:r>
          </w:p>
        </w:tc>
        <w:tc>
          <w:tcPr>
            <w:tcW w:w="3196" w:type="dxa"/>
            <w:tcBorders>
              <w:top w:val="single" w:color="auto" w:sz="4" w:space="0"/>
              <w:left w:val="single" w:color="auto" w:sz="4" w:space="0"/>
              <w:bottom w:val="single" w:color="auto" w:sz="4" w:space="0"/>
              <w:right w:val="single" w:color="auto" w:sz="4" w:space="0"/>
            </w:tcBorders>
            <w:shd w:val="clear" w:color="auto" w:fill="DEEAF6"/>
            <w:vAlign w:val="center"/>
          </w:tcPr>
          <w:p>
            <w:pPr>
              <w:spacing w:line="360" w:lineRule="auto"/>
              <w:rPr>
                <w:rFonts w:ascii="宋体" w:hAnsi="宋体"/>
                <w:b/>
                <w:szCs w:val="21"/>
              </w:rPr>
            </w:pPr>
            <w:r>
              <w:rPr>
                <w:rFonts w:hint="eastAsia" w:ascii="宋体" w:hAnsi="宋体"/>
                <w:b/>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53"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rPr>
              <w:t>增值税普通发票-发票头信息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FPQQLSH</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发票请求流水号</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20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ascii="宋体" w:hAnsi="宋体" w:cs="新宋体"/>
                <w:kern w:val="0"/>
                <w:sz w:val="18"/>
                <w:szCs w:val="18"/>
              </w:rPr>
              <w:t>YZSJLY</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发票验证数据来源</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50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KPLX</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开票类型</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NUMBER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0-蓝字发票</w:t>
            </w:r>
          </w:p>
          <w:p>
            <w:pPr>
              <w:spacing w:line="360" w:lineRule="auto"/>
              <w:rPr>
                <w:rFonts w:ascii="宋体" w:hAnsi="宋体"/>
              </w:rPr>
            </w:pPr>
            <w:r>
              <w:rPr>
                <w:rFonts w:hint="eastAsia" w:ascii="宋体" w:hAnsi="宋体"/>
              </w:rPr>
              <w:t>1-红字发票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t>NSRSBH</w:t>
            </w:r>
          </w:p>
        </w:tc>
        <w:tc>
          <w:tcPr>
            <w:tcW w:w="2087"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rPr>
                <w:rFonts w:hint="eastAsia"/>
              </w:rPr>
              <w:t>开票方识别号</w:t>
            </w:r>
          </w:p>
        </w:tc>
        <w:tc>
          <w:tcPr>
            <w:tcW w:w="1090" w:type="dxa"/>
            <w:tcBorders>
              <w:top w:val="single" w:color="auto" w:sz="4" w:space="0"/>
              <w:left w:val="single" w:color="auto" w:sz="4" w:space="0"/>
              <w:bottom w:val="single" w:color="auto" w:sz="4" w:space="0"/>
              <w:right w:val="single" w:color="auto" w:sz="4" w:space="0"/>
            </w:tcBorders>
          </w:tcPr>
          <w:p>
            <w:pPr>
              <w:spacing w:line="360" w:lineRule="auto"/>
              <w:jc w:val="center"/>
              <w:rPr>
                <w:rFonts w:ascii="Calibri" w:hAnsi="Calibri"/>
              </w:rPr>
            </w:pPr>
            <w:r>
              <w:rPr>
                <w:color w:val="000000"/>
              </w:rPr>
              <w:t>VARCHAR</w:t>
            </w:r>
          </w:p>
        </w:tc>
        <w:tc>
          <w:tcPr>
            <w:tcW w:w="867" w:type="dxa"/>
            <w:tcBorders>
              <w:top w:val="single" w:color="auto" w:sz="4" w:space="0"/>
              <w:left w:val="single" w:color="auto" w:sz="4" w:space="0"/>
              <w:bottom w:val="single" w:color="auto" w:sz="4" w:space="0"/>
              <w:right w:val="single" w:color="auto" w:sz="4" w:space="0"/>
            </w:tcBorders>
          </w:tcPr>
          <w:p>
            <w:pPr>
              <w:spacing w:line="360" w:lineRule="auto"/>
              <w:jc w:val="center"/>
              <w:rPr>
                <w:rFonts w:ascii="Calibri" w:hAnsi="Calibri"/>
              </w:rPr>
            </w:pPr>
            <w:r>
              <w:t>20</w:t>
            </w:r>
          </w:p>
        </w:tc>
        <w:tc>
          <w:tcPr>
            <w:tcW w:w="670" w:type="dxa"/>
            <w:tcBorders>
              <w:top w:val="single" w:color="auto" w:sz="4" w:space="0"/>
              <w:left w:val="single" w:color="auto" w:sz="4" w:space="0"/>
              <w:bottom w:val="single" w:color="auto" w:sz="4" w:space="0"/>
              <w:right w:val="single" w:color="auto" w:sz="4" w:space="0"/>
            </w:tcBorders>
          </w:tcPr>
          <w:p>
            <w:pPr>
              <w:spacing w:line="360" w:lineRule="auto"/>
              <w:jc w:val="center"/>
              <w:rPr>
                <w:rFonts w:ascii="Calibri" w:hAnsi="Calibri"/>
                <w:color w:val="FF0000"/>
              </w:rPr>
            </w:pPr>
            <w:r>
              <w:rPr>
                <w:rFonts w:hint="eastAsia"/>
              </w:rPr>
              <w:t>是</w:t>
            </w:r>
          </w:p>
        </w:tc>
        <w:tc>
          <w:tcPr>
            <w:tcW w:w="3196" w:type="dxa"/>
            <w:tcBorders>
              <w:top w:val="single" w:color="auto" w:sz="4" w:space="0"/>
              <w:left w:val="single" w:color="auto" w:sz="4" w:space="0"/>
              <w:bottom w:val="single" w:color="auto" w:sz="4" w:space="0"/>
              <w:right w:val="single" w:color="auto" w:sz="4" w:space="0"/>
            </w:tcBorders>
          </w:tcPr>
          <w:p>
            <w:pPr>
              <w:spacing w:line="360" w:lineRule="auto"/>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t>NSRMC</w:t>
            </w:r>
          </w:p>
        </w:tc>
        <w:tc>
          <w:tcPr>
            <w:tcW w:w="2087"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rPr>
                <w:rFonts w:hint="eastAsia"/>
              </w:rPr>
              <w:t>开票方名称</w:t>
            </w:r>
          </w:p>
        </w:tc>
        <w:tc>
          <w:tcPr>
            <w:tcW w:w="1090" w:type="dxa"/>
            <w:tcBorders>
              <w:top w:val="single" w:color="auto" w:sz="4" w:space="0"/>
              <w:left w:val="single" w:color="auto" w:sz="4" w:space="0"/>
              <w:bottom w:val="single" w:color="auto" w:sz="4" w:space="0"/>
              <w:right w:val="single" w:color="auto" w:sz="4" w:space="0"/>
            </w:tcBorders>
          </w:tcPr>
          <w:p>
            <w:pPr>
              <w:spacing w:line="360" w:lineRule="auto"/>
              <w:jc w:val="center"/>
              <w:rPr>
                <w:rFonts w:ascii="Calibri" w:hAnsi="Calibri"/>
              </w:rPr>
            </w:pPr>
            <w:r>
              <w:rPr>
                <w:color w:val="000000"/>
              </w:rPr>
              <w:t>VARCHAR</w:t>
            </w:r>
          </w:p>
        </w:tc>
        <w:tc>
          <w:tcPr>
            <w:tcW w:w="867" w:type="dxa"/>
            <w:tcBorders>
              <w:top w:val="single" w:color="auto" w:sz="4" w:space="0"/>
              <w:left w:val="single" w:color="auto" w:sz="4" w:space="0"/>
              <w:bottom w:val="single" w:color="auto" w:sz="4" w:space="0"/>
              <w:right w:val="single" w:color="auto" w:sz="4" w:space="0"/>
            </w:tcBorders>
          </w:tcPr>
          <w:p>
            <w:pPr>
              <w:spacing w:line="360" w:lineRule="auto"/>
              <w:jc w:val="center"/>
              <w:rPr>
                <w:rFonts w:ascii="Calibri" w:hAnsi="Calibri"/>
                <w:color w:val="FF0000"/>
              </w:rPr>
            </w:pPr>
            <w:r>
              <w:t>100</w:t>
            </w:r>
          </w:p>
        </w:tc>
        <w:tc>
          <w:tcPr>
            <w:tcW w:w="670" w:type="dxa"/>
            <w:tcBorders>
              <w:top w:val="single" w:color="auto" w:sz="4" w:space="0"/>
              <w:left w:val="single" w:color="auto" w:sz="4" w:space="0"/>
              <w:bottom w:val="single" w:color="auto" w:sz="4" w:space="0"/>
              <w:right w:val="single" w:color="auto" w:sz="4" w:space="0"/>
            </w:tcBorders>
          </w:tcPr>
          <w:p>
            <w:pPr>
              <w:spacing w:line="360" w:lineRule="auto"/>
              <w:jc w:val="center"/>
              <w:rPr>
                <w:rFonts w:ascii="Calibri" w:hAnsi="Calibri"/>
                <w:color w:val="FF0000"/>
              </w:rPr>
            </w:pPr>
            <w:r>
              <w:rPr>
                <w:rFonts w:hint="eastAsia"/>
              </w:rPr>
              <w:t>是</w:t>
            </w:r>
          </w:p>
        </w:tc>
        <w:tc>
          <w:tcPr>
            <w:tcW w:w="3196" w:type="dxa"/>
            <w:tcBorders>
              <w:top w:val="single" w:color="auto" w:sz="4" w:space="0"/>
              <w:left w:val="single" w:color="auto" w:sz="4" w:space="0"/>
              <w:bottom w:val="single" w:color="auto" w:sz="4" w:space="0"/>
              <w:right w:val="single" w:color="auto" w:sz="4" w:space="0"/>
            </w:tcBorders>
          </w:tcPr>
          <w:p>
            <w:pPr>
              <w:spacing w:line="360" w:lineRule="auto"/>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tcPr>
          <w:p>
            <w:pPr>
              <w:spacing w:line="360" w:lineRule="auto"/>
            </w:pPr>
            <w:r>
              <w:t>SWJG_DM</w:t>
            </w:r>
          </w:p>
        </w:tc>
        <w:tc>
          <w:tcPr>
            <w:tcW w:w="2087"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rPr>
                <w:rFonts w:hint="eastAsia"/>
              </w:rPr>
              <w:t>税务机构代码</w:t>
            </w:r>
          </w:p>
        </w:tc>
        <w:tc>
          <w:tcPr>
            <w:tcW w:w="1090" w:type="dxa"/>
            <w:tcBorders>
              <w:top w:val="single" w:color="auto" w:sz="4" w:space="0"/>
              <w:left w:val="single" w:color="auto" w:sz="4" w:space="0"/>
              <w:bottom w:val="single" w:color="auto" w:sz="4" w:space="0"/>
              <w:right w:val="single" w:color="auto" w:sz="4" w:space="0"/>
            </w:tcBorders>
          </w:tcPr>
          <w:p>
            <w:pPr>
              <w:spacing w:line="360" w:lineRule="auto"/>
              <w:jc w:val="center"/>
              <w:rPr>
                <w:rFonts w:ascii="Calibri" w:hAnsi="Calibri"/>
              </w:rPr>
            </w:pPr>
            <w:r>
              <w:rPr>
                <w:color w:val="000000"/>
              </w:rPr>
              <w:t>VARCHAR</w:t>
            </w:r>
          </w:p>
        </w:tc>
        <w:tc>
          <w:tcPr>
            <w:tcW w:w="867" w:type="dxa"/>
            <w:tcBorders>
              <w:top w:val="single" w:color="auto" w:sz="4" w:space="0"/>
              <w:left w:val="single" w:color="auto" w:sz="4" w:space="0"/>
              <w:bottom w:val="single" w:color="auto" w:sz="4" w:space="0"/>
              <w:right w:val="single" w:color="auto" w:sz="4" w:space="0"/>
            </w:tcBorders>
          </w:tcPr>
          <w:p>
            <w:pPr>
              <w:spacing w:line="360" w:lineRule="auto"/>
              <w:jc w:val="center"/>
              <w:rPr>
                <w:rFonts w:ascii="Calibri" w:hAnsi="Calibri"/>
              </w:rPr>
            </w:pPr>
            <w:r>
              <w:t>11</w:t>
            </w:r>
          </w:p>
        </w:tc>
        <w:tc>
          <w:tcPr>
            <w:tcW w:w="670" w:type="dxa"/>
            <w:tcBorders>
              <w:top w:val="single" w:color="auto" w:sz="4" w:space="0"/>
              <w:left w:val="single" w:color="auto" w:sz="4" w:space="0"/>
              <w:bottom w:val="single" w:color="auto" w:sz="4" w:space="0"/>
              <w:right w:val="single" w:color="auto" w:sz="4" w:space="0"/>
            </w:tcBorders>
          </w:tcPr>
          <w:p>
            <w:pPr>
              <w:spacing w:line="360" w:lineRule="auto"/>
              <w:jc w:val="center"/>
              <w:rPr>
                <w:rFonts w:ascii="Calibri" w:hAnsi="Calibri"/>
              </w:rPr>
            </w:pPr>
            <w:r>
              <w:rPr>
                <w:rFonts w:hint="eastAsia"/>
              </w:rPr>
              <w:t>否</w:t>
            </w:r>
          </w:p>
        </w:tc>
        <w:tc>
          <w:tcPr>
            <w:tcW w:w="3196" w:type="dxa"/>
            <w:tcBorders>
              <w:top w:val="single" w:color="auto" w:sz="4" w:space="0"/>
              <w:left w:val="single" w:color="auto" w:sz="4" w:space="0"/>
              <w:bottom w:val="single" w:color="auto" w:sz="4" w:space="0"/>
              <w:right w:val="single" w:color="auto" w:sz="4" w:space="0"/>
            </w:tcBorders>
          </w:tcPr>
          <w:p>
            <w:pPr>
              <w:spacing w:line="360" w:lineRule="auto"/>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XSF_NSRSBH</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销售方纳税人识别号</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20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XSF_MC</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销售方名称</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100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XSF_DZDH</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销售方地址、电话</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100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XSF_YHZH</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销售方银行账号</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100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GMF_NSRSBH</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购买方纳税人识别号</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20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GMF_MC</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购买方名称</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100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GMF_DZDH</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购买方地址、电话</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100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GMF_YHZH</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购买方银行账号</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100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KPR</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开票人</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8</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SKR</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收款人</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8</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FHR</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复核人</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8</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YFP_DM</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原发票代码</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12</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红字发票时必须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YFP_HM</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原发票号码</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8</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红字发票时必须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JSHJ</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价税合计</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color w:val="000000"/>
              </w:rPr>
              <w:t>DOUBLE</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单位：元（2位小数）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HJJE</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合计金额</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color w:val="000000"/>
              </w:rPr>
              <w:t>DOUBLE</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不含税，单位：元（2位小数）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HJSE</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合计税额</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color w:val="000000"/>
              </w:rPr>
              <w:t>DOUBLE</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单位：元（2位小数）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BZ</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备注</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200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备注长度应减去“机器编号:ZZZZZZZZZZZ”,”对应正数发票代码:XXXXXXXXXXXX号码:YYYYYYYY”字样长度，长度剩余130。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FPZT</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bCs/>
                <w:color w:val="000000"/>
              </w:rPr>
            </w:pPr>
            <w:r>
              <w:rPr>
                <w:rFonts w:hint="eastAsia" w:ascii="宋体" w:hAnsi="宋体"/>
                <w:bCs/>
                <w:color w:val="000000"/>
              </w:rPr>
              <w:t>发票状态</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rPr>
            </w:pPr>
            <w:r>
              <w:t>NUMBER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rPr>
            </w:pPr>
            <w:r>
              <w:rPr>
                <w:rFonts w:hint="eastAsia" w:ascii="宋体" w:hAnsi="宋体"/>
                <w:color w:val="000000"/>
              </w:rPr>
              <w:t>1</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rPr>
            </w:pPr>
            <w:r>
              <w:rPr>
                <w:rFonts w:hint="eastAsia" w:ascii="宋体" w:hAnsi="宋体"/>
                <w:color w:val="000000"/>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rPr>
            </w:pPr>
            <w:r>
              <w:rPr>
                <w:rFonts w:hint="eastAsia" w:ascii="宋体" w:hAnsi="宋体"/>
                <w:color w:val="000000"/>
              </w:rPr>
              <w:t>0-正常发票；1-作废发票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JQBH</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税控设备编号</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12</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color w:val="000000"/>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成功必填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FP_DM</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发票代码</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12</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color w:val="000000"/>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成功必填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FP_HM</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发票号码</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8</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color w:val="000000"/>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成功必填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KPRQ</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开票日期</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color w:val="000000"/>
              </w:rPr>
              <w:t>DATETIME</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14</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color w:val="000000"/>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YYYYMMDDHHMMSS</w:t>
            </w:r>
          </w:p>
          <w:p>
            <w:pPr>
              <w:spacing w:line="360" w:lineRule="auto"/>
              <w:rPr>
                <w:rFonts w:ascii="宋体" w:hAnsi="宋体"/>
              </w:rPr>
            </w:pPr>
            <w:r>
              <w:rPr>
                <w:rFonts w:hint="eastAsia" w:ascii="宋体" w:hAnsi="宋体"/>
              </w:rPr>
              <w:t>成功必填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FP_MW</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发票密文</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112</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color w:val="000000"/>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长度108或112，成功必填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JYM</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发票校验码</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20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color w:val="000000"/>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成功必填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EWM</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二维码</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3000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color w:val="000000"/>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长度可变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DZFP_BZ</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电子发票标志</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NUMBER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rPr>
            </w:pPr>
            <w:r>
              <w:rPr>
                <w:rFonts w:hint="eastAsia" w:ascii="宋体" w:hAnsi="宋体"/>
                <w:color w:val="000000"/>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PDF_FILE</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PDF</w:t>
            </w:r>
            <w:r>
              <w:rPr>
                <w:rFonts w:hint="eastAsia"/>
              </w:rPr>
              <w:t>文件</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rPr>
              <w:t>不定长</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rPr>
            </w:pPr>
            <w:r>
              <w:rPr>
                <w:rFonts w:hint="eastAsia"/>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电子发票时必填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FPTKZ</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发票头扩展</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不定长</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ind w:firstLine="105" w:firstLineChars="50"/>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53"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增值税普通发票</w:t>
            </w:r>
            <w:r>
              <w:t>-</w:t>
            </w:r>
            <w:r>
              <w:rPr>
                <w:rFonts w:hint="eastAsia"/>
              </w:rPr>
              <w:t>项目明细，可多条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ourier" w:hAnsi="Courier"/>
                <w:szCs w:val="21"/>
              </w:rPr>
            </w:pPr>
            <w:r>
              <w:t>FPHXZ</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发票行性质</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NUMBER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接口开票必填</w:t>
            </w:r>
          </w:p>
          <w:p>
            <w:pPr>
              <w:spacing w:line="360" w:lineRule="auto"/>
              <w:rPr>
                <w:rFonts w:ascii="宋体" w:hAnsi="宋体"/>
              </w:rPr>
            </w:pPr>
            <w:r>
              <w:rPr>
                <w:rFonts w:hint="eastAsia" w:ascii="宋体" w:hAnsi="宋体"/>
              </w:rPr>
              <w:t>0正常行</w:t>
            </w:r>
          </w:p>
          <w:p>
            <w:pPr>
              <w:spacing w:line="360" w:lineRule="auto"/>
              <w:rPr>
                <w:rFonts w:ascii="宋体" w:hAnsi="宋体"/>
              </w:rPr>
            </w:pPr>
            <w:r>
              <w:rPr>
                <w:rFonts w:hint="eastAsia" w:ascii="宋体" w:hAnsi="宋体"/>
              </w:rPr>
              <w:t>1折扣行</w:t>
            </w:r>
          </w:p>
          <w:p>
            <w:pPr>
              <w:spacing w:line="360" w:lineRule="auto"/>
              <w:rPr>
                <w:rFonts w:ascii="宋体" w:hAnsi="宋体"/>
              </w:rPr>
            </w:pPr>
            <w:r>
              <w:rPr>
                <w:rFonts w:hint="eastAsia" w:ascii="宋体" w:hAnsi="宋体"/>
              </w:rPr>
              <w:t>2被折扣行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XMMC</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项目名称</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90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宋体" w:hAnsi="宋体"/>
              </w:rPr>
            </w:pPr>
            <w:r>
              <w:rPr>
                <w:rFonts w:hint="eastAsia" w:ascii="宋体" w:hAnsi="宋体"/>
              </w:rPr>
              <w:t>在发票和销货清单中，可在每一行商品下加入折扣行，折扣行商品名称栏填写“折扣（X.XXX%）”字样，其中“X”为折扣率数字，金额和税额栏以负数填写，税率与被折扣行商品税率相同，其它栏不填写。</w:t>
            </w:r>
          </w:p>
          <w:p>
            <w:pPr>
              <w:spacing w:line="360" w:lineRule="auto"/>
              <w:ind w:firstLine="420" w:firstLineChars="200"/>
              <w:rPr>
                <w:rFonts w:ascii="宋体" w:hAnsi="宋体"/>
              </w:rPr>
            </w:pPr>
            <w:r>
              <w:rPr>
                <w:rFonts w:hint="eastAsia" w:ascii="宋体" w:hAnsi="宋体"/>
              </w:rPr>
              <w:t>对于相邻商品行折扣率相同的，可汇总填写折扣行，折扣行商品名称栏填写“折扣行数Y(X.XXX%)”字样，其中“Y”为汇总行数数字，汇总金额和汇总税额栏以负数填写，税率与发票税率相同，其它栏不填写。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DW</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计量单位</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20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GGXH</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规格型号</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40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XMSL</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项目数量</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color w:val="000000"/>
              </w:rPr>
              <w:t>DOUBLE</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小数点后6位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XMDJ</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项目单价</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color w:val="000000"/>
              </w:rPr>
              <w:t>DOUBLE</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小数点后6位 不含税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XMJE</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项目金额</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color w:val="000000"/>
              </w:rPr>
              <w:t>DOUBLE</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不含税，单位：元（2位小数）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SL</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税率</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color w:val="000000"/>
              </w:rPr>
              <w:t>DOUBLE</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6位小数，例1%为0.01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SE</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税额</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color w:val="000000"/>
              </w:rPr>
              <w:t>DOUBLE</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单位：元（2位小数）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2"/>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XMXXKZ</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项目信息扩展</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不定长</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53"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rPr>
              <w:t>增值税专用发票-发票头信息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FPQQLSH</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发票请求流水号</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20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ascii="宋体" w:hAnsi="宋体" w:cs="新宋体"/>
                <w:kern w:val="0"/>
                <w:sz w:val="18"/>
                <w:szCs w:val="18"/>
              </w:rPr>
              <w:t>YZSJLY</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发票验证数据来源</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50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KPLX</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开票类型</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NUMBER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0-蓝字发票</w:t>
            </w:r>
          </w:p>
          <w:p>
            <w:pPr>
              <w:spacing w:line="360" w:lineRule="auto"/>
              <w:rPr>
                <w:rFonts w:ascii="宋体" w:hAnsi="宋体"/>
              </w:rPr>
            </w:pPr>
            <w:r>
              <w:rPr>
                <w:rFonts w:hint="eastAsia" w:ascii="宋体" w:hAnsi="宋体"/>
              </w:rPr>
              <w:t>1-红字发票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t>NSRSBH</w:t>
            </w:r>
          </w:p>
        </w:tc>
        <w:tc>
          <w:tcPr>
            <w:tcW w:w="2087"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rPr>
                <w:rFonts w:hint="eastAsia"/>
              </w:rPr>
              <w:t>开票方识别号</w:t>
            </w:r>
          </w:p>
        </w:tc>
        <w:tc>
          <w:tcPr>
            <w:tcW w:w="1090" w:type="dxa"/>
            <w:tcBorders>
              <w:top w:val="single" w:color="auto" w:sz="4" w:space="0"/>
              <w:left w:val="single" w:color="auto" w:sz="4" w:space="0"/>
              <w:bottom w:val="single" w:color="auto" w:sz="4" w:space="0"/>
              <w:right w:val="single" w:color="auto" w:sz="4" w:space="0"/>
            </w:tcBorders>
          </w:tcPr>
          <w:p>
            <w:pPr>
              <w:spacing w:line="360" w:lineRule="auto"/>
              <w:jc w:val="center"/>
              <w:rPr>
                <w:rFonts w:ascii="Calibri" w:hAnsi="Calibri"/>
              </w:rPr>
            </w:pPr>
            <w:r>
              <w:rPr>
                <w:color w:val="000000"/>
              </w:rPr>
              <w:t>VARCHAR</w:t>
            </w:r>
          </w:p>
        </w:tc>
        <w:tc>
          <w:tcPr>
            <w:tcW w:w="867" w:type="dxa"/>
            <w:tcBorders>
              <w:top w:val="single" w:color="auto" w:sz="4" w:space="0"/>
              <w:left w:val="single" w:color="auto" w:sz="4" w:space="0"/>
              <w:bottom w:val="single" w:color="auto" w:sz="4" w:space="0"/>
              <w:right w:val="single" w:color="auto" w:sz="4" w:space="0"/>
            </w:tcBorders>
          </w:tcPr>
          <w:p>
            <w:pPr>
              <w:spacing w:line="360" w:lineRule="auto"/>
              <w:jc w:val="center"/>
              <w:rPr>
                <w:rFonts w:ascii="Calibri" w:hAnsi="Calibri"/>
              </w:rPr>
            </w:pPr>
            <w:r>
              <w:t>20</w:t>
            </w:r>
          </w:p>
        </w:tc>
        <w:tc>
          <w:tcPr>
            <w:tcW w:w="670" w:type="dxa"/>
            <w:tcBorders>
              <w:top w:val="single" w:color="auto" w:sz="4" w:space="0"/>
              <w:left w:val="single" w:color="auto" w:sz="4" w:space="0"/>
              <w:bottom w:val="single" w:color="auto" w:sz="4" w:space="0"/>
              <w:right w:val="single" w:color="auto" w:sz="4" w:space="0"/>
            </w:tcBorders>
          </w:tcPr>
          <w:p>
            <w:pPr>
              <w:spacing w:line="360" w:lineRule="auto"/>
              <w:jc w:val="center"/>
              <w:rPr>
                <w:rFonts w:ascii="Calibri" w:hAnsi="Calibri"/>
                <w:color w:val="FF0000"/>
              </w:rPr>
            </w:pPr>
            <w:r>
              <w:rPr>
                <w:rFonts w:hint="eastAsia"/>
              </w:rPr>
              <w:t>是</w:t>
            </w:r>
          </w:p>
        </w:tc>
        <w:tc>
          <w:tcPr>
            <w:tcW w:w="3196" w:type="dxa"/>
            <w:tcBorders>
              <w:top w:val="single" w:color="auto" w:sz="4" w:space="0"/>
              <w:left w:val="single" w:color="auto" w:sz="4" w:space="0"/>
              <w:bottom w:val="single" w:color="auto" w:sz="4" w:space="0"/>
              <w:right w:val="single" w:color="auto" w:sz="4" w:space="0"/>
            </w:tcBorders>
          </w:tcPr>
          <w:p>
            <w:pPr>
              <w:spacing w:line="360" w:lineRule="auto"/>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t>NSRMC</w:t>
            </w:r>
          </w:p>
        </w:tc>
        <w:tc>
          <w:tcPr>
            <w:tcW w:w="2087"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rPr>
                <w:rFonts w:hint="eastAsia"/>
              </w:rPr>
              <w:t>开票方名称</w:t>
            </w:r>
          </w:p>
        </w:tc>
        <w:tc>
          <w:tcPr>
            <w:tcW w:w="1090" w:type="dxa"/>
            <w:tcBorders>
              <w:top w:val="single" w:color="auto" w:sz="4" w:space="0"/>
              <w:left w:val="single" w:color="auto" w:sz="4" w:space="0"/>
              <w:bottom w:val="single" w:color="auto" w:sz="4" w:space="0"/>
              <w:right w:val="single" w:color="auto" w:sz="4" w:space="0"/>
            </w:tcBorders>
          </w:tcPr>
          <w:p>
            <w:pPr>
              <w:spacing w:line="360" w:lineRule="auto"/>
              <w:jc w:val="center"/>
              <w:rPr>
                <w:rFonts w:ascii="Calibri" w:hAnsi="Calibri"/>
              </w:rPr>
            </w:pPr>
            <w:r>
              <w:rPr>
                <w:color w:val="000000"/>
              </w:rPr>
              <w:t>VARCHAR</w:t>
            </w:r>
          </w:p>
        </w:tc>
        <w:tc>
          <w:tcPr>
            <w:tcW w:w="867" w:type="dxa"/>
            <w:tcBorders>
              <w:top w:val="single" w:color="auto" w:sz="4" w:space="0"/>
              <w:left w:val="single" w:color="auto" w:sz="4" w:space="0"/>
              <w:bottom w:val="single" w:color="auto" w:sz="4" w:space="0"/>
              <w:right w:val="single" w:color="auto" w:sz="4" w:space="0"/>
            </w:tcBorders>
          </w:tcPr>
          <w:p>
            <w:pPr>
              <w:spacing w:line="360" w:lineRule="auto"/>
              <w:jc w:val="center"/>
              <w:rPr>
                <w:rFonts w:ascii="Calibri" w:hAnsi="Calibri"/>
                <w:color w:val="FF0000"/>
              </w:rPr>
            </w:pPr>
            <w:r>
              <w:t>100</w:t>
            </w:r>
          </w:p>
        </w:tc>
        <w:tc>
          <w:tcPr>
            <w:tcW w:w="670" w:type="dxa"/>
            <w:tcBorders>
              <w:top w:val="single" w:color="auto" w:sz="4" w:space="0"/>
              <w:left w:val="single" w:color="auto" w:sz="4" w:space="0"/>
              <w:bottom w:val="single" w:color="auto" w:sz="4" w:space="0"/>
              <w:right w:val="single" w:color="auto" w:sz="4" w:space="0"/>
            </w:tcBorders>
          </w:tcPr>
          <w:p>
            <w:pPr>
              <w:spacing w:line="360" w:lineRule="auto"/>
              <w:jc w:val="center"/>
              <w:rPr>
                <w:rFonts w:ascii="Calibri" w:hAnsi="Calibri"/>
                <w:color w:val="FF0000"/>
              </w:rPr>
            </w:pPr>
            <w:r>
              <w:rPr>
                <w:rFonts w:hint="eastAsia"/>
              </w:rPr>
              <w:t>是</w:t>
            </w:r>
          </w:p>
        </w:tc>
        <w:tc>
          <w:tcPr>
            <w:tcW w:w="3196" w:type="dxa"/>
            <w:tcBorders>
              <w:top w:val="single" w:color="auto" w:sz="4" w:space="0"/>
              <w:left w:val="single" w:color="auto" w:sz="4" w:space="0"/>
              <w:bottom w:val="single" w:color="auto" w:sz="4" w:space="0"/>
              <w:right w:val="single" w:color="auto" w:sz="4" w:space="0"/>
            </w:tcBorders>
          </w:tcPr>
          <w:p>
            <w:pPr>
              <w:spacing w:line="360" w:lineRule="auto"/>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tcPr>
          <w:p>
            <w:pPr>
              <w:spacing w:line="360" w:lineRule="auto"/>
            </w:pPr>
            <w:r>
              <w:t>SWJG_DM</w:t>
            </w:r>
          </w:p>
        </w:tc>
        <w:tc>
          <w:tcPr>
            <w:tcW w:w="2087"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rPr>
                <w:rFonts w:hint="eastAsia"/>
              </w:rPr>
              <w:t>税务机构代码</w:t>
            </w:r>
          </w:p>
        </w:tc>
        <w:tc>
          <w:tcPr>
            <w:tcW w:w="1090" w:type="dxa"/>
            <w:tcBorders>
              <w:top w:val="single" w:color="auto" w:sz="4" w:space="0"/>
              <w:left w:val="single" w:color="auto" w:sz="4" w:space="0"/>
              <w:bottom w:val="single" w:color="auto" w:sz="4" w:space="0"/>
              <w:right w:val="single" w:color="auto" w:sz="4" w:space="0"/>
            </w:tcBorders>
          </w:tcPr>
          <w:p>
            <w:pPr>
              <w:spacing w:line="360" w:lineRule="auto"/>
              <w:jc w:val="center"/>
              <w:rPr>
                <w:rFonts w:ascii="Calibri" w:hAnsi="Calibri"/>
              </w:rPr>
            </w:pPr>
            <w:r>
              <w:rPr>
                <w:color w:val="000000"/>
              </w:rPr>
              <w:t>VARCHAR</w:t>
            </w:r>
          </w:p>
        </w:tc>
        <w:tc>
          <w:tcPr>
            <w:tcW w:w="867" w:type="dxa"/>
            <w:tcBorders>
              <w:top w:val="single" w:color="auto" w:sz="4" w:space="0"/>
              <w:left w:val="single" w:color="auto" w:sz="4" w:space="0"/>
              <w:bottom w:val="single" w:color="auto" w:sz="4" w:space="0"/>
              <w:right w:val="single" w:color="auto" w:sz="4" w:space="0"/>
            </w:tcBorders>
          </w:tcPr>
          <w:p>
            <w:pPr>
              <w:spacing w:line="360" w:lineRule="auto"/>
              <w:jc w:val="center"/>
              <w:rPr>
                <w:rFonts w:ascii="Calibri" w:hAnsi="Calibri"/>
              </w:rPr>
            </w:pPr>
            <w:r>
              <w:t>11</w:t>
            </w:r>
          </w:p>
        </w:tc>
        <w:tc>
          <w:tcPr>
            <w:tcW w:w="670" w:type="dxa"/>
            <w:tcBorders>
              <w:top w:val="single" w:color="auto" w:sz="4" w:space="0"/>
              <w:left w:val="single" w:color="auto" w:sz="4" w:space="0"/>
              <w:bottom w:val="single" w:color="auto" w:sz="4" w:space="0"/>
              <w:right w:val="single" w:color="auto" w:sz="4" w:space="0"/>
            </w:tcBorders>
          </w:tcPr>
          <w:p>
            <w:pPr>
              <w:spacing w:line="360" w:lineRule="auto"/>
              <w:jc w:val="center"/>
              <w:rPr>
                <w:rFonts w:ascii="Calibri" w:hAnsi="Calibri"/>
              </w:rPr>
            </w:pPr>
            <w:r>
              <w:rPr>
                <w:rFonts w:hint="eastAsia"/>
              </w:rPr>
              <w:t>否</w:t>
            </w:r>
          </w:p>
        </w:tc>
        <w:tc>
          <w:tcPr>
            <w:tcW w:w="3196" w:type="dxa"/>
            <w:tcBorders>
              <w:top w:val="single" w:color="auto" w:sz="4" w:space="0"/>
              <w:left w:val="single" w:color="auto" w:sz="4" w:space="0"/>
              <w:bottom w:val="single" w:color="auto" w:sz="4" w:space="0"/>
              <w:right w:val="single" w:color="auto" w:sz="4" w:space="0"/>
            </w:tcBorders>
          </w:tcPr>
          <w:p>
            <w:pPr>
              <w:spacing w:line="360" w:lineRule="auto"/>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XSF_NSRSBH</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销售方纳税人识别号</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20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XSF_MC</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销售方名称</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100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XSF_DZDH</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销售方地址、电话</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100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XSF_YHZH</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销售方银行账号</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100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GMF_NSRSBH</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购买方纳税人识别号</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20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GMF_MC</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购买方名称</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100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GMF_DZDH</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购买方地址、电话</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100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GMF_YHZH</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购买方银行账号</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100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KPR</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开票人</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8</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SKR</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收款人</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8</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FHR</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复核人</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8</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YFP_DM</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原发票代码</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12</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红字发票时必须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YFP_HM</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原发票号码</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8</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红字发票时必须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JSHJ</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价税合计</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color w:val="000000"/>
              </w:rPr>
              <w:t>DOUBLE</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单位：元（2位小数）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HJJE</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合计金额</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color w:val="000000"/>
              </w:rPr>
              <w:t>DOUBLE</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不含税，单位：元（2位小数）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HJSE</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合计税额</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color w:val="000000"/>
              </w:rPr>
              <w:t>DOUBLE</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单位：元（2位小数）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BZ</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备注</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200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备注长度应减去“机器编号:ZZZZZZZZZZZ”,”对应正数发票代码:XXXXXXXXXXXX号码:YYYYYYYY”字样长度，长度剩余130。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FPZT</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bCs/>
                <w:color w:val="000000"/>
              </w:rPr>
            </w:pPr>
            <w:r>
              <w:rPr>
                <w:rFonts w:hint="eastAsia" w:ascii="宋体" w:hAnsi="宋体"/>
                <w:bCs/>
                <w:color w:val="000000"/>
              </w:rPr>
              <w:t>发票状态</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rPr>
            </w:pPr>
            <w:r>
              <w:t>NUMBER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rPr>
            </w:pPr>
            <w:r>
              <w:rPr>
                <w:rFonts w:hint="eastAsia" w:ascii="宋体" w:hAnsi="宋体"/>
                <w:color w:val="000000"/>
              </w:rPr>
              <w:t>1</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rPr>
            </w:pPr>
            <w:r>
              <w:rPr>
                <w:rFonts w:hint="eastAsia" w:ascii="宋体" w:hAnsi="宋体"/>
                <w:color w:val="000000"/>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rPr>
            </w:pPr>
            <w:r>
              <w:rPr>
                <w:rFonts w:hint="eastAsia" w:ascii="宋体" w:hAnsi="宋体"/>
                <w:color w:val="000000"/>
              </w:rPr>
              <w:t>0-正常发票；1-作废发票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FP_DM</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发票代码</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12</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FP_HM</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发票号码</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8</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KPRQ</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开票日期</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color w:val="000000"/>
              </w:rPr>
              <w:t>DATETIME</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14</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YYYYMMDDHHMMSS</w:t>
            </w:r>
          </w:p>
          <w:p>
            <w:pPr>
              <w:spacing w:line="360" w:lineRule="auto"/>
              <w:rPr>
                <w:rFonts w:ascii="宋体" w:hAnsi="宋体"/>
              </w:rPr>
            </w:pPr>
            <w:r>
              <w:rPr>
                <w:rFonts w:hint="eastAsia" w:ascii="宋体" w:hAnsi="宋体"/>
              </w:rPr>
              <w:t>成功必填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FP_MW</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发票密文</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112</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长度108或112，成功必填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JYM</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发票校验码</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20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成功必填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EWM</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二维码</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3000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长度可变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FPTKZ</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发票头扩展</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color w:val="000000"/>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不定长</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ind w:firstLine="105" w:firstLineChars="50"/>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53"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rPr>
            </w:pPr>
            <w:r>
              <w:rPr>
                <w:rFonts w:hint="eastAsia"/>
              </w:rPr>
              <w:t>增值税专用发票</w:t>
            </w:r>
            <w:r>
              <w:t>-</w:t>
            </w:r>
            <w:r>
              <w:rPr>
                <w:rFonts w:hint="eastAsia"/>
              </w:rPr>
              <w:t>项目明细，可多条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ourier" w:hAnsi="Courier"/>
                <w:szCs w:val="21"/>
              </w:rPr>
            </w:pPr>
            <w:r>
              <w:t>FPHXZ</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发票行性质</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NUMBER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接口开票必填</w:t>
            </w:r>
          </w:p>
          <w:p>
            <w:pPr>
              <w:spacing w:line="360" w:lineRule="auto"/>
              <w:rPr>
                <w:rFonts w:ascii="宋体" w:hAnsi="宋体"/>
              </w:rPr>
            </w:pPr>
            <w:r>
              <w:rPr>
                <w:rFonts w:hint="eastAsia" w:ascii="宋体" w:hAnsi="宋体"/>
              </w:rPr>
              <w:t>0正常行</w:t>
            </w:r>
          </w:p>
          <w:p>
            <w:pPr>
              <w:spacing w:line="360" w:lineRule="auto"/>
              <w:rPr>
                <w:rFonts w:ascii="宋体" w:hAnsi="宋体"/>
              </w:rPr>
            </w:pPr>
            <w:r>
              <w:rPr>
                <w:rFonts w:hint="eastAsia" w:ascii="宋体" w:hAnsi="宋体"/>
              </w:rPr>
              <w:t>1折扣行</w:t>
            </w:r>
          </w:p>
          <w:p>
            <w:pPr>
              <w:spacing w:line="360" w:lineRule="auto"/>
              <w:rPr>
                <w:rFonts w:ascii="宋体" w:hAnsi="宋体"/>
              </w:rPr>
            </w:pPr>
            <w:r>
              <w:rPr>
                <w:rFonts w:hint="eastAsia" w:ascii="宋体" w:hAnsi="宋体"/>
              </w:rPr>
              <w:t>2被折扣行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XMMC</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项目名称</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90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宋体" w:hAnsi="宋体"/>
              </w:rPr>
            </w:pPr>
            <w:r>
              <w:rPr>
                <w:rFonts w:hint="eastAsia" w:ascii="宋体" w:hAnsi="宋体"/>
              </w:rPr>
              <w:t>在发票和销货清单中，可在每一行商品下加入折扣行，折扣行商品名称栏填写“折扣（X.XXX%）”字样，其中“X”为折扣率数字，金额和税额栏以负数填写，税率与被折扣行商品税率相同，其它栏不填写。</w:t>
            </w:r>
          </w:p>
          <w:p>
            <w:pPr>
              <w:spacing w:line="360" w:lineRule="auto"/>
              <w:ind w:firstLine="420" w:firstLineChars="200"/>
              <w:rPr>
                <w:rFonts w:ascii="宋体" w:hAnsi="宋体"/>
              </w:rPr>
            </w:pPr>
            <w:r>
              <w:rPr>
                <w:rFonts w:hint="eastAsia" w:ascii="宋体" w:hAnsi="宋体"/>
              </w:rPr>
              <w:t>对于相邻商品行折扣率相同的，可汇总填写折扣行，折扣行商品名称栏填写“折扣行数Y(X.XXX%)”字样，其中“Y”为汇总行数数字，汇总金额和汇总税额栏以负数填写，税率与发票税率相同，其它栏不填写。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DW</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计量单位</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20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GGXH</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规格型号</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40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XMSL</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项目数量</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color w:val="000000"/>
              </w:rPr>
              <w:t>DOUBLE</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小数点后6位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XMDJ</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项目单价</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color w:val="000000"/>
              </w:rPr>
              <w:t>DOUBLE</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小数点后6位 不含税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XMJE</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项目金额</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color w:val="000000"/>
              </w:rPr>
              <w:t>DOUBLE</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不含税，单位：元（2位小数）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SL</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税率</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color w:val="000000"/>
              </w:rPr>
              <w:t>DOUBLE</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6位小数，例1%为0.01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SE</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税额</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color w:val="000000"/>
              </w:rPr>
              <w:t>DOUBLE</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单位：元（2位小数）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numPr>
                <w:ilvl w:val="0"/>
                <w:numId w:val="23"/>
              </w:numPr>
              <w:spacing w:line="360" w:lineRule="auto"/>
              <w:jc w:val="center"/>
              <w:rPr>
                <w:rFonts w:ascii="宋体" w:hAnsi="宋体"/>
              </w:rPr>
            </w:pP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XMXXKZ</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项目信息扩展</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不定长</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bl>
    <w:p>
      <w:pPr>
        <w:spacing w:line="360" w:lineRule="auto"/>
        <w:rPr>
          <w:b/>
        </w:rPr>
      </w:pPr>
    </w:p>
    <w:p>
      <w:pPr>
        <w:spacing w:line="360" w:lineRule="auto"/>
        <w:rPr>
          <w:b/>
        </w:rPr>
      </w:pPr>
      <w:r>
        <w:rPr>
          <w:rFonts w:hint="eastAsia"/>
          <w:b/>
        </w:rPr>
        <w:t>返回报文示例与数据项说明</w:t>
      </w:r>
    </w:p>
    <w:p>
      <w:pPr>
        <w:numPr>
          <w:ilvl w:val="0"/>
          <w:numId w:val="6"/>
        </w:numPr>
        <w:spacing w:line="360" w:lineRule="auto"/>
        <w:rPr>
          <w:b/>
        </w:rPr>
      </w:pPr>
      <w:r>
        <w:rPr>
          <w:rFonts w:hint="eastAsia"/>
          <w:b/>
        </w:rPr>
        <w:t>【</w:t>
      </w:r>
      <w:r>
        <w:rPr>
          <w:b/>
        </w:rPr>
        <w:t>Content</w:t>
      </w:r>
      <w:r>
        <w:rPr>
          <w:rFonts w:hint="eastAsia"/>
          <w:b/>
        </w:rPr>
        <w:t>中】返回报文示例：</w:t>
      </w:r>
    </w:p>
    <w:p>
      <w:pPr>
        <w:spacing w:line="360" w:lineRule="auto"/>
      </w:pP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&lt;RESPONSE_FPSC class="RESPONSE_FPYZ"&gt;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&lt;YZZZSPTFPS class="YZZZSPTFP;" size="1"&gt; </w:t>
      </w:r>
    </w:p>
    <w:p>
      <w:pPr>
        <w:autoSpaceDE w:val="0"/>
        <w:autoSpaceDN w:val="0"/>
        <w:adjustRightInd w:val="0"/>
        <w:spacing w:line="360" w:lineRule="auto"/>
        <w:ind w:left="420" w:leftChars="200" w:firstLine="420"/>
        <w:rPr>
          <w:rFonts w:ascii="宋体" w:hAnsi="宋体" w:cs="新宋体"/>
          <w:kern w:val="0"/>
          <w:sz w:val="18"/>
          <w:szCs w:val="18"/>
        </w:rPr>
      </w:pPr>
      <w:r>
        <w:rPr>
          <w:rFonts w:hint="eastAsia" w:ascii="宋体" w:hAnsi="宋体" w:cs="新宋体"/>
          <w:kern w:val="0"/>
          <w:sz w:val="18"/>
          <w:szCs w:val="18"/>
        </w:rPr>
        <w:t>&lt;YZZZSPTFP&gt;</w:t>
      </w:r>
    </w:p>
    <w:p>
      <w:pPr>
        <w:autoSpaceDE w:val="0"/>
        <w:autoSpaceDN w:val="0"/>
        <w:adjustRightInd w:val="0"/>
        <w:spacing w:line="360" w:lineRule="auto"/>
        <w:ind w:left="1050" w:leftChars="500"/>
        <w:rPr>
          <w:rFonts w:ascii="宋体" w:hAnsi="宋体" w:cs="新宋体"/>
          <w:kern w:val="0"/>
          <w:sz w:val="18"/>
          <w:szCs w:val="18"/>
        </w:rPr>
      </w:pPr>
      <w:r>
        <w:rPr>
          <w:rFonts w:hint="eastAsia" w:ascii="宋体" w:hAnsi="宋体" w:cs="新宋体"/>
          <w:kern w:val="0"/>
          <w:sz w:val="18"/>
          <w:szCs w:val="18"/>
        </w:rPr>
        <w:t>&lt;FPQQLSH&gt;发票请求唯一流水号&lt;/FPQQLSH&gt;</w:t>
      </w:r>
    </w:p>
    <w:p>
      <w:pPr>
        <w:autoSpaceDE w:val="0"/>
        <w:autoSpaceDN w:val="0"/>
        <w:adjustRightInd w:val="0"/>
        <w:spacing w:line="360" w:lineRule="auto"/>
        <w:ind w:left="1050" w:leftChars="500"/>
        <w:rPr>
          <w:rFonts w:ascii="宋体" w:hAnsi="宋体" w:cs="新宋体"/>
          <w:kern w:val="0"/>
          <w:sz w:val="18"/>
          <w:szCs w:val="18"/>
        </w:rPr>
      </w:pPr>
      <w:r>
        <w:rPr>
          <w:rFonts w:hint="eastAsia" w:ascii="宋体" w:hAnsi="宋体" w:cs="新宋体"/>
          <w:kern w:val="0"/>
          <w:sz w:val="18"/>
          <w:szCs w:val="18"/>
        </w:rPr>
        <w:t>&lt;FP_DM&gt;发票代码&lt;/FP_DM&gt;</w:t>
      </w:r>
    </w:p>
    <w:p>
      <w:pPr>
        <w:autoSpaceDE w:val="0"/>
        <w:autoSpaceDN w:val="0"/>
        <w:adjustRightInd w:val="0"/>
        <w:spacing w:line="360" w:lineRule="auto"/>
        <w:ind w:left="1050" w:leftChars="500"/>
        <w:rPr>
          <w:rFonts w:ascii="宋体" w:hAnsi="宋体" w:cs="新宋体"/>
          <w:kern w:val="0"/>
          <w:sz w:val="18"/>
          <w:szCs w:val="18"/>
        </w:rPr>
      </w:pPr>
      <w:r>
        <w:rPr>
          <w:rFonts w:hint="eastAsia" w:ascii="宋体" w:hAnsi="宋体" w:cs="新宋体"/>
          <w:kern w:val="0"/>
          <w:sz w:val="18"/>
          <w:szCs w:val="18"/>
        </w:rPr>
        <w:t>&lt;FP_HM&gt;发票号码&lt;/FP_HM&gt;</w:t>
      </w:r>
    </w:p>
    <w:p>
      <w:pPr>
        <w:autoSpaceDE w:val="0"/>
        <w:autoSpaceDN w:val="0"/>
        <w:adjustRightInd w:val="0"/>
        <w:spacing w:line="360" w:lineRule="auto"/>
        <w:ind w:left="1050" w:leftChars="500"/>
        <w:rPr>
          <w:rFonts w:ascii="宋体" w:hAnsi="宋体" w:cs="新宋体"/>
          <w:kern w:val="0"/>
          <w:sz w:val="18"/>
          <w:szCs w:val="18"/>
        </w:rPr>
      </w:pPr>
      <w:r>
        <w:rPr>
          <w:rFonts w:hint="eastAsia" w:ascii="宋体" w:hAnsi="宋体" w:cs="新宋体"/>
          <w:kern w:val="0"/>
          <w:sz w:val="18"/>
          <w:szCs w:val="18"/>
        </w:rPr>
        <w:t>&lt;YZ_ZCS&gt;验证总次数&lt;/YZ_ZCS&gt;</w:t>
      </w:r>
    </w:p>
    <w:p>
      <w:pPr>
        <w:autoSpaceDE w:val="0"/>
        <w:autoSpaceDN w:val="0"/>
        <w:adjustRightInd w:val="0"/>
        <w:spacing w:line="360" w:lineRule="auto"/>
        <w:ind w:left="1050" w:leftChars="500"/>
        <w:rPr>
          <w:rFonts w:ascii="宋体" w:hAnsi="宋体" w:cs="新宋体"/>
          <w:kern w:val="0"/>
          <w:sz w:val="18"/>
          <w:szCs w:val="18"/>
        </w:rPr>
      </w:pPr>
      <w:r>
        <w:rPr>
          <w:rFonts w:hint="eastAsia" w:ascii="宋体" w:hAnsi="宋体" w:cs="新宋体"/>
          <w:kern w:val="0"/>
          <w:sz w:val="18"/>
          <w:szCs w:val="18"/>
        </w:rPr>
        <w:t>&lt;YZ_SBCS&gt;验证失败次数&lt;/YZ_SBCS&gt;</w:t>
      </w:r>
    </w:p>
    <w:p>
      <w:pPr>
        <w:autoSpaceDE w:val="0"/>
        <w:autoSpaceDN w:val="0"/>
        <w:adjustRightInd w:val="0"/>
        <w:spacing w:line="360" w:lineRule="auto"/>
        <w:ind w:left="1050" w:leftChars="500"/>
        <w:rPr>
          <w:rFonts w:ascii="宋体" w:hAnsi="宋体" w:cs="新宋体"/>
          <w:kern w:val="0"/>
          <w:sz w:val="18"/>
          <w:szCs w:val="18"/>
        </w:rPr>
      </w:pPr>
      <w:r>
        <w:rPr>
          <w:rFonts w:hint="eastAsia" w:ascii="宋体" w:hAnsi="宋体" w:cs="新宋体"/>
          <w:kern w:val="0"/>
          <w:sz w:val="18"/>
          <w:szCs w:val="18"/>
        </w:rPr>
        <w:t>&lt;RETURNCODE&gt;结果代码&lt;/RETURNCODE&gt;</w:t>
      </w:r>
    </w:p>
    <w:p>
      <w:pPr>
        <w:autoSpaceDE w:val="0"/>
        <w:autoSpaceDN w:val="0"/>
        <w:adjustRightInd w:val="0"/>
        <w:spacing w:line="360" w:lineRule="auto"/>
        <w:ind w:left="1050" w:leftChars="500"/>
        <w:rPr>
          <w:rFonts w:ascii="宋体" w:hAnsi="宋体" w:cs="新宋体"/>
          <w:kern w:val="0"/>
          <w:sz w:val="18"/>
          <w:szCs w:val="18"/>
        </w:rPr>
      </w:pPr>
      <w:r>
        <w:rPr>
          <w:rFonts w:hint="eastAsia" w:ascii="宋体" w:hAnsi="宋体" w:cs="新宋体"/>
          <w:kern w:val="0"/>
          <w:sz w:val="18"/>
          <w:szCs w:val="18"/>
        </w:rPr>
        <w:t>&lt;RETURNMESSAGE&gt;结果描述&lt;/RETURNMESSAGE&gt;</w:t>
      </w:r>
    </w:p>
    <w:p>
      <w:pPr>
        <w:autoSpaceDE w:val="0"/>
        <w:autoSpaceDN w:val="0"/>
        <w:adjustRightInd w:val="0"/>
        <w:spacing w:line="360" w:lineRule="auto"/>
        <w:ind w:left="420" w:leftChars="200" w:firstLine="420"/>
        <w:rPr>
          <w:rFonts w:ascii="宋体" w:hAnsi="宋体" w:cs="新宋体"/>
          <w:kern w:val="0"/>
          <w:sz w:val="18"/>
          <w:szCs w:val="18"/>
        </w:rPr>
      </w:pPr>
      <w:r>
        <w:rPr>
          <w:rFonts w:hint="eastAsia" w:ascii="宋体" w:hAnsi="宋体" w:cs="新宋体"/>
          <w:kern w:val="0"/>
          <w:sz w:val="18"/>
          <w:szCs w:val="18"/>
        </w:rPr>
        <w:t>&lt;/YZZZSPTFP&gt;</w:t>
      </w:r>
    </w:p>
    <w:p>
      <w:pPr>
        <w:autoSpaceDE w:val="0"/>
        <w:autoSpaceDN w:val="0"/>
        <w:adjustRightInd w:val="0"/>
        <w:spacing w:line="360" w:lineRule="auto"/>
        <w:ind w:left="420" w:leftChars="200" w:firstLine="180" w:firstLineChars="100"/>
        <w:rPr>
          <w:rFonts w:ascii="宋体" w:hAnsi="宋体" w:cs="新宋体"/>
          <w:kern w:val="0"/>
          <w:sz w:val="18"/>
          <w:szCs w:val="18"/>
        </w:rPr>
      </w:pPr>
      <w:r>
        <w:rPr>
          <w:rFonts w:hint="eastAsia" w:ascii="宋体" w:hAnsi="宋体" w:cs="新宋体"/>
          <w:kern w:val="0"/>
          <w:sz w:val="18"/>
          <w:szCs w:val="18"/>
        </w:rPr>
        <w:t>&lt;/YZZZSPTFPS&gt;</w:t>
      </w:r>
    </w:p>
    <w:p>
      <w:pPr>
        <w:autoSpaceDE w:val="0"/>
        <w:autoSpaceDN w:val="0"/>
        <w:adjustRightInd w:val="0"/>
        <w:spacing w:line="360" w:lineRule="auto"/>
        <w:ind w:left="420" w:leftChars="200" w:firstLine="180" w:firstLineChars="100"/>
        <w:rPr>
          <w:rFonts w:ascii="宋体" w:hAnsi="宋体" w:cs="新宋体"/>
          <w:kern w:val="0"/>
          <w:sz w:val="18"/>
          <w:szCs w:val="18"/>
        </w:rPr>
      </w:pPr>
      <w:r>
        <w:rPr>
          <w:rFonts w:hint="eastAsia" w:ascii="宋体" w:hAnsi="宋体" w:cs="新宋体"/>
          <w:kern w:val="0"/>
          <w:sz w:val="18"/>
          <w:szCs w:val="18"/>
        </w:rPr>
        <w:t xml:space="preserve">&lt;YZZZSZYFPS class="YZZZSZYFP;" size="1"&gt; </w:t>
      </w:r>
    </w:p>
    <w:p>
      <w:pPr>
        <w:autoSpaceDE w:val="0"/>
        <w:autoSpaceDN w:val="0"/>
        <w:adjustRightInd w:val="0"/>
        <w:spacing w:line="360" w:lineRule="auto"/>
        <w:ind w:left="420" w:leftChars="200" w:firstLine="420"/>
        <w:rPr>
          <w:rFonts w:ascii="宋体" w:hAnsi="宋体" w:cs="新宋体"/>
          <w:kern w:val="0"/>
          <w:sz w:val="18"/>
          <w:szCs w:val="18"/>
        </w:rPr>
      </w:pPr>
      <w:r>
        <w:rPr>
          <w:rFonts w:hint="eastAsia" w:ascii="宋体" w:hAnsi="宋体" w:cs="新宋体"/>
          <w:kern w:val="0"/>
          <w:sz w:val="18"/>
          <w:szCs w:val="18"/>
        </w:rPr>
        <w:t>&lt;YZZZSZYFP&gt;</w:t>
      </w:r>
    </w:p>
    <w:p>
      <w:pPr>
        <w:autoSpaceDE w:val="0"/>
        <w:autoSpaceDN w:val="0"/>
        <w:adjustRightInd w:val="0"/>
        <w:spacing w:line="360" w:lineRule="auto"/>
        <w:ind w:left="1050" w:leftChars="500"/>
        <w:rPr>
          <w:rFonts w:ascii="宋体" w:hAnsi="宋体" w:cs="新宋体"/>
          <w:kern w:val="0"/>
          <w:sz w:val="18"/>
          <w:szCs w:val="18"/>
        </w:rPr>
      </w:pPr>
      <w:r>
        <w:rPr>
          <w:rFonts w:hint="eastAsia" w:ascii="宋体" w:hAnsi="宋体" w:cs="新宋体"/>
          <w:kern w:val="0"/>
          <w:sz w:val="18"/>
          <w:szCs w:val="18"/>
        </w:rPr>
        <w:t>&lt;FPQQLSH&gt;发票请求唯一流水号&lt;/FPQQLSH&gt;</w:t>
      </w:r>
    </w:p>
    <w:p>
      <w:pPr>
        <w:autoSpaceDE w:val="0"/>
        <w:autoSpaceDN w:val="0"/>
        <w:adjustRightInd w:val="0"/>
        <w:spacing w:line="360" w:lineRule="auto"/>
        <w:ind w:left="1050" w:leftChars="500"/>
        <w:rPr>
          <w:rFonts w:ascii="宋体" w:hAnsi="宋体" w:cs="新宋体"/>
          <w:kern w:val="0"/>
          <w:sz w:val="18"/>
          <w:szCs w:val="18"/>
        </w:rPr>
      </w:pPr>
      <w:r>
        <w:rPr>
          <w:rFonts w:hint="eastAsia" w:ascii="宋体" w:hAnsi="宋体" w:cs="新宋体"/>
          <w:kern w:val="0"/>
          <w:sz w:val="18"/>
          <w:szCs w:val="18"/>
        </w:rPr>
        <w:t>&lt;FP_DM&gt;发票代码&lt;/FP_DM&gt;</w:t>
      </w:r>
    </w:p>
    <w:p>
      <w:pPr>
        <w:autoSpaceDE w:val="0"/>
        <w:autoSpaceDN w:val="0"/>
        <w:adjustRightInd w:val="0"/>
        <w:spacing w:line="360" w:lineRule="auto"/>
        <w:ind w:left="1050" w:leftChars="500"/>
        <w:rPr>
          <w:rFonts w:ascii="宋体" w:hAnsi="宋体" w:cs="新宋体"/>
          <w:kern w:val="0"/>
          <w:sz w:val="18"/>
          <w:szCs w:val="18"/>
        </w:rPr>
      </w:pPr>
      <w:r>
        <w:rPr>
          <w:rFonts w:hint="eastAsia" w:ascii="宋体" w:hAnsi="宋体" w:cs="新宋体"/>
          <w:kern w:val="0"/>
          <w:sz w:val="18"/>
          <w:szCs w:val="18"/>
        </w:rPr>
        <w:t>&lt;FP_HM&gt;发票号码&lt;/FP_HM&gt;</w:t>
      </w:r>
    </w:p>
    <w:p>
      <w:pPr>
        <w:autoSpaceDE w:val="0"/>
        <w:autoSpaceDN w:val="0"/>
        <w:adjustRightInd w:val="0"/>
        <w:spacing w:line="360" w:lineRule="auto"/>
        <w:ind w:left="1050" w:leftChars="500"/>
        <w:rPr>
          <w:rFonts w:ascii="宋体" w:hAnsi="宋体" w:cs="新宋体"/>
          <w:kern w:val="0"/>
          <w:sz w:val="18"/>
          <w:szCs w:val="18"/>
        </w:rPr>
      </w:pPr>
      <w:r>
        <w:rPr>
          <w:rFonts w:hint="eastAsia" w:ascii="宋体" w:hAnsi="宋体" w:cs="新宋体"/>
          <w:kern w:val="0"/>
          <w:sz w:val="18"/>
          <w:szCs w:val="18"/>
        </w:rPr>
        <w:t>&lt;YZ_ZCS&gt;验证总次数&lt;/YZ_ZCS&gt;</w:t>
      </w:r>
    </w:p>
    <w:p>
      <w:pPr>
        <w:autoSpaceDE w:val="0"/>
        <w:autoSpaceDN w:val="0"/>
        <w:adjustRightInd w:val="0"/>
        <w:spacing w:line="360" w:lineRule="auto"/>
        <w:ind w:left="1050" w:leftChars="500"/>
        <w:rPr>
          <w:rFonts w:ascii="宋体" w:hAnsi="宋体" w:cs="新宋体"/>
          <w:kern w:val="0"/>
          <w:sz w:val="18"/>
          <w:szCs w:val="18"/>
        </w:rPr>
      </w:pPr>
      <w:r>
        <w:rPr>
          <w:rFonts w:hint="eastAsia" w:ascii="宋体" w:hAnsi="宋体" w:cs="新宋体"/>
          <w:kern w:val="0"/>
          <w:sz w:val="18"/>
          <w:szCs w:val="18"/>
        </w:rPr>
        <w:t>&lt;YZ_SBCS&gt;验证失败次数&lt;/YZ_SBCS&gt;</w:t>
      </w:r>
    </w:p>
    <w:p>
      <w:pPr>
        <w:autoSpaceDE w:val="0"/>
        <w:autoSpaceDN w:val="0"/>
        <w:adjustRightInd w:val="0"/>
        <w:spacing w:line="360" w:lineRule="auto"/>
        <w:ind w:left="1050" w:leftChars="500"/>
        <w:rPr>
          <w:rFonts w:ascii="宋体" w:hAnsi="宋体" w:cs="新宋体"/>
          <w:kern w:val="0"/>
          <w:sz w:val="18"/>
          <w:szCs w:val="18"/>
        </w:rPr>
      </w:pPr>
      <w:r>
        <w:rPr>
          <w:rFonts w:hint="eastAsia" w:ascii="宋体" w:hAnsi="宋体" w:cs="新宋体"/>
          <w:kern w:val="0"/>
          <w:sz w:val="18"/>
          <w:szCs w:val="18"/>
        </w:rPr>
        <w:t>&lt;RETURNCODE&gt;结果代码&lt;/RETURNCODE&gt;</w:t>
      </w:r>
    </w:p>
    <w:p>
      <w:pPr>
        <w:autoSpaceDE w:val="0"/>
        <w:autoSpaceDN w:val="0"/>
        <w:adjustRightInd w:val="0"/>
        <w:spacing w:line="360" w:lineRule="auto"/>
        <w:ind w:left="1050" w:leftChars="500"/>
        <w:rPr>
          <w:rFonts w:ascii="宋体" w:hAnsi="宋体" w:cs="新宋体"/>
          <w:kern w:val="0"/>
          <w:sz w:val="18"/>
          <w:szCs w:val="18"/>
        </w:rPr>
      </w:pPr>
      <w:r>
        <w:rPr>
          <w:rFonts w:hint="eastAsia" w:ascii="宋体" w:hAnsi="宋体" w:cs="新宋体"/>
          <w:kern w:val="0"/>
          <w:sz w:val="18"/>
          <w:szCs w:val="18"/>
        </w:rPr>
        <w:t>&lt;RETURNMESSAGE&gt;结果描述&lt;/RETURNMESSAGE&gt;</w:t>
      </w:r>
    </w:p>
    <w:p>
      <w:pPr>
        <w:autoSpaceDE w:val="0"/>
        <w:autoSpaceDN w:val="0"/>
        <w:adjustRightInd w:val="0"/>
        <w:spacing w:line="360" w:lineRule="auto"/>
        <w:ind w:left="420" w:leftChars="200" w:firstLine="420"/>
        <w:rPr>
          <w:rFonts w:ascii="宋体" w:hAnsi="宋体" w:cs="新宋体"/>
          <w:kern w:val="0"/>
          <w:sz w:val="18"/>
          <w:szCs w:val="18"/>
        </w:rPr>
      </w:pPr>
      <w:r>
        <w:rPr>
          <w:rFonts w:hint="eastAsia" w:ascii="宋体" w:hAnsi="宋体" w:cs="新宋体"/>
          <w:kern w:val="0"/>
          <w:sz w:val="18"/>
          <w:szCs w:val="18"/>
        </w:rPr>
        <w:t>&lt;/YZZZSZYFP&gt;</w:t>
      </w:r>
    </w:p>
    <w:p>
      <w:pPr>
        <w:autoSpaceDE w:val="0"/>
        <w:autoSpaceDN w:val="0"/>
        <w:adjustRightInd w:val="0"/>
        <w:spacing w:line="360" w:lineRule="auto"/>
        <w:ind w:left="420" w:leftChars="200" w:firstLine="180" w:firstLineChars="100"/>
        <w:rPr>
          <w:rFonts w:ascii="宋体" w:hAnsi="宋体" w:cs="新宋体"/>
          <w:kern w:val="0"/>
          <w:sz w:val="18"/>
          <w:szCs w:val="18"/>
        </w:rPr>
      </w:pPr>
      <w:r>
        <w:rPr>
          <w:rFonts w:hint="eastAsia" w:ascii="宋体" w:hAnsi="宋体" w:cs="新宋体"/>
          <w:kern w:val="0"/>
          <w:sz w:val="18"/>
          <w:szCs w:val="18"/>
        </w:rPr>
        <w:t>&lt;/YZZZSZYFPS&gt;</w:t>
      </w:r>
    </w:p>
    <w:p>
      <w:pPr>
        <w:autoSpaceDE w:val="0"/>
        <w:autoSpaceDN w:val="0"/>
        <w:adjustRightInd w:val="0"/>
        <w:spacing w:line="360" w:lineRule="auto"/>
        <w:ind w:left="420" w:leftChars="200" w:firstLine="180" w:firstLineChars="100"/>
        <w:rPr>
          <w:rFonts w:ascii="宋体" w:hAnsi="宋体" w:cs="新宋体"/>
          <w:kern w:val="0"/>
          <w:sz w:val="18"/>
          <w:szCs w:val="18"/>
        </w:rPr>
      </w:pPr>
    </w:p>
    <w:p>
      <w:pPr>
        <w:spacing w:line="360" w:lineRule="auto"/>
        <w:rPr>
          <w:rFonts w:ascii="Calibri" w:hAnsi="Calibri"/>
          <w:color w:val="FF0000"/>
        </w:rPr>
      </w:pPr>
      <w:r>
        <w:rPr>
          <w:rFonts w:hint="eastAsia" w:ascii="宋体" w:hAnsi="宋体" w:cs="新宋体"/>
          <w:kern w:val="0"/>
          <w:sz w:val="18"/>
          <w:szCs w:val="18"/>
        </w:rPr>
        <w:t>&lt;/RESPONSE_FPYZ&gt;</w:t>
      </w:r>
    </w:p>
    <w:p>
      <w:pPr>
        <w:numPr>
          <w:ilvl w:val="0"/>
          <w:numId w:val="6"/>
        </w:numPr>
        <w:spacing w:line="360" w:lineRule="auto"/>
        <w:rPr>
          <w:b/>
        </w:rPr>
      </w:pPr>
      <w:r>
        <w:rPr>
          <w:rFonts w:hint="eastAsia"/>
          <w:b/>
        </w:rPr>
        <w:t>【</w:t>
      </w:r>
      <w:r>
        <w:rPr>
          <w:b/>
        </w:rPr>
        <w:t>Content</w:t>
      </w:r>
      <w:r>
        <w:rPr>
          <w:rFonts w:hint="eastAsia"/>
          <w:b/>
        </w:rPr>
        <w:t>中】返回数据项说明</w:t>
      </w:r>
    </w:p>
    <w:p>
      <w:pPr>
        <w:spacing w:line="360" w:lineRule="auto"/>
        <w:rPr>
          <w:b/>
        </w:rPr>
      </w:pPr>
    </w:p>
    <w:tbl>
      <w:tblPr>
        <w:tblStyle w:val="34"/>
        <w:tblW w:w="104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831"/>
        <w:gridCol w:w="2156"/>
        <w:gridCol w:w="1291"/>
        <w:gridCol w:w="851"/>
        <w:gridCol w:w="693"/>
        <w:gridCol w:w="2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shd w:val="clear" w:color="auto" w:fill="DEEAF6"/>
          </w:tcPr>
          <w:p>
            <w:pPr>
              <w:spacing w:line="360" w:lineRule="auto"/>
              <w:rPr>
                <w:rFonts w:ascii="Calibri" w:hAnsi="Calibri"/>
              </w:rPr>
            </w:pPr>
            <w:r>
              <w:rPr>
                <w:rFonts w:hint="eastAsia"/>
              </w:rPr>
              <w:t>序号</w:t>
            </w:r>
          </w:p>
        </w:tc>
        <w:tc>
          <w:tcPr>
            <w:tcW w:w="1831" w:type="dxa"/>
            <w:tcBorders>
              <w:top w:val="single" w:color="auto" w:sz="4" w:space="0"/>
              <w:left w:val="single" w:color="auto" w:sz="4" w:space="0"/>
              <w:bottom w:val="single" w:color="auto" w:sz="4" w:space="0"/>
              <w:right w:val="single" w:color="auto" w:sz="4" w:space="0"/>
            </w:tcBorders>
            <w:shd w:val="clear" w:color="auto" w:fill="DEEAF6"/>
          </w:tcPr>
          <w:p>
            <w:pPr>
              <w:spacing w:line="360" w:lineRule="auto"/>
              <w:rPr>
                <w:rFonts w:ascii="Calibri" w:hAnsi="Calibri"/>
              </w:rPr>
            </w:pPr>
            <w:r>
              <w:rPr>
                <w:rFonts w:hint="eastAsia"/>
              </w:rPr>
              <w:t>数据项</w:t>
            </w:r>
          </w:p>
        </w:tc>
        <w:tc>
          <w:tcPr>
            <w:tcW w:w="2156" w:type="dxa"/>
            <w:tcBorders>
              <w:top w:val="single" w:color="auto" w:sz="4" w:space="0"/>
              <w:left w:val="single" w:color="auto" w:sz="4" w:space="0"/>
              <w:bottom w:val="single" w:color="auto" w:sz="4" w:space="0"/>
              <w:right w:val="single" w:color="auto" w:sz="4" w:space="0"/>
            </w:tcBorders>
            <w:shd w:val="clear" w:color="auto" w:fill="DEEAF6"/>
          </w:tcPr>
          <w:p>
            <w:pPr>
              <w:spacing w:line="360" w:lineRule="auto"/>
              <w:rPr>
                <w:rFonts w:ascii="Calibri" w:hAnsi="Calibri"/>
              </w:rPr>
            </w:pPr>
            <w:r>
              <w:rPr>
                <w:rFonts w:hint="eastAsia"/>
              </w:rPr>
              <w:t>数据项名称</w:t>
            </w:r>
          </w:p>
        </w:tc>
        <w:tc>
          <w:tcPr>
            <w:tcW w:w="1291" w:type="dxa"/>
            <w:tcBorders>
              <w:top w:val="single" w:color="auto" w:sz="4" w:space="0"/>
              <w:left w:val="single" w:color="auto" w:sz="4" w:space="0"/>
              <w:bottom w:val="single" w:color="auto" w:sz="4" w:space="0"/>
              <w:right w:val="single" w:color="auto" w:sz="4" w:space="0"/>
            </w:tcBorders>
            <w:shd w:val="clear" w:color="auto" w:fill="DEEAF6"/>
          </w:tcPr>
          <w:p>
            <w:pPr>
              <w:spacing w:line="360" w:lineRule="auto"/>
              <w:rPr>
                <w:rFonts w:ascii="Calibri" w:hAnsi="Calibri"/>
              </w:rPr>
            </w:pPr>
            <w:r>
              <w:rPr>
                <w:rFonts w:hint="eastAsia"/>
              </w:rPr>
              <w:t>类型</w:t>
            </w:r>
          </w:p>
        </w:tc>
        <w:tc>
          <w:tcPr>
            <w:tcW w:w="851" w:type="dxa"/>
            <w:tcBorders>
              <w:top w:val="single" w:color="auto" w:sz="4" w:space="0"/>
              <w:left w:val="single" w:color="auto" w:sz="4" w:space="0"/>
              <w:bottom w:val="single" w:color="auto" w:sz="4" w:space="0"/>
              <w:right w:val="single" w:color="auto" w:sz="4" w:space="0"/>
            </w:tcBorders>
            <w:shd w:val="clear" w:color="auto" w:fill="DEEAF6"/>
          </w:tcPr>
          <w:p>
            <w:pPr>
              <w:spacing w:line="360" w:lineRule="auto"/>
              <w:rPr>
                <w:rFonts w:ascii="Calibri" w:hAnsi="Calibri"/>
              </w:rPr>
            </w:pPr>
            <w:r>
              <w:rPr>
                <w:rFonts w:hint="eastAsia"/>
              </w:rPr>
              <w:t>长度</w:t>
            </w:r>
          </w:p>
        </w:tc>
        <w:tc>
          <w:tcPr>
            <w:tcW w:w="693" w:type="dxa"/>
            <w:tcBorders>
              <w:top w:val="single" w:color="auto" w:sz="4" w:space="0"/>
              <w:left w:val="single" w:color="auto" w:sz="4" w:space="0"/>
              <w:bottom w:val="single" w:color="auto" w:sz="4" w:space="0"/>
              <w:right w:val="single" w:color="auto" w:sz="4" w:space="0"/>
            </w:tcBorders>
            <w:shd w:val="clear" w:color="auto" w:fill="DEEAF6"/>
          </w:tcPr>
          <w:p>
            <w:pPr>
              <w:spacing w:line="360" w:lineRule="auto"/>
              <w:rPr>
                <w:rFonts w:ascii="Calibri" w:hAnsi="Calibri"/>
              </w:rPr>
            </w:pPr>
            <w:r>
              <w:rPr>
                <w:rFonts w:hint="eastAsia"/>
              </w:rPr>
              <w:t>必须</w:t>
            </w:r>
          </w:p>
        </w:tc>
        <w:tc>
          <w:tcPr>
            <w:tcW w:w="2817" w:type="dxa"/>
            <w:tcBorders>
              <w:top w:val="single" w:color="auto" w:sz="4" w:space="0"/>
              <w:left w:val="single" w:color="auto" w:sz="4" w:space="0"/>
              <w:bottom w:val="single" w:color="auto" w:sz="4" w:space="0"/>
              <w:right w:val="single" w:color="auto" w:sz="4" w:space="0"/>
            </w:tcBorders>
            <w:shd w:val="clear" w:color="auto" w:fill="DEEAF6"/>
          </w:tcPr>
          <w:p>
            <w:pPr>
              <w:spacing w:line="360" w:lineRule="auto"/>
              <w:rPr>
                <w:rFonts w:ascii="Calibri" w:hAnsi="Calibri"/>
              </w:rPr>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ascii="Calibri" w:hAnsi="Calibri"/>
              </w:rPr>
              <w:t>1</w:t>
            </w: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FPQQLSH</w:t>
            </w:r>
          </w:p>
        </w:tc>
        <w:tc>
          <w:tcPr>
            <w:tcW w:w="215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发票请求唯一流水号</w:t>
            </w:r>
          </w:p>
        </w:tc>
        <w:tc>
          <w:tcPr>
            <w:tcW w:w="129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50</w:t>
            </w:r>
          </w:p>
        </w:tc>
        <w:tc>
          <w:tcPr>
            <w:tcW w:w="6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是</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ascii="Calibri" w:hAnsi="Calibri"/>
              </w:rPr>
              <w:t>2</w:t>
            </w: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FP_DM</w:t>
            </w:r>
          </w:p>
        </w:tc>
        <w:tc>
          <w:tcPr>
            <w:tcW w:w="215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发票代码</w:t>
            </w:r>
          </w:p>
        </w:tc>
        <w:tc>
          <w:tcPr>
            <w:tcW w:w="129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12</w:t>
            </w:r>
          </w:p>
        </w:tc>
        <w:tc>
          <w:tcPr>
            <w:tcW w:w="6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是</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w:t>
            </w:r>
            <w:r>
              <w:t>RETURNCODE</w:t>
            </w:r>
            <w:r>
              <w:rPr>
                <w:rFonts w:hint="eastAsia"/>
              </w:rPr>
              <w:t>不为</w:t>
            </w:r>
            <w:r>
              <w:t>0000</w:t>
            </w:r>
            <w:r>
              <w:rPr>
                <w:rFonts w:hint="eastAsia"/>
              </w:rPr>
              <w:t>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ascii="Calibri" w:hAnsi="Calibri"/>
              </w:rPr>
              <w:t>3</w:t>
            </w: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FP_HM</w:t>
            </w:r>
          </w:p>
        </w:tc>
        <w:tc>
          <w:tcPr>
            <w:tcW w:w="215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发票号码</w:t>
            </w:r>
          </w:p>
        </w:tc>
        <w:tc>
          <w:tcPr>
            <w:tcW w:w="129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8</w:t>
            </w:r>
          </w:p>
        </w:tc>
        <w:tc>
          <w:tcPr>
            <w:tcW w:w="6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是</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w:t>
            </w:r>
            <w:r>
              <w:t>RETURNCODE</w:t>
            </w:r>
            <w:r>
              <w:rPr>
                <w:rFonts w:hint="eastAsia"/>
              </w:rPr>
              <w:t>不为</w:t>
            </w:r>
            <w:r>
              <w:t>0000</w:t>
            </w:r>
            <w:r>
              <w:rPr>
                <w:rFonts w:hint="eastAsia"/>
              </w:rPr>
              <w:t>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ascii="Calibri" w:hAnsi="Calibri"/>
              </w:rPr>
              <w:t>4</w:t>
            </w: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YZ_ZCS</w:t>
            </w:r>
          </w:p>
        </w:tc>
        <w:tc>
          <w:tcPr>
            <w:tcW w:w="215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验证总次数</w:t>
            </w:r>
          </w:p>
        </w:tc>
        <w:tc>
          <w:tcPr>
            <w:tcW w:w="129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DOUBLE</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c>
          <w:tcPr>
            <w:tcW w:w="6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是</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ascii="Calibri" w:hAnsi="Calibri"/>
              </w:rPr>
              <w:t>5</w:t>
            </w: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YZ_SBCS</w:t>
            </w:r>
          </w:p>
        </w:tc>
        <w:tc>
          <w:tcPr>
            <w:tcW w:w="215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ascii="宋体" w:hAnsi="宋体" w:cs="新宋体"/>
                <w:sz w:val="18"/>
                <w:szCs w:val="18"/>
              </w:rPr>
              <w:t>验证失败次数</w:t>
            </w:r>
          </w:p>
        </w:tc>
        <w:tc>
          <w:tcPr>
            <w:tcW w:w="129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DOUBLE</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c>
          <w:tcPr>
            <w:tcW w:w="6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是</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ascii="Calibri" w:hAnsi="Calibri"/>
              </w:rPr>
              <w:t>6</w:t>
            </w: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RETURNCODE</w:t>
            </w:r>
          </w:p>
        </w:tc>
        <w:tc>
          <w:tcPr>
            <w:tcW w:w="215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结果代码</w:t>
            </w:r>
          </w:p>
        </w:tc>
        <w:tc>
          <w:tcPr>
            <w:tcW w:w="129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4</w:t>
            </w:r>
          </w:p>
        </w:tc>
        <w:tc>
          <w:tcPr>
            <w:tcW w:w="6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是</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0000</w:t>
            </w:r>
            <w:r>
              <w:rPr>
                <w:rFonts w:hint="eastAsia"/>
              </w:rPr>
              <w:t>：接收成功</w:t>
            </w:r>
          </w:p>
          <w:p>
            <w:pPr>
              <w:spacing w:line="360" w:lineRule="auto"/>
              <w:rPr>
                <w:rFonts w:ascii="Calibri" w:hAnsi="Calibri"/>
              </w:rPr>
            </w:pPr>
            <w:r>
              <w:t>9999</w:t>
            </w:r>
            <w:r>
              <w:rPr>
                <w:rFonts w:hint="eastAsia"/>
              </w:rPr>
              <w:t>：下发失败</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ascii="Calibri" w:hAnsi="Calibri"/>
              </w:rPr>
              <w:t>7</w:t>
            </w: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RETURNMESSAGE</w:t>
            </w:r>
          </w:p>
        </w:tc>
        <w:tc>
          <w:tcPr>
            <w:tcW w:w="215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结果描述</w:t>
            </w:r>
          </w:p>
        </w:tc>
        <w:tc>
          <w:tcPr>
            <w:tcW w:w="129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128</w:t>
            </w:r>
          </w:p>
        </w:tc>
        <w:tc>
          <w:tcPr>
            <w:tcW w:w="6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否</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错误原因</w:t>
            </w:r>
          </w:p>
        </w:tc>
      </w:tr>
    </w:tbl>
    <w:p>
      <w:pPr>
        <w:spacing w:line="360" w:lineRule="auto"/>
        <w:rPr>
          <w:rFonts w:ascii="Calibri" w:hAnsi="Calibri"/>
          <w:b/>
        </w:rPr>
      </w:pPr>
    </w:p>
    <w:p>
      <w:pPr>
        <w:spacing w:line="360" w:lineRule="auto"/>
        <w:rPr>
          <w:b/>
        </w:rPr>
      </w:pPr>
    </w:p>
    <w:p>
      <w:pPr>
        <w:pStyle w:val="5"/>
        <w:numPr>
          <w:ilvl w:val="3"/>
          <w:numId w:val="0"/>
        </w:numPr>
        <w:spacing w:before="0" w:after="0" w:line="360" w:lineRule="auto"/>
      </w:pPr>
      <w:bookmarkStart w:id="149" w:name="_Toc442308307"/>
      <w:bookmarkStart w:id="150" w:name="_Toc21098"/>
      <w:r>
        <w:rPr>
          <w:rFonts w:hint="eastAsia"/>
        </w:rPr>
        <w:t>3.2.4.2开具发票上传</w:t>
      </w:r>
      <w:bookmarkEnd w:id="149"/>
      <w:bookmarkEnd w:id="150"/>
    </w:p>
    <w:p>
      <w:pPr>
        <w:numPr>
          <w:ilvl w:val="0"/>
          <w:numId w:val="20"/>
        </w:numPr>
        <w:spacing w:line="360" w:lineRule="auto"/>
      </w:pPr>
      <w:r>
        <w:rPr>
          <w:rFonts w:hint="eastAsia"/>
          <w:b/>
        </w:rPr>
        <w:t>接口说明：</w:t>
      </w:r>
      <w:r>
        <w:rPr>
          <w:rFonts w:hint="eastAsia"/>
          <w:szCs w:val="21"/>
        </w:rPr>
        <w:t>发票后台系统的电子发票信息上传至第三方发票服务平台。</w:t>
      </w:r>
    </w:p>
    <w:p>
      <w:pPr>
        <w:numPr>
          <w:ilvl w:val="0"/>
          <w:numId w:val="20"/>
        </w:numPr>
        <w:spacing w:line="360" w:lineRule="auto"/>
        <w:rPr>
          <w:b/>
          <w:bCs/>
        </w:rPr>
      </w:pPr>
      <w:r>
        <w:rPr>
          <w:rFonts w:hint="eastAsia"/>
          <w:b/>
        </w:rPr>
        <w:t>调用方式：</w:t>
      </w:r>
      <w:r>
        <w:t>WEB SERVICE</w:t>
      </w:r>
      <w:r>
        <w:rPr>
          <w:rFonts w:hint="eastAsia"/>
          <w:b/>
          <w:bCs/>
        </w:rPr>
        <w:t>方式</w:t>
      </w:r>
    </w:p>
    <w:p>
      <w:pPr>
        <w:numPr>
          <w:ilvl w:val="0"/>
          <w:numId w:val="20"/>
        </w:numPr>
        <w:spacing w:line="360" w:lineRule="auto"/>
        <w:rPr>
          <w:szCs w:val="21"/>
        </w:rPr>
      </w:pPr>
      <w:r>
        <w:rPr>
          <w:rFonts w:hint="eastAsia"/>
          <w:b/>
        </w:rPr>
        <w:t>接口编码</w:t>
      </w:r>
      <w:r>
        <w:rPr>
          <w:rFonts w:hint="eastAsia"/>
        </w:rPr>
        <w:t>：</w:t>
      </w:r>
      <w:r>
        <w:rPr>
          <w:szCs w:val="21"/>
        </w:rPr>
        <w:t>ECXML.DZFPSC.BC.E.INV</w:t>
      </w:r>
    </w:p>
    <w:p>
      <w:pPr>
        <w:spacing w:line="360" w:lineRule="auto"/>
        <w:ind w:left="420"/>
        <w:rPr>
          <w:szCs w:val="21"/>
        </w:rPr>
      </w:pPr>
    </w:p>
    <w:p>
      <w:pPr>
        <w:autoSpaceDE w:val="0"/>
        <w:autoSpaceDN w:val="0"/>
        <w:adjustRightInd w:val="0"/>
        <w:spacing w:line="360" w:lineRule="auto"/>
        <w:rPr>
          <w:rFonts w:ascii="宋体" w:hAnsi="宋体" w:cs="新宋体"/>
          <w:b/>
          <w:kern w:val="0"/>
          <w:sz w:val="28"/>
          <w:szCs w:val="18"/>
        </w:rPr>
      </w:pPr>
      <w:r>
        <w:rPr>
          <w:rFonts w:hint="eastAsia" w:ascii="宋体" w:hAnsi="宋体" w:cs="新宋体"/>
          <w:b/>
          <w:kern w:val="0"/>
          <w:sz w:val="28"/>
          <w:szCs w:val="18"/>
        </w:rPr>
        <w:t>请求报文示例与数据项说明</w:t>
      </w:r>
    </w:p>
    <w:p>
      <w:pPr>
        <w:numPr>
          <w:ilvl w:val="0"/>
          <w:numId w:val="6"/>
        </w:numPr>
        <w:spacing w:line="360" w:lineRule="auto"/>
        <w:rPr>
          <w:b/>
        </w:rPr>
      </w:pPr>
      <w:r>
        <w:rPr>
          <w:rFonts w:hint="eastAsia"/>
          <w:b/>
        </w:rPr>
        <w:t>【</w:t>
      </w:r>
      <w:r>
        <w:rPr>
          <w:b/>
        </w:rPr>
        <w:t>Content</w:t>
      </w:r>
      <w:r>
        <w:rPr>
          <w:rFonts w:hint="eastAsia"/>
          <w:b/>
        </w:rPr>
        <w:t>中】请求报文示例：</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&lt;REQUEST_DZFPSC class="REQUEST_DZFPSC"&gt;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&lt;!--增值税电子发票--&gt;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&lt;ZZSDZPTFPS class="ZZSDZPTFP;" size="1"&gt;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&lt;ZZSDZPTFP&gt;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&lt;ZZSDZPTFP_FPT class="ZZSDZPTFP_FPT"&gt;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&lt;FPQQLSH&gt;发票请求流水号&lt;/FPQQLSH&gt;</w:t>
      </w:r>
    </w:p>
    <w:p>
      <w:pPr>
        <w:autoSpaceDE w:val="0"/>
        <w:autoSpaceDN w:val="0"/>
        <w:adjustRightInd w:val="0"/>
        <w:spacing w:line="360" w:lineRule="auto"/>
        <w:ind w:left="840" w:leftChars="400" w:firstLine="270" w:firstLineChars="150"/>
        <w:rPr>
          <w:rFonts w:ascii="宋体" w:hAnsi="宋体" w:cs="新宋体"/>
          <w:kern w:val="0"/>
          <w:sz w:val="18"/>
          <w:szCs w:val="18"/>
        </w:rPr>
      </w:pPr>
      <w:r>
        <w:rPr>
          <w:rFonts w:hint="eastAsia" w:ascii="宋体" w:hAnsi="宋体" w:cs="新宋体"/>
          <w:kern w:val="0"/>
          <w:sz w:val="18"/>
          <w:szCs w:val="18"/>
        </w:rPr>
        <w:t>&lt;SJLY&gt;数据来源（客户端、金税宝等）&lt;/SJLY&gt;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&lt;KPLX&gt;开票类型&lt;/KPLX&gt;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&lt;NSRSBH&gt;开票方纳税人识别号&lt;/NSRSBH&gt;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&lt;NSRMC&gt;开票方纳税人名称&lt;/NSRMC&gt;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ab/>
      </w:r>
      <w:r>
        <w:rPr>
          <w:rFonts w:hint="eastAsia" w:ascii="宋体" w:hAnsi="宋体" w:cs="新宋体"/>
          <w:kern w:val="0"/>
          <w:sz w:val="18"/>
          <w:szCs w:val="18"/>
        </w:rPr>
        <w:t xml:space="preserve">   &lt;SWJG_DM&gt;税务机关代码&lt;/SWJG_DM&gt;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ab/>
      </w:r>
      <w:r>
        <w:rPr>
          <w:rFonts w:hint="eastAsia" w:ascii="宋体" w:hAnsi="宋体" w:cs="新宋体"/>
          <w:kern w:val="0"/>
          <w:sz w:val="18"/>
          <w:szCs w:val="18"/>
        </w:rPr>
        <w:t xml:space="preserve">   &lt;DKBZ&gt;代开标志&lt;/DKBZ&gt;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&lt;XSF_NSRSBH&gt;销售方纳税人识别号&lt;/XSF_NSRSBH&gt;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&lt;XSF_MC&gt;销售方名称&lt;/XSF_MC&gt;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&lt;XSF_DZDH&gt;销售方地址、电话&lt;/XSF_DZDH&gt;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&lt;XSF_YHZH&gt;销售方银行账号&lt;/XSF_YHZH&gt;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&lt;GMF_NSRSBH&gt;购买方纳税人识别号&lt;/GMF_NSRSBH&gt;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&lt;GMF_MC&gt;购买方名称&lt;/GMF_MC&gt;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&lt;GMF_DZDH&gt;购买方地址、电话&lt;/GMF_DZDH&gt;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&lt;GMF_YHZH&gt;购买方银行账号&lt;/GMF_YHZH&gt;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&lt;KPR&gt;开票人&lt;/KPR&gt;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&lt;SKR&gt;收款人&lt;/SKR&gt;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&lt;FHR&gt;复核人&lt;/FHR&gt;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&lt;YFP_DM&gt;原发票代码&lt;/YFP_DM&gt;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&lt;YFP_HM&gt;原发票号码&lt;/YFP_HM&gt;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&lt;JSHJ&gt;价税合计&lt;/JSHJ&gt;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&lt;HJJE&gt;合计金额&lt;/HJJE&gt;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&lt;HJSE&gt;合计税额&lt;/HJSE&gt;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&lt;BZ&gt;备注&lt;/BZ&gt;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&lt;FPZT&gt;发票状态&lt;/FPZT&gt;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&lt;JQBH&gt;税控设备编号&lt;/JQBH&gt;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&lt;FP_DM&gt;发票代码&lt;/FP_DM&gt;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&lt;FP_HM&gt;发票号码&lt;/FP_HM&gt;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&lt;KPRQ&gt;开票日期&lt;/KPRQ&gt;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&lt;FP_MW&gt;发票密文&lt;/FP_MW&gt;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&lt;JYM&gt;校验码&lt;/JYM&gt;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&lt;EWM&gt;二维码&lt;/EWM&gt; </w:t>
      </w:r>
    </w:p>
    <w:p>
      <w:pPr>
        <w:autoSpaceDE w:val="0"/>
        <w:autoSpaceDN w:val="0"/>
        <w:adjustRightInd w:val="0"/>
        <w:spacing w:line="360" w:lineRule="auto"/>
        <w:rPr>
          <w:rFonts w:ascii="宋体" w:hAnsi="宋体" w:cs="新宋体"/>
          <w:color w:val="0000FF"/>
          <w:kern w:val="0"/>
          <w:sz w:val="18"/>
          <w:szCs w:val="18"/>
        </w:rPr>
      </w:pPr>
      <w:r>
        <w:rPr>
          <w:rFonts w:hint="eastAsia" w:ascii="宋体" w:hAnsi="宋体" w:cs="新宋体"/>
          <w:color w:val="0000FF"/>
          <w:kern w:val="0"/>
          <w:sz w:val="18"/>
          <w:szCs w:val="18"/>
        </w:rPr>
        <w:t xml:space="preserve"> </w:t>
      </w:r>
      <w:r>
        <w:rPr>
          <w:rFonts w:hint="eastAsia" w:ascii="宋体" w:hAnsi="宋体" w:cs="新宋体"/>
          <w:color w:val="0000FF"/>
          <w:kern w:val="0"/>
          <w:sz w:val="18"/>
          <w:szCs w:val="18"/>
        </w:rPr>
        <w:tab/>
      </w:r>
      <w:r>
        <w:rPr>
          <w:rFonts w:hint="eastAsia" w:ascii="宋体" w:hAnsi="宋体" w:cs="新宋体"/>
          <w:color w:val="0000FF"/>
          <w:kern w:val="0"/>
          <w:sz w:val="18"/>
          <w:szCs w:val="18"/>
        </w:rPr>
        <w:tab/>
      </w: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PDF_FILE</w:t>
      </w:r>
      <w:r>
        <w:rPr>
          <w:rFonts w:hint="eastAsia" w:ascii="宋体" w:hAnsi="宋体" w:cs="新宋体"/>
          <w:color w:val="0000FF"/>
          <w:kern w:val="0"/>
          <w:sz w:val="18"/>
          <w:szCs w:val="18"/>
        </w:rPr>
        <w:t>&gt;</w:t>
      </w:r>
      <w:r>
        <w:rPr>
          <w:rFonts w:hint="eastAsia" w:ascii="宋体" w:hAnsi="宋体" w:cs="新宋体"/>
          <w:kern w:val="0"/>
          <w:sz w:val="18"/>
          <w:szCs w:val="18"/>
        </w:rPr>
        <w:t>Base64（pdf文件）</w:t>
      </w:r>
      <w:r>
        <w:rPr>
          <w:rFonts w:hint="eastAsia" w:ascii="宋体" w:hAnsi="宋体" w:cs="新宋体"/>
          <w:color w:val="0000FF"/>
          <w:kern w:val="0"/>
          <w:sz w:val="18"/>
          <w:szCs w:val="18"/>
        </w:rPr>
        <w:t>&lt;/</w:t>
      </w:r>
      <w:r>
        <w:rPr>
          <w:rFonts w:hint="eastAsia" w:ascii="宋体" w:hAnsi="宋体" w:cs="新宋体"/>
          <w:color w:val="A31515"/>
          <w:kern w:val="0"/>
          <w:sz w:val="18"/>
          <w:szCs w:val="18"/>
        </w:rPr>
        <w:t>PDF_FILE</w:t>
      </w:r>
      <w:r>
        <w:rPr>
          <w:rFonts w:hint="eastAsia" w:ascii="宋体" w:hAnsi="宋体" w:cs="新宋体"/>
          <w:color w:val="0000FF"/>
          <w:kern w:val="0"/>
          <w:sz w:val="18"/>
          <w:szCs w:val="18"/>
        </w:rPr>
        <w:t>&gt;</w:t>
      </w:r>
    </w:p>
    <w:p>
      <w:pPr>
        <w:autoSpaceDE w:val="0"/>
        <w:autoSpaceDN w:val="0"/>
        <w:adjustRightInd w:val="0"/>
        <w:spacing w:line="360" w:lineRule="auto"/>
        <w:ind w:left="840"/>
        <w:rPr>
          <w:rFonts w:ascii="宋体" w:hAnsi="宋体" w:cs="新宋体"/>
          <w:color w:val="0000FF"/>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PDF_URL</w:t>
      </w:r>
      <w:r>
        <w:rPr>
          <w:rFonts w:hint="eastAsia" w:ascii="宋体" w:hAnsi="宋体" w:cs="新宋体"/>
          <w:color w:val="0000FF"/>
          <w:kern w:val="0"/>
          <w:sz w:val="18"/>
          <w:szCs w:val="18"/>
        </w:rPr>
        <w:t>&gt;</w:t>
      </w:r>
      <w:r>
        <w:rPr>
          <w:rFonts w:hint="eastAsia" w:ascii="宋体" w:hAnsi="宋体" w:cs="新宋体"/>
          <w:kern w:val="0"/>
          <w:sz w:val="18"/>
          <w:szCs w:val="18"/>
        </w:rPr>
        <w:t>PDF下载路径</w:t>
      </w:r>
      <w:r>
        <w:rPr>
          <w:rFonts w:hint="eastAsia" w:ascii="宋体" w:hAnsi="宋体" w:cs="新宋体"/>
          <w:color w:val="0000FF"/>
          <w:kern w:val="0"/>
          <w:sz w:val="18"/>
          <w:szCs w:val="18"/>
        </w:rPr>
        <w:t>&lt;/</w:t>
      </w:r>
      <w:r>
        <w:rPr>
          <w:rFonts w:hint="eastAsia" w:ascii="宋体" w:hAnsi="宋体" w:cs="新宋体"/>
          <w:color w:val="A31515"/>
          <w:kern w:val="0"/>
          <w:sz w:val="18"/>
          <w:szCs w:val="18"/>
        </w:rPr>
        <w:t>PDF_URL</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ab/>
      </w:r>
      <w:r>
        <w:rPr>
          <w:rFonts w:hint="eastAsia" w:ascii="宋体" w:hAnsi="宋体" w:cs="新宋体"/>
          <w:kern w:val="0"/>
          <w:sz w:val="18"/>
          <w:szCs w:val="18"/>
        </w:rPr>
        <w:t xml:space="preserve">   &lt;FPTKZ&gt;发票头扩展&lt;/FPTKZ&gt;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&lt;/ZZSPTFP_FPT&gt;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&lt;ZZSPTFP_XMXXS class="ZZSPTFP_XMXX;" size="1"&gt;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&lt;ZZSPTFP_XMXX&gt;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&lt;FPHXZ&gt;发票行性质&lt;/FPHXZ&gt;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&lt;XMMC&gt;项目名称&lt;/XMMC&gt;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&lt;GGXH&gt;规格型号&lt;/GGXH&gt;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&lt;DW&gt;单位&lt;/DW&gt;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&lt;XMSL&gt;项目数量&lt;/XMSL&gt;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&lt;XMDJ&gt;项目单价&lt;/XMDJ&gt;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&lt;XMJE&gt;项目金额&lt;/XMJE&gt;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&lt;SL&gt;税率&lt;/SL&gt;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&lt;SE&gt;税额&lt;/SE&gt;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ab/>
      </w:r>
      <w:r>
        <w:rPr>
          <w:rFonts w:hint="eastAsia" w:ascii="宋体" w:hAnsi="宋体" w:cs="新宋体"/>
          <w:kern w:val="0"/>
          <w:sz w:val="18"/>
          <w:szCs w:val="18"/>
        </w:rPr>
        <w:tab/>
      </w:r>
      <w:r>
        <w:rPr>
          <w:rFonts w:hint="eastAsia" w:ascii="宋体" w:hAnsi="宋体" w:cs="新宋体"/>
          <w:kern w:val="0"/>
          <w:sz w:val="18"/>
          <w:szCs w:val="18"/>
        </w:rPr>
        <w:t xml:space="preserve">  &lt;XMXXKZ&gt;项目信息扩展&lt;/XMXXKZ&gt;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&lt;/ZZSPTFP_XMXX&gt;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&lt;/ZZSPTFP_XMXXS&gt;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&lt;/ZZSDZPTFP&gt;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&lt;/ZZSDZPTFPS&gt; </w:t>
      </w:r>
    </w:p>
    <w:p>
      <w:pPr>
        <w:autoSpaceDE w:val="0"/>
        <w:autoSpaceDN w:val="0"/>
        <w:adjustRightInd w:val="0"/>
        <w:spacing w:line="360" w:lineRule="auto"/>
        <w:ind w:left="420" w:leftChars="200"/>
        <w:rPr>
          <w:rFonts w:ascii="Calibri" w:hAnsi="Calibri"/>
          <w:color w:val="00B0F0"/>
        </w:rPr>
      </w:pPr>
      <w:r>
        <w:rPr>
          <w:rFonts w:hint="eastAsia" w:ascii="宋体" w:hAnsi="宋体" w:cs="新宋体"/>
          <w:kern w:val="0"/>
          <w:sz w:val="18"/>
          <w:szCs w:val="18"/>
        </w:rPr>
        <w:t>&lt;/REQUEST_</w:t>
      </w:r>
      <w:r>
        <w:rPr>
          <w:szCs w:val="21"/>
        </w:rPr>
        <w:t xml:space="preserve"> </w:t>
      </w:r>
      <w:r>
        <w:rPr>
          <w:rFonts w:hint="eastAsia" w:ascii="宋体" w:hAnsi="宋体" w:cs="新宋体"/>
          <w:kern w:val="0"/>
          <w:sz w:val="18"/>
          <w:szCs w:val="18"/>
        </w:rPr>
        <w:t>DZFPSC&gt;</w:t>
      </w:r>
    </w:p>
    <w:p>
      <w:pPr>
        <w:spacing w:line="360" w:lineRule="auto"/>
        <w:rPr>
          <w:color w:val="00B0F0"/>
        </w:rPr>
      </w:pPr>
    </w:p>
    <w:p>
      <w:pPr>
        <w:numPr>
          <w:ilvl w:val="0"/>
          <w:numId w:val="20"/>
        </w:numPr>
        <w:spacing w:line="360" w:lineRule="auto"/>
      </w:pPr>
      <w:r>
        <w:rPr>
          <w:rFonts w:hint="eastAsia"/>
          <w:b/>
        </w:rPr>
        <w:t>【</w:t>
      </w:r>
      <w:r>
        <w:rPr>
          <w:b/>
        </w:rPr>
        <w:t>Content</w:t>
      </w:r>
      <w:r>
        <w:rPr>
          <w:rFonts w:hint="eastAsia"/>
          <w:b/>
        </w:rPr>
        <w:t>中】请求数据项说明：</w:t>
      </w:r>
    </w:p>
    <w:p>
      <w:pPr>
        <w:spacing w:line="360" w:lineRule="auto"/>
        <w:ind w:left="420"/>
      </w:pPr>
    </w:p>
    <w:tbl>
      <w:tblPr>
        <w:tblStyle w:val="34"/>
        <w:tblW w:w="101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457"/>
        <w:gridCol w:w="2087"/>
        <w:gridCol w:w="1090"/>
        <w:gridCol w:w="867"/>
        <w:gridCol w:w="670"/>
        <w:gridCol w:w="3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shd w:val="clear" w:color="auto" w:fill="DEEAF6"/>
            <w:vAlign w:val="center"/>
          </w:tcPr>
          <w:p>
            <w:pPr>
              <w:spacing w:line="360" w:lineRule="auto"/>
            </w:pPr>
            <w:r>
              <w:rPr>
                <w:rFonts w:hint="eastAsia"/>
              </w:rPr>
              <w:t>序号</w:t>
            </w:r>
          </w:p>
        </w:tc>
        <w:tc>
          <w:tcPr>
            <w:tcW w:w="1457" w:type="dxa"/>
            <w:tcBorders>
              <w:top w:val="single" w:color="auto" w:sz="4" w:space="0"/>
              <w:left w:val="single" w:color="auto" w:sz="4" w:space="0"/>
              <w:bottom w:val="single" w:color="auto" w:sz="4" w:space="0"/>
              <w:right w:val="single" w:color="auto" w:sz="4" w:space="0"/>
            </w:tcBorders>
            <w:shd w:val="clear" w:color="auto" w:fill="DEEAF6"/>
            <w:vAlign w:val="center"/>
          </w:tcPr>
          <w:p>
            <w:pPr>
              <w:spacing w:line="360" w:lineRule="auto"/>
            </w:pPr>
            <w:r>
              <w:rPr>
                <w:rFonts w:hint="eastAsia"/>
              </w:rPr>
              <w:t>数据项</w:t>
            </w:r>
          </w:p>
        </w:tc>
        <w:tc>
          <w:tcPr>
            <w:tcW w:w="2087" w:type="dxa"/>
            <w:tcBorders>
              <w:top w:val="single" w:color="auto" w:sz="4" w:space="0"/>
              <w:left w:val="single" w:color="auto" w:sz="4" w:space="0"/>
              <w:bottom w:val="single" w:color="auto" w:sz="4" w:space="0"/>
              <w:right w:val="single" w:color="auto" w:sz="4" w:space="0"/>
            </w:tcBorders>
            <w:shd w:val="clear" w:color="auto" w:fill="DEEAF6"/>
            <w:vAlign w:val="center"/>
          </w:tcPr>
          <w:p>
            <w:pPr>
              <w:spacing w:line="360" w:lineRule="auto"/>
            </w:pPr>
            <w:r>
              <w:rPr>
                <w:rFonts w:hint="eastAsia"/>
              </w:rPr>
              <w:t>数据项名称名称</w:t>
            </w:r>
          </w:p>
        </w:tc>
        <w:tc>
          <w:tcPr>
            <w:tcW w:w="1090" w:type="dxa"/>
            <w:tcBorders>
              <w:top w:val="single" w:color="auto" w:sz="4" w:space="0"/>
              <w:left w:val="single" w:color="auto" w:sz="4" w:space="0"/>
              <w:bottom w:val="single" w:color="auto" w:sz="4" w:space="0"/>
              <w:right w:val="single" w:color="auto" w:sz="4" w:space="0"/>
            </w:tcBorders>
            <w:shd w:val="clear" w:color="auto" w:fill="DEEAF6"/>
            <w:vAlign w:val="center"/>
          </w:tcPr>
          <w:p>
            <w:pPr>
              <w:spacing w:line="360" w:lineRule="auto"/>
            </w:pPr>
            <w:r>
              <w:rPr>
                <w:rFonts w:hint="eastAsia"/>
              </w:rPr>
              <w:t>类型</w:t>
            </w:r>
          </w:p>
        </w:tc>
        <w:tc>
          <w:tcPr>
            <w:tcW w:w="867" w:type="dxa"/>
            <w:tcBorders>
              <w:top w:val="single" w:color="auto" w:sz="4" w:space="0"/>
              <w:left w:val="single" w:color="auto" w:sz="4" w:space="0"/>
              <w:bottom w:val="single" w:color="auto" w:sz="4" w:space="0"/>
              <w:right w:val="single" w:color="auto" w:sz="4" w:space="0"/>
            </w:tcBorders>
            <w:shd w:val="clear" w:color="auto" w:fill="DEEAF6"/>
            <w:vAlign w:val="center"/>
          </w:tcPr>
          <w:p>
            <w:pPr>
              <w:spacing w:line="360" w:lineRule="auto"/>
            </w:pPr>
            <w:r>
              <w:rPr>
                <w:rFonts w:hint="eastAsia"/>
              </w:rPr>
              <w:t>长度</w:t>
            </w:r>
          </w:p>
        </w:tc>
        <w:tc>
          <w:tcPr>
            <w:tcW w:w="670" w:type="dxa"/>
            <w:tcBorders>
              <w:top w:val="single" w:color="auto" w:sz="4" w:space="0"/>
              <w:left w:val="single" w:color="auto" w:sz="4" w:space="0"/>
              <w:bottom w:val="single" w:color="auto" w:sz="4" w:space="0"/>
              <w:right w:val="single" w:color="auto" w:sz="4" w:space="0"/>
            </w:tcBorders>
            <w:shd w:val="clear" w:color="auto" w:fill="DEEAF6"/>
            <w:vAlign w:val="center"/>
          </w:tcPr>
          <w:p>
            <w:pPr>
              <w:spacing w:line="360" w:lineRule="auto"/>
            </w:pPr>
            <w:r>
              <w:rPr>
                <w:rFonts w:hint="eastAsia"/>
              </w:rPr>
              <w:t>必须</w:t>
            </w:r>
          </w:p>
        </w:tc>
        <w:tc>
          <w:tcPr>
            <w:tcW w:w="3196" w:type="dxa"/>
            <w:tcBorders>
              <w:top w:val="single" w:color="auto" w:sz="4" w:space="0"/>
              <w:left w:val="single" w:color="auto" w:sz="4" w:space="0"/>
              <w:bottom w:val="single" w:color="auto" w:sz="4" w:space="0"/>
              <w:right w:val="single" w:color="auto" w:sz="4" w:space="0"/>
            </w:tcBorders>
            <w:shd w:val="clear" w:color="auto" w:fill="DEEAF6"/>
            <w:vAlign w:val="center"/>
          </w:tcPr>
          <w:p>
            <w:pPr>
              <w:spacing w:line="360" w:lineRule="auto"/>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53"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增值税电子普通发票-发票头信息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1</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FPQQLSH</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发票请求流水号</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20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2</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cs="新宋体"/>
                <w:kern w:val="0"/>
                <w:sz w:val="18"/>
                <w:szCs w:val="18"/>
              </w:rPr>
              <w:t>SJLY</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数据来源</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50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数据采集的来源，如金税宝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3</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KPLX</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开票类型</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t>NUMBER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1</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0-蓝字发票</w:t>
            </w:r>
          </w:p>
          <w:p>
            <w:pPr>
              <w:spacing w:line="360" w:lineRule="auto"/>
            </w:pPr>
            <w:r>
              <w:rPr>
                <w:rFonts w:hint="eastAsia"/>
              </w:rPr>
              <w:t>1-红字发票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4</w:t>
            </w:r>
          </w:p>
        </w:tc>
        <w:tc>
          <w:tcPr>
            <w:tcW w:w="1457"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t>NSRSBH</w:t>
            </w:r>
          </w:p>
        </w:tc>
        <w:tc>
          <w:tcPr>
            <w:tcW w:w="2087"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rPr>
                <w:rFonts w:hint="eastAsia"/>
              </w:rPr>
              <w:t>开票方识别号</w:t>
            </w:r>
          </w:p>
        </w:tc>
        <w:tc>
          <w:tcPr>
            <w:tcW w:w="1090"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rPr>
                <w:color w:val="000000"/>
              </w:rPr>
              <w:t>VARCHAR</w:t>
            </w:r>
          </w:p>
        </w:tc>
        <w:tc>
          <w:tcPr>
            <w:tcW w:w="867"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t>20</w:t>
            </w:r>
          </w:p>
        </w:tc>
        <w:tc>
          <w:tcPr>
            <w:tcW w:w="670"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color w:val="FF0000"/>
              </w:rPr>
            </w:pPr>
            <w:r>
              <w:rPr>
                <w:rFonts w:hint="eastAsia"/>
              </w:rPr>
              <w:t>是</w:t>
            </w:r>
          </w:p>
        </w:tc>
        <w:tc>
          <w:tcPr>
            <w:tcW w:w="3196"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5</w:t>
            </w:r>
          </w:p>
        </w:tc>
        <w:tc>
          <w:tcPr>
            <w:tcW w:w="1457"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t>NSRMC</w:t>
            </w:r>
          </w:p>
        </w:tc>
        <w:tc>
          <w:tcPr>
            <w:tcW w:w="2087"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rPr>
                <w:rFonts w:hint="eastAsia"/>
              </w:rPr>
              <w:t>开票方名称</w:t>
            </w:r>
          </w:p>
        </w:tc>
        <w:tc>
          <w:tcPr>
            <w:tcW w:w="1090"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rPr>
                <w:color w:val="000000"/>
              </w:rPr>
              <w:t>VARCHAR</w:t>
            </w:r>
          </w:p>
        </w:tc>
        <w:tc>
          <w:tcPr>
            <w:tcW w:w="867"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color w:val="FF0000"/>
              </w:rPr>
            </w:pPr>
            <w:r>
              <w:t>100</w:t>
            </w:r>
          </w:p>
        </w:tc>
        <w:tc>
          <w:tcPr>
            <w:tcW w:w="670"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color w:val="FF0000"/>
              </w:rPr>
            </w:pPr>
            <w:r>
              <w:rPr>
                <w:rFonts w:hint="eastAsia"/>
              </w:rPr>
              <w:t>是</w:t>
            </w:r>
          </w:p>
        </w:tc>
        <w:tc>
          <w:tcPr>
            <w:tcW w:w="3196"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6</w:t>
            </w:r>
          </w:p>
        </w:tc>
        <w:tc>
          <w:tcPr>
            <w:tcW w:w="1457" w:type="dxa"/>
            <w:tcBorders>
              <w:top w:val="single" w:color="auto" w:sz="4" w:space="0"/>
              <w:left w:val="single" w:color="auto" w:sz="4" w:space="0"/>
              <w:bottom w:val="single" w:color="auto" w:sz="4" w:space="0"/>
              <w:right w:val="single" w:color="auto" w:sz="4" w:space="0"/>
            </w:tcBorders>
          </w:tcPr>
          <w:p>
            <w:pPr>
              <w:spacing w:line="360" w:lineRule="auto"/>
            </w:pPr>
            <w:r>
              <w:t>SWJG_DM</w:t>
            </w:r>
          </w:p>
        </w:tc>
        <w:tc>
          <w:tcPr>
            <w:tcW w:w="2087"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rPr>
                <w:rFonts w:hint="eastAsia"/>
              </w:rPr>
              <w:t>税务机构代码</w:t>
            </w:r>
          </w:p>
        </w:tc>
        <w:tc>
          <w:tcPr>
            <w:tcW w:w="1090"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rPr>
                <w:color w:val="000000"/>
              </w:rPr>
              <w:t>VARCHAR</w:t>
            </w:r>
          </w:p>
        </w:tc>
        <w:tc>
          <w:tcPr>
            <w:tcW w:w="867"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t>11</w:t>
            </w:r>
          </w:p>
        </w:tc>
        <w:tc>
          <w:tcPr>
            <w:tcW w:w="670"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rPr>
                <w:rFonts w:hint="eastAsia"/>
              </w:rPr>
              <w:t>否</w:t>
            </w:r>
          </w:p>
        </w:tc>
        <w:tc>
          <w:tcPr>
            <w:tcW w:w="3196"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7</w:t>
            </w:r>
          </w:p>
        </w:tc>
        <w:tc>
          <w:tcPr>
            <w:tcW w:w="1457"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t>DKBZ</w:t>
            </w:r>
          </w:p>
        </w:tc>
        <w:tc>
          <w:tcPr>
            <w:tcW w:w="2087"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rPr>
                <w:rFonts w:hint="eastAsia"/>
              </w:rPr>
              <w:t>代开标志</w:t>
            </w:r>
          </w:p>
        </w:tc>
        <w:tc>
          <w:tcPr>
            <w:tcW w:w="1090"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color w:val="000000"/>
              </w:rPr>
            </w:pPr>
            <w:r>
              <w:rPr>
                <w:color w:val="000000"/>
              </w:rPr>
              <w:t>CHAR</w:t>
            </w:r>
          </w:p>
        </w:tc>
        <w:tc>
          <w:tcPr>
            <w:tcW w:w="867"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t>1</w:t>
            </w:r>
          </w:p>
        </w:tc>
        <w:tc>
          <w:tcPr>
            <w:tcW w:w="670"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color w:val="FF0000"/>
              </w:rPr>
            </w:pPr>
            <w:r>
              <w:rPr>
                <w:rFonts w:hint="eastAsia"/>
              </w:rPr>
              <w:t>是</w:t>
            </w:r>
          </w:p>
        </w:tc>
        <w:tc>
          <w:tcPr>
            <w:tcW w:w="3196"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rPr>
                <w:rFonts w:hint="eastAsia"/>
              </w:rPr>
              <w:t>自开</w:t>
            </w:r>
            <w:r>
              <w:t>(0)</w:t>
            </w:r>
          </w:p>
          <w:p>
            <w:pPr>
              <w:spacing w:line="360" w:lineRule="auto"/>
              <w:rPr>
                <w:rFonts w:ascii="Calibri" w:hAnsi="Calibri"/>
              </w:rPr>
            </w:pPr>
            <w:r>
              <w:rPr>
                <w:rFonts w:hint="eastAsia"/>
              </w:rPr>
              <w:t>代开</w:t>
            </w: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8</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XSF_NSRSBH</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销售方纳税人识别号</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20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9</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XSF_MC</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销售方名称</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100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10</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XSF_DZDH</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销售方地址、电话</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100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11</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XSF_YHZH</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销售方银行账号</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100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12</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GMF_NSRSBH</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购买方纳税人识别号</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20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13</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GMF_MC</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购买方名称</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100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14</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GMF_DZDH</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购买方地址、电话</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100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15</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GMF_YHZH</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购买方银行账号</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100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16</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KPR</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开票人</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8</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17</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SKR</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收款人</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8</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18</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FHR</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复核人</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8</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19</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YFP_DM</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原发票代码</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12</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红字发票时必须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20</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YFP_HM</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原发票号码</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8</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红字发票时必须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21</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JSHJ</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价税合计</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rPr>
                <w:color w:val="000000"/>
              </w:rPr>
              <w:t>DOUBLE</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单位：元（2位小数）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22</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HJJE</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合计金额</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rPr>
                <w:color w:val="000000"/>
              </w:rPr>
              <w:t>DOUBLE</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不含税，单位：元（2位小数）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23</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HJSE</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合计税额</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rPr>
                <w:color w:val="000000"/>
              </w:rPr>
              <w:t>DOUBLE</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单位：元（2位小数）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24</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BZ</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备注</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200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备注长度应减去“机器编号:ZZZZZZZZZZZ”,”对应正数发票代码:XXXXXXXXXXXX号码:YYYYYYYY”字样长度，长度剩余130。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25</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FPZT</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bCs/>
                <w:color w:val="000000"/>
              </w:rPr>
            </w:pPr>
            <w:r>
              <w:rPr>
                <w:rFonts w:hint="eastAsia"/>
                <w:bCs/>
                <w:color w:val="000000"/>
              </w:rPr>
              <w:t>发票状态</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000000"/>
              </w:rPr>
            </w:pPr>
            <w:r>
              <w:t>NUMBER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color w:val="000000"/>
              </w:rPr>
            </w:pPr>
            <w:r>
              <w:rPr>
                <w:rFonts w:hint="eastAsia"/>
                <w:color w:val="000000"/>
              </w:rPr>
              <w:t>1</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000000"/>
              </w:rPr>
            </w:pPr>
            <w:r>
              <w:rPr>
                <w:rFonts w:hint="eastAsia"/>
                <w:color w:val="000000"/>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color w:val="000000"/>
              </w:rPr>
            </w:pPr>
            <w:r>
              <w:rPr>
                <w:rFonts w:hint="eastAsia"/>
                <w:color w:val="000000"/>
              </w:rPr>
              <w:t>0-正常发票；1-作废发票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26</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JQBH</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税控设备编号</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12</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color w:val="000000"/>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成功必填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27</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FP_DM</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发票代码</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12</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color w:val="000000"/>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成功必填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28</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FP_HM</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发票号码</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8</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color w:val="000000"/>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成功必填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29</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KPRQ</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开票日期</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rPr>
                <w:color w:val="000000"/>
              </w:rPr>
              <w:t>DATETIME</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14</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color w:val="000000"/>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YYYYMMDDHHMMSS</w:t>
            </w:r>
          </w:p>
          <w:p>
            <w:pPr>
              <w:spacing w:line="360" w:lineRule="auto"/>
            </w:pPr>
            <w:r>
              <w:rPr>
                <w:rFonts w:hint="eastAsia"/>
              </w:rPr>
              <w:t>成功必填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30</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FP_MW</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发票密文</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112</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color w:val="000000"/>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长度108或112，成功必填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31</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JYM</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发票校验码</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20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color w:val="000000"/>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成功必填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32</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EWM</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二维码</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3000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color w:val="000000"/>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长度可变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ascii="Calibri" w:hAnsi="Calibri"/>
              </w:rPr>
              <w:t>33</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PDF_FILE</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Base64</w:t>
            </w:r>
            <w:r>
              <w:rPr>
                <w:rFonts w:hint="eastAsia"/>
              </w:rPr>
              <w:t>（</w:t>
            </w:r>
            <w:r>
              <w:t>pdf</w:t>
            </w:r>
            <w:r>
              <w:rPr>
                <w:rFonts w:hint="eastAsia"/>
              </w:rPr>
              <w:t>文件）</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不定长</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PDF</w:t>
            </w:r>
            <w:r>
              <w:rPr>
                <w:rFonts w:hint="eastAsia"/>
              </w:rPr>
              <w:t>下载方式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ascii="Calibri" w:hAnsi="Calibri"/>
              </w:rPr>
              <w:t>34</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PDF_URL</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PDF</w:t>
            </w:r>
            <w:r>
              <w:rPr>
                <w:rFonts w:hint="eastAsia"/>
              </w:rPr>
              <w:t>下载路径</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不定长</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PDF</w:t>
            </w:r>
            <w:r>
              <w:rPr>
                <w:rFonts w:hint="eastAsia"/>
              </w:rPr>
              <w:t>的下载路径</w:t>
            </w:r>
            <w:r>
              <w:t>PDF_URL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35</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FPTKZ</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发票头扩展</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不定长</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53"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增值税电子普通发票</w:t>
            </w:r>
            <w:r>
              <w:t>-</w:t>
            </w:r>
            <w:r>
              <w:rPr>
                <w:rFonts w:hint="eastAsia"/>
              </w:rPr>
              <w:t>项目明细，可多条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36</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ourier" w:hAnsi="Courier"/>
              </w:rPr>
            </w:pPr>
            <w:r>
              <w:t>FPHXZ</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发票行性质</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t>NUMBER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1</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接口开票必填</w:t>
            </w:r>
          </w:p>
          <w:p>
            <w:pPr>
              <w:spacing w:line="360" w:lineRule="auto"/>
            </w:pPr>
            <w:r>
              <w:rPr>
                <w:rFonts w:hint="eastAsia"/>
              </w:rPr>
              <w:t>0正常行</w:t>
            </w:r>
          </w:p>
          <w:p>
            <w:pPr>
              <w:spacing w:line="360" w:lineRule="auto"/>
            </w:pPr>
            <w:r>
              <w:rPr>
                <w:rFonts w:hint="eastAsia"/>
              </w:rPr>
              <w:t>1折扣行</w:t>
            </w:r>
          </w:p>
          <w:p>
            <w:pPr>
              <w:spacing w:line="360" w:lineRule="auto"/>
            </w:pPr>
            <w:r>
              <w:rPr>
                <w:rFonts w:hint="eastAsia"/>
              </w:rPr>
              <w:t>2被折扣行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37</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XMMC</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项目名称</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90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在发票和销货清单中，可在每一行商品下加入折扣行，折扣行商品名称栏填写“折扣（X.XXX%）”字样，其中“X”为折扣率数字，金额和税额栏以负数填写，税率与被折扣行商品税率相同，其它栏不填写。</w:t>
            </w:r>
          </w:p>
          <w:p>
            <w:pPr>
              <w:spacing w:line="360" w:lineRule="auto"/>
            </w:pPr>
            <w:r>
              <w:rPr>
                <w:rFonts w:hint="eastAsia"/>
              </w:rPr>
              <w:t>对于相邻商品行折扣率相同的，可汇总填写折扣行，折扣行商品名称栏填写“折扣行数Y(X.XXX%)”字样，其中“Y”为汇总行数数字，汇总金额和汇总税额栏以负数填写，税率与发票税率相同，其它栏不填写。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38</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DW</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计量单位</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20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39</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GGXH</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规格型号</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40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40</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XMSL</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项目数量</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rPr>
                <w:color w:val="000000"/>
              </w:rPr>
              <w:t>DOUBLE</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小数点后6位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41</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XMDJ</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项目单价</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rPr>
                <w:color w:val="000000"/>
              </w:rPr>
              <w:t>DOUBLE</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小数点后6位 不含税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42</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XMJE</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项目金额</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rPr>
                <w:color w:val="000000"/>
              </w:rPr>
              <w:t>DOUBLE</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不含税，单位：元（2位小数）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43</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SL</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税率</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rPr>
                <w:color w:val="000000"/>
              </w:rPr>
              <w:t>DOUBLE</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6位小数，例1%为0.01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44</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SE</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税额</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rPr>
                <w:color w:val="000000"/>
              </w:rPr>
              <w:t>DOUBLE</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单位：元（2位小数）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45</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XMXXKZ</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项目信息扩展</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color w:val="000000"/>
              </w:rPr>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不定长</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否</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p>
        </w:tc>
      </w:tr>
    </w:tbl>
    <w:p>
      <w:pPr>
        <w:spacing w:line="360" w:lineRule="auto"/>
        <w:rPr>
          <w:rFonts w:ascii="Calibri" w:hAnsi="Calibri"/>
          <w:b/>
        </w:rPr>
      </w:pPr>
    </w:p>
    <w:p>
      <w:pPr>
        <w:spacing w:line="360" w:lineRule="auto"/>
        <w:rPr>
          <w:rFonts w:ascii="Calibri" w:hAnsi="Calibri"/>
          <w:b/>
        </w:rPr>
      </w:pPr>
      <w:r>
        <w:rPr>
          <w:rFonts w:hint="eastAsia" w:ascii="Calibri" w:hAnsi="Calibri"/>
          <w:b/>
        </w:rPr>
        <w:t>返回报文示例与数据项说明</w:t>
      </w:r>
    </w:p>
    <w:p>
      <w:pPr>
        <w:numPr>
          <w:ilvl w:val="0"/>
          <w:numId w:val="6"/>
        </w:numPr>
        <w:spacing w:line="360" w:lineRule="auto"/>
        <w:rPr>
          <w:b/>
        </w:rPr>
      </w:pPr>
      <w:r>
        <w:rPr>
          <w:rFonts w:hint="eastAsia"/>
          <w:b/>
        </w:rPr>
        <w:t>【</w:t>
      </w:r>
      <w:r>
        <w:rPr>
          <w:b/>
        </w:rPr>
        <w:t>Content</w:t>
      </w:r>
      <w:r>
        <w:rPr>
          <w:rFonts w:hint="eastAsia"/>
          <w:b/>
        </w:rPr>
        <w:t>中】返回报文示例：</w:t>
      </w:r>
    </w:p>
    <w:p>
      <w:pPr>
        <w:spacing w:line="360" w:lineRule="auto"/>
      </w:pP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&lt;RESPONSE_DZFPSC class="RESPONSE_DZFPSC"&gt;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&lt;ZZSDZPTFPS class="ZZSDZPTFP;" size="1"&gt; </w:t>
      </w:r>
    </w:p>
    <w:p>
      <w:pPr>
        <w:autoSpaceDE w:val="0"/>
        <w:autoSpaceDN w:val="0"/>
        <w:adjustRightInd w:val="0"/>
        <w:spacing w:line="360" w:lineRule="auto"/>
        <w:ind w:left="420" w:leftChars="200" w:firstLine="420"/>
        <w:rPr>
          <w:rFonts w:ascii="宋体" w:hAnsi="宋体" w:cs="新宋体"/>
          <w:kern w:val="0"/>
          <w:sz w:val="18"/>
          <w:szCs w:val="18"/>
        </w:rPr>
      </w:pPr>
      <w:r>
        <w:rPr>
          <w:rFonts w:hint="eastAsia" w:ascii="宋体" w:hAnsi="宋体" w:cs="新宋体"/>
          <w:kern w:val="0"/>
          <w:sz w:val="18"/>
          <w:szCs w:val="18"/>
        </w:rPr>
        <w:t>&lt;ZZSDZPTFP&gt;</w:t>
      </w:r>
    </w:p>
    <w:p>
      <w:pPr>
        <w:autoSpaceDE w:val="0"/>
        <w:autoSpaceDN w:val="0"/>
        <w:adjustRightInd w:val="0"/>
        <w:spacing w:line="360" w:lineRule="auto"/>
        <w:ind w:left="1050" w:leftChars="500"/>
        <w:rPr>
          <w:rFonts w:ascii="宋体" w:hAnsi="宋体" w:cs="新宋体"/>
          <w:kern w:val="0"/>
          <w:sz w:val="18"/>
          <w:szCs w:val="18"/>
        </w:rPr>
      </w:pPr>
      <w:r>
        <w:rPr>
          <w:rFonts w:hint="eastAsia" w:ascii="宋体" w:hAnsi="宋体" w:cs="新宋体"/>
          <w:kern w:val="0"/>
          <w:sz w:val="18"/>
          <w:szCs w:val="18"/>
        </w:rPr>
        <w:t>&lt;FPQQLSH&gt;发票请求唯一流水号&lt;/FPQQLSH&gt;</w:t>
      </w:r>
    </w:p>
    <w:p>
      <w:pPr>
        <w:autoSpaceDE w:val="0"/>
        <w:autoSpaceDN w:val="0"/>
        <w:adjustRightInd w:val="0"/>
        <w:spacing w:line="360" w:lineRule="auto"/>
        <w:ind w:left="1050" w:leftChars="500"/>
        <w:rPr>
          <w:rFonts w:ascii="宋体" w:hAnsi="宋体" w:cs="新宋体"/>
          <w:kern w:val="0"/>
          <w:sz w:val="18"/>
          <w:szCs w:val="18"/>
        </w:rPr>
      </w:pPr>
      <w:r>
        <w:rPr>
          <w:rFonts w:hint="eastAsia" w:ascii="宋体" w:hAnsi="宋体" w:cs="新宋体"/>
          <w:kern w:val="0"/>
          <w:sz w:val="18"/>
          <w:szCs w:val="18"/>
        </w:rPr>
        <w:t>&lt;FP_DM&gt;发票代码&lt;/FP_DM&gt;</w:t>
      </w:r>
    </w:p>
    <w:p>
      <w:pPr>
        <w:autoSpaceDE w:val="0"/>
        <w:autoSpaceDN w:val="0"/>
        <w:adjustRightInd w:val="0"/>
        <w:spacing w:line="360" w:lineRule="auto"/>
        <w:ind w:left="1050" w:leftChars="500"/>
        <w:rPr>
          <w:rFonts w:ascii="宋体" w:hAnsi="宋体" w:cs="新宋体"/>
          <w:kern w:val="0"/>
          <w:sz w:val="18"/>
          <w:szCs w:val="18"/>
        </w:rPr>
      </w:pPr>
      <w:r>
        <w:rPr>
          <w:rFonts w:hint="eastAsia" w:ascii="宋体" w:hAnsi="宋体" w:cs="新宋体"/>
          <w:kern w:val="0"/>
          <w:sz w:val="18"/>
          <w:szCs w:val="18"/>
        </w:rPr>
        <w:t>&lt;FP_HM&gt;发票号码&lt;/FP_HM&gt;</w:t>
      </w:r>
    </w:p>
    <w:p>
      <w:pPr>
        <w:autoSpaceDE w:val="0"/>
        <w:autoSpaceDN w:val="0"/>
        <w:adjustRightInd w:val="0"/>
        <w:spacing w:line="360" w:lineRule="auto"/>
        <w:ind w:left="1050" w:leftChars="500"/>
        <w:rPr>
          <w:rFonts w:ascii="宋体" w:hAnsi="宋体" w:cs="新宋体"/>
          <w:kern w:val="0"/>
          <w:sz w:val="18"/>
          <w:szCs w:val="18"/>
        </w:rPr>
      </w:pPr>
      <w:r>
        <w:rPr>
          <w:rFonts w:hint="eastAsia" w:ascii="宋体" w:hAnsi="宋体" w:cs="新宋体"/>
          <w:kern w:val="0"/>
          <w:sz w:val="18"/>
          <w:szCs w:val="18"/>
        </w:rPr>
        <w:t>&lt;RETURNCODE&gt;结果代码&lt;/RETURNCODE&gt;</w:t>
      </w:r>
    </w:p>
    <w:p>
      <w:pPr>
        <w:autoSpaceDE w:val="0"/>
        <w:autoSpaceDN w:val="0"/>
        <w:adjustRightInd w:val="0"/>
        <w:spacing w:line="360" w:lineRule="auto"/>
        <w:ind w:left="1050" w:leftChars="500"/>
        <w:rPr>
          <w:rFonts w:ascii="宋体" w:hAnsi="宋体" w:cs="新宋体"/>
          <w:kern w:val="0"/>
          <w:sz w:val="18"/>
          <w:szCs w:val="18"/>
        </w:rPr>
      </w:pPr>
      <w:r>
        <w:rPr>
          <w:rFonts w:hint="eastAsia" w:ascii="宋体" w:hAnsi="宋体" w:cs="新宋体"/>
          <w:kern w:val="0"/>
          <w:sz w:val="18"/>
          <w:szCs w:val="18"/>
        </w:rPr>
        <w:t>&lt;RETURNMESSAGE&gt;结果描述&lt;/RETURNMESSAGE&gt;</w:t>
      </w:r>
    </w:p>
    <w:p>
      <w:pPr>
        <w:autoSpaceDE w:val="0"/>
        <w:autoSpaceDN w:val="0"/>
        <w:adjustRightInd w:val="0"/>
        <w:spacing w:line="360" w:lineRule="auto"/>
        <w:ind w:left="420" w:leftChars="200" w:firstLine="420"/>
        <w:rPr>
          <w:rFonts w:ascii="宋体" w:hAnsi="宋体" w:cs="新宋体"/>
          <w:kern w:val="0"/>
          <w:sz w:val="18"/>
          <w:szCs w:val="18"/>
        </w:rPr>
      </w:pPr>
      <w:r>
        <w:rPr>
          <w:rFonts w:hint="eastAsia" w:ascii="宋体" w:hAnsi="宋体" w:cs="新宋体"/>
          <w:kern w:val="0"/>
          <w:sz w:val="18"/>
          <w:szCs w:val="18"/>
        </w:rPr>
        <w:t>&lt;/ZZSDZPTFP&gt;</w:t>
      </w:r>
    </w:p>
    <w:p>
      <w:pPr>
        <w:autoSpaceDE w:val="0"/>
        <w:autoSpaceDN w:val="0"/>
        <w:adjustRightInd w:val="0"/>
        <w:spacing w:line="360" w:lineRule="auto"/>
        <w:ind w:left="420" w:leftChars="200" w:firstLine="180" w:firstLineChars="100"/>
        <w:rPr>
          <w:rFonts w:ascii="宋体" w:hAnsi="宋体" w:cs="新宋体"/>
          <w:kern w:val="0"/>
          <w:sz w:val="18"/>
          <w:szCs w:val="18"/>
        </w:rPr>
      </w:pPr>
      <w:r>
        <w:rPr>
          <w:rFonts w:hint="eastAsia" w:ascii="宋体" w:hAnsi="宋体" w:cs="新宋体"/>
          <w:kern w:val="0"/>
          <w:sz w:val="18"/>
          <w:szCs w:val="18"/>
        </w:rPr>
        <w:t>&lt;/ZZSDZPTFPS&gt;</w:t>
      </w:r>
    </w:p>
    <w:p>
      <w:pPr>
        <w:autoSpaceDE w:val="0"/>
        <w:autoSpaceDN w:val="0"/>
        <w:adjustRightInd w:val="0"/>
        <w:spacing w:line="360" w:lineRule="auto"/>
        <w:ind w:left="420" w:leftChars="200" w:firstLine="180" w:firstLineChars="100"/>
        <w:rPr>
          <w:rFonts w:ascii="宋体" w:hAnsi="宋体" w:cs="新宋体"/>
          <w:kern w:val="0"/>
          <w:sz w:val="18"/>
          <w:szCs w:val="18"/>
        </w:rPr>
      </w:pP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&lt;/RESPONSE_DZFPSC&gt;</w:t>
      </w:r>
    </w:p>
    <w:p>
      <w:pPr>
        <w:spacing w:line="360" w:lineRule="auto"/>
        <w:rPr>
          <w:rFonts w:ascii="Calibri" w:hAnsi="Calibri"/>
          <w:color w:val="FF0000"/>
        </w:rPr>
      </w:pPr>
    </w:p>
    <w:p>
      <w:pPr>
        <w:numPr>
          <w:ilvl w:val="0"/>
          <w:numId w:val="6"/>
        </w:numPr>
        <w:spacing w:line="360" w:lineRule="auto"/>
        <w:rPr>
          <w:b/>
        </w:rPr>
      </w:pPr>
      <w:r>
        <w:rPr>
          <w:rFonts w:hint="eastAsia"/>
          <w:b/>
        </w:rPr>
        <w:t>【</w:t>
      </w:r>
      <w:r>
        <w:rPr>
          <w:b/>
        </w:rPr>
        <w:t>Content</w:t>
      </w:r>
      <w:r>
        <w:rPr>
          <w:rFonts w:hint="eastAsia"/>
          <w:b/>
        </w:rPr>
        <w:t>中】返回数据项说明</w:t>
      </w:r>
    </w:p>
    <w:p>
      <w:pPr>
        <w:spacing w:line="360" w:lineRule="auto"/>
        <w:rPr>
          <w:b/>
        </w:rPr>
      </w:pPr>
    </w:p>
    <w:tbl>
      <w:tblPr>
        <w:tblStyle w:val="34"/>
        <w:tblW w:w="104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831"/>
        <w:gridCol w:w="2156"/>
        <w:gridCol w:w="1291"/>
        <w:gridCol w:w="851"/>
        <w:gridCol w:w="693"/>
        <w:gridCol w:w="2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shd w:val="clear" w:color="auto" w:fill="DEEAF6"/>
          </w:tcPr>
          <w:p>
            <w:pPr>
              <w:spacing w:line="360" w:lineRule="auto"/>
              <w:rPr>
                <w:rFonts w:ascii="Calibri" w:hAnsi="Calibri"/>
              </w:rPr>
            </w:pPr>
            <w:r>
              <w:rPr>
                <w:rFonts w:hint="eastAsia"/>
              </w:rPr>
              <w:t>序号</w:t>
            </w:r>
          </w:p>
        </w:tc>
        <w:tc>
          <w:tcPr>
            <w:tcW w:w="1831" w:type="dxa"/>
            <w:tcBorders>
              <w:top w:val="single" w:color="auto" w:sz="4" w:space="0"/>
              <w:left w:val="single" w:color="auto" w:sz="4" w:space="0"/>
              <w:bottom w:val="single" w:color="auto" w:sz="4" w:space="0"/>
              <w:right w:val="single" w:color="auto" w:sz="4" w:space="0"/>
            </w:tcBorders>
            <w:shd w:val="clear" w:color="auto" w:fill="DEEAF6"/>
          </w:tcPr>
          <w:p>
            <w:pPr>
              <w:spacing w:line="360" w:lineRule="auto"/>
              <w:rPr>
                <w:rFonts w:ascii="Calibri" w:hAnsi="Calibri"/>
              </w:rPr>
            </w:pPr>
            <w:r>
              <w:rPr>
                <w:rFonts w:hint="eastAsia"/>
              </w:rPr>
              <w:t>数据项</w:t>
            </w:r>
          </w:p>
        </w:tc>
        <w:tc>
          <w:tcPr>
            <w:tcW w:w="2156" w:type="dxa"/>
            <w:tcBorders>
              <w:top w:val="single" w:color="auto" w:sz="4" w:space="0"/>
              <w:left w:val="single" w:color="auto" w:sz="4" w:space="0"/>
              <w:bottom w:val="single" w:color="auto" w:sz="4" w:space="0"/>
              <w:right w:val="single" w:color="auto" w:sz="4" w:space="0"/>
            </w:tcBorders>
            <w:shd w:val="clear" w:color="auto" w:fill="DEEAF6"/>
          </w:tcPr>
          <w:p>
            <w:pPr>
              <w:spacing w:line="360" w:lineRule="auto"/>
              <w:rPr>
                <w:rFonts w:ascii="Calibri" w:hAnsi="Calibri"/>
              </w:rPr>
            </w:pPr>
            <w:r>
              <w:rPr>
                <w:rFonts w:hint="eastAsia"/>
              </w:rPr>
              <w:t>数据项名称</w:t>
            </w:r>
          </w:p>
        </w:tc>
        <w:tc>
          <w:tcPr>
            <w:tcW w:w="1291" w:type="dxa"/>
            <w:tcBorders>
              <w:top w:val="single" w:color="auto" w:sz="4" w:space="0"/>
              <w:left w:val="single" w:color="auto" w:sz="4" w:space="0"/>
              <w:bottom w:val="single" w:color="auto" w:sz="4" w:space="0"/>
              <w:right w:val="single" w:color="auto" w:sz="4" w:space="0"/>
            </w:tcBorders>
            <w:shd w:val="clear" w:color="auto" w:fill="DEEAF6"/>
          </w:tcPr>
          <w:p>
            <w:pPr>
              <w:spacing w:line="360" w:lineRule="auto"/>
              <w:rPr>
                <w:rFonts w:ascii="Calibri" w:hAnsi="Calibri"/>
              </w:rPr>
            </w:pPr>
            <w:r>
              <w:rPr>
                <w:rFonts w:hint="eastAsia"/>
              </w:rPr>
              <w:t>类型</w:t>
            </w:r>
          </w:p>
        </w:tc>
        <w:tc>
          <w:tcPr>
            <w:tcW w:w="851" w:type="dxa"/>
            <w:tcBorders>
              <w:top w:val="single" w:color="auto" w:sz="4" w:space="0"/>
              <w:left w:val="single" w:color="auto" w:sz="4" w:space="0"/>
              <w:bottom w:val="single" w:color="auto" w:sz="4" w:space="0"/>
              <w:right w:val="single" w:color="auto" w:sz="4" w:space="0"/>
            </w:tcBorders>
            <w:shd w:val="clear" w:color="auto" w:fill="DEEAF6"/>
          </w:tcPr>
          <w:p>
            <w:pPr>
              <w:spacing w:line="360" w:lineRule="auto"/>
              <w:rPr>
                <w:rFonts w:ascii="Calibri" w:hAnsi="Calibri"/>
              </w:rPr>
            </w:pPr>
            <w:r>
              <w:rPr>
                <w:rFonts w:hint="eastAsia"/>
              </w:rPr>
              <w:t>长度</w:t>
            </w:r>
          </w:p>
        </w:tc>
        <w:tc>
          <w:tcPr>
            <w:tcW w:w="693" w:type="dxa"/>
            <w:tcBorders>
              <w:top w:val="single" w:color="auto" w:sz="4" w:space="0"/>
              <w:left w:val="single" w:color="auto" w:sz="4" w:space="0"/>
              <w:bottom w:val="single" w:color="auto" w:sz="4" w:space="0"/>
              <w:right w:val="single" w:color="auto" w:sz="4" w:space="0"/>
            </w:tcBorders>
            <w:shd w:val="clear" w:color="auto" w:fill="DEEAF6"/>
          </w:tcPr>
          <w:p>
            <w:pPr>
              <w:spacing w:line="360" w:lineRule="auto"/>
              <w:rPr>
                <w:rFonts w:ascii="Calibri" w:hAnsi="Calibri"/>
              </w:rPr>
            </w:pPr>
            <w:r>
              <w:rPr>
                <w:rFonts w:hint="eastAsia"/>
              </w:rPr>
              <w:t>必须</w:t>
            </w:r>
          </w:p>
        </w:tc>
        <w:tc>
          <w:tcPr>
            <w:tcW w:w="2817" w:type="dxa"/>
            <w:tcBorders>
              <w:top w:val="single" w:color="auto" w:sz="4" w:space="0"/>
              <w:left w:val="single" w:color="auto" w:sz="4" w:space="0"/>
              <w:bottom w:val="single" w:color="auto" w:sz="4" w:space="0"/>
              <w:right w:val="single" w:color="auto" w:sz="4" w:space="0"/>
            </w:tcBorders>
            <w:shd w:val="clear" w:color="auto" w:fill="DEEAF6"/>
          </w:tcPr>
          <w:p>
            <w:pPr>
              <w:spacing w:line="360" w:lineRule="auto"/>
              <w:rPr>
                <w:rFonts w:ascii="Calibri" w:hAnsi="Calibri"/>
              </w:rPr>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ascii="Calibri" w:hAnsi="Calibri"/>
              </w:rPr>
              <w:t>1</w:t>
            </w: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FPQQLSH</w:t>
            </w:r>
          </w:p>
        </w:tc>
        <w:tc>
          <w:tcPr>
            <w:tcW w:w="215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发票请求唯一流水号</w:t>
            </w:r>
          </w:p>
        </w:tc>
        <w:tc>
          <w:tcPr>
            <w:tcW w:w="129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50</w:t>
            </w:r>
          </w:p>
        </w:tc>
        <w:tc>
          <w:tcPr>
            <w:tcW w:w="6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是</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ascii="Calibri" w:hAnsi="Calibri"/>
              </w:rPr>
              <w:t>2</w:t>
            </w: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FP_DM</w:t>
            </w:r>
          </w:p>
        </w:tc>
        <w:tc>
          <w:tcPr>
            <w:tcW w:w="215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发票代码</w:t>
            </w:r>
          </w:p>
        </w:tc>
        <w:tc>
          <w:tcPr>
            <w:tcW w:w="129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12</w:t>
            </w:r>
          </w:p>
        </w:tc>
        <w:tc>
          <w:tcPr>
            <w:tcW w:w="6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是</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w:t>
            </w:r>
            <w:r>
              <w:t>RETURNCODE</w:t>
            </w:r>
            <w:r>
              <w:rPr>
                <w:rFonts w:hint="eastAsia"/>
              </w:rPr>
              <w:t>不为</w:t>
            </w:r>
            <w:r>
              <w:t>0000</w:t>
            </w:r>
            <w:r>
              <w:rPr>
                <w:rFonts w:hint="eastAsia"/>
              </w:rPr>
              <w:t>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ascii="Calibri" w:hAnsi="Calibri"/>
              </w:rPr>
              <w:t>3</w:t>
            </w: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FP_HM</w:t>
            </w:r>
          </w:p>
        </w:tc>
        <w:tc>
          <w:tcPr>
            <w:tcW w:w="215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发票号码</w:t>
            </w:r>
          </w:p>
        </w:tc>
        <w:tc>
          <w:tcPr>
            <w:tcW w:w="129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8</w:t>
            </w:r>
          </w:p>
        </w:tc>
        <w:tc>
          <w:tcPr>
            <w:tcW w:w="6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是</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w:t>
            </w:r>
            <w:r>
              <w:t>RETURNCODE</w:t>
            </w:r>
            <w:r>
              <w:rPr>
                <w:rFonts w:hint="eastAsia"/>
              </w:rPr>
              <w:t>不为</w:t>
            </w:r>
            <w:r>
              <w:t>0000</w:t>
            </w:r>
            <w:r>
              <w:rPr>
                <w:rFonts w:hint="eastAsia"/>
              </w:rPr>
              <w:t>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ascii="Calibri" w:hAnsi="Calibri"/>
              </w:rPr>
              <w:t>4</w:t>
            </w: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RETURNCODE</w:t>
            </w:r>
          </w:p>
        </w:tc>
        <w:tc>
          <w:tcPr>
            <w:tcW w:w="215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结果代码</w:t>
            </w:r>
          </w:p>
        </w:tc>
        <w:tc>
          <w:tcPr>
            <w:tcW w:w="129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4</w:t>
            </w:r>
          </w:p>
        </w:tc>
        <w:tc>
          <w:tcPr>
            <w:tcW w:w="6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是</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0000</w:t>
            </w:r>
            <w:r>
              <w:rPr>
                <w:rFonts w:hint="eastAsia"/>
              </w:rPr>
              <w:t>：接收成功</w:t>
            </w:r>
          </w:p>
          <w:p>
            <w:pPr>
              <w:spacing w:line="360" w:lineRule="auto"/>
              <w:rPr>
                <w:rFonts w:ascii="Calibri" w:hAnsi="Calibri"/>
              </w:rPr>
            </w:pPr>
            <w:r>
              <w:t>9999</w:t>
            </w:r>
            <w:r>
              <w:rPr>
                <w:rFonts w:hint="eastAsia"/>
              </w:rPr>
              <w:t>：下发失败</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ascii="Calibri" w:hAnsi="Calibri"/>
              </w:rPr>
              <w:t>5</w:t>
            </w:r>
          </w:p>
        </w:tc>
        <w:tc>
          <w:tcPr>
            <w:tcW w:w="183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RETURNMESSAGE</w:t>
            </w:r>
          </w:p>
        </w:tc>
        <w:tc>
          <w:tcPr>
            <w:tcW w:w="215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结果描述</w:t>
            </w:r>
          </w:p>
        </w:tc>
        <w:tc>
          <w:tcPr>
            <w:tcW w:w="129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VARCHAR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128</w:t>
            </w:r>
          </w:p>
        </w:tc>
        <w:tc>
          <w:tcPr>
            <w:tcW w:w="6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否</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错误原因</w:t>
            </w:r>
          </w:p>
        </w:tc>
      </w:tr>
    </w:tbl>
    <w:p>
      <w:pPr>
        <w:spacing w:line="360" w:lineRule="auto"/>
        <w:rPr>
          <w:rFonts w:ascii="Calibri" w:hAnsi="Calibri"/>
          <w:b/>
        </w:rPr>
      </w:pPr>
    </w:p>
    <w:p>
      <w:pPr>
        <w:pStyle w:val="5"/>
        <w:numPr>
          <w:ilvl w:val="3"/>
          <w:numId w:val="0"/>
        </w:numPr>
        <w:spacing w:before="0" w:after="0" w:line="360" w:lineRule="auto"/>
      </w:pPr>
      <w:bookmarkStart w:id="151" w:name="_Toc20613"/>
      <w:bookmarkStart w:id="152" w:name="_Toc442308308"/>
      <w:r>
        <w:rPr>
          <w:rFonts w:hint="eastAsia"/>
        </w:rPr>
        <w:t>3.2.4.3进项发票下载</w:t>
      </w:r>
      <w:bookmarkEnd w:id="151"/>
      <w:bookmarkEnd w:id="152"/>
    </w:p>
    <w:p>
      <w:pPr>
        <w:numPr>
          <w:ilvl w:val="0"/>
          <w:numId w:val="20"/>
        </w:numPr>
        <w:spacing w:line="360" w:lineRule="auto"/>
      </w:pPr>
      <w:r>
        <w:rPr>
          <w:rFonts w:hint="eastAsia"/>
          <w:b/>
        </w:rPr>
        <w:t>接口说明：</w:t>
      </w:r>
      <w:r>
        <w:rPr>
          <w:rFonts w:hint="eastAsia"/>
          <w:szCs w:val="21"/>
        </w:rPr>
        <w:t>从第三方发票服务平台进行发票下载。</w:t>
      </w:r>
    </w:p>
    <w:p>
      <w:pPr>
        <w:numPr>
          <w:ilvl w:val="0"/>
          <w:numId w:val="20"/>
        </w:numPr>
        <w:spacing w:line="360" w:lineRule="auto"/>
        <w:rPr>
          <w:b/>
          <w:bCs/>
        </w:rPr>
      </w:pPr>
      <w:r>
        <w:rPr>
          <w:rFonts w:hint="eastAsia"/>
          <w:b/>
        </w:rPr>
        <w:t>调用方式：</w:t>
      </w:r>
      <w:r>
        <w:t>WEB SERVICE</w:t>
      </w:r>
      <w:r>
        <w:rPr>
          <w:rFonts w:hint="eastAsia"/>
          <w:b/>
          <w:bCs/>
        </w:rPr>
        <w:t>方式</w:t>
      </w:r>
    </w:p>
    <w:p>
      <w:pPr>
        <w:numPr>
          <w:ilvl w:val="0"/>
          <w:numId w:val="20"/>
        </w:numPr>
        <w:spacing w:line="360" w:lineRule="auto"/>
        <w:rPr>
          <w:szCs w:val="21"/>
        </w:rPr>
      </w:pPr>
      <w:r>
        <w:rPr>
          <w:rFonts w:hint="eastAsia"/>
          <w:b/>
        </w:rPr>
        <w:t>接口编码</w:t>
      </w:r>
      <w:r>
        <w:rPr>
          <w:rFonts w:hint="eastAsia"/>
        </w:rPr>
        <w:t>：</w:t>
      </w:r>
      <w:r>
        <w:rPr>
          <w:szCs w:val="21"/>
        </w:rPr>
        <w:t>ECXML.FPXZ.CX.E.INV</w:t>
      </w:r>
    </w:p>
    <w:p>
      <w:pPr>
        <w:spacing w:line="360" w:lineRule="auto"/>
        <w:ind w:left="420"/>
        <w:rPr>
          <w:szCs w:val="21"/>
        </w:rPr>
      </w:pPr>
    </w:p>
    <w:p>
      <w:pPr>
        <w:autoSpaceDE w:val="0"/>
        <w:autoSpaceDN w:val="0"/>
        <w:adjustRightInd w:val="0"/>
        <w:spacing w:line="360" w:lineRule="auto"/>
        <w:rPr>
          <w:rFonts w:ascii="宋体" w:hAnsi="宋体" w:cs="新宋体"/>
          <w:b/>
          <w:kern w:val="0"/>
          <w:sz w:val="22"/>
          <w:szCs w:val="18"/>
        </w:rPr>
      </w:pPr>
      <w:r>
        <w:rPr>
          <w:rFonts w:hint="eastAsia" w:ascii="宋体" w:hAnsi="宋体" w:cs="新宋体"/>
          <w:b/>
          <w:kern w:val="0"/>
          <w:sz w:val="22"/>
          <w:szCs w:val="18"/>
        </w:rPr>
        <w:t>请求报文示例与数据项说明</w:t>
      </w:r>
    </w:p>
    <w:p>
      <w:pPr>
        <w:numPr>
          <w:ilvl w:val="0"/>
          <w:numId w:val="6"/>
        </w:numPr>
        <w:spacing w:line="360" w:lineRule="auto"/>
        <w:rPr>
          <w:b/>
        </w:rPr>
      </w:pPr>
      <w:r>
        <w:rPr>
          <w:rFonts w:hint="eastAsia"/>
          <w:b/>
        </w:rPr>
        <w:t>【</w:t>
      </w:r>
      <w:r>
        <w:rPr>
          <w:b/>
        </w:rPr>
        <w:t>Content</w:t>
      </w:r>
      <w:r>
        <w:rPr>
          <w:rFonts w:hint="eastAsia"/>
          <w:b/>
        </w:rPr>
        <w:t>中】请求报文示例：</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&lt;REQUEST_FPXZ class="REQUEST_FPXZ"&gt; </w:t>
      </w:r>
    </w:p>
    <w:p>
      <w:pPr>
        <w:autoSpaceDE w:val="0"/>
        <w:autoSpaceDN w:val="0"/>
        <w:adjustRightInd w:val="0"/>
        <w:spacing w:line="360" w:lineRule="auto"/>
        <w:ind w:left="420" w:leftChars="200" w:firstLine="21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FPXZQQLSH</w:t>
      </w:r>
      <w:r>
        <w:rPr>
          <w:rFonts w:hint="eastAsia" w:ascii="宋体" w:hAnsi="宋体" w:cs="新宋体"/>
          <w:color w:val="0000FF"/>
          <w:kern w:val="0"/>
          <w:sz w:val="18"/>
          <w:szCs w:val="18"/>
        </w:rPr>
        <w:t>&gt;</w:t>
      </w:r>
      <w:r>
        <w:rPr>
          <w:rFonts w:hint="eastAsia" w:ascii="宋体" w:hAnsi="宋体" w:cs="新宋体"/>
          <w:kern w:val="0"/>
          <w:sz w:val="18"/>
          <w:szCs w:val="18"/>
        </w:rPr>
        <w:t>发票下载请求唯一流水号</w:t>
      </w:r>
      <w:r>
        <w:rPr>
          <w:rFonts w:hint="eastAsia" w:ascii="宋体" w:hAnsi="宋体" w:cs="新宋体"/>
          <w:color w:val="0000FF"/>
          <w:kern w:val="0"/>
          <w:sz w:val="18"/>
          <w:szCs w:val="18"/>
        </w:rPr>
        <w:t>&lt;/</w:t>
      </w:r>
      <w:r>
        <w:rPr>
          <w:rFonts w:hint="eastAsia" w:ascii="宋体" w:hAnsi="宋体" w:cs="新宋体"/>
          <w:color w:val="A31515"/>
          <w:kern w:val="0"/>
          <w:sz w:val="18"/>
          <w:szCs w:val="18"/>
        </w:rPr>
        <w:t>FPXZQQLSH</w:t>
      </w:r>
      <w:r>
        <w:rPr>
          <w:rFonts w:hint="eastAsia" w:ascii="宋体" w:hAnsi="宋体" w:cs="新宋体"/>
          <w:color w:val="0000FF"/>
          <w:kern w:val="0"/>
          <w:sz w:val="18"/>
          <w:szCs w:val="18"/>
        </w:rPr>
        <w:t>&gt;</w:t>
      </w:r>
    </w:p>
    <w:p>
      <w:pPr>
        <w:autoSpaceDE w:val="0"/>
        <w:autoSpaceDN w:val="0"/>
        <w:adjustRightInd w:val="0"/>
        <w:spacing w:line="360" w:lineRule="auto"/>
        <w:ind w:left="420" w:leftChars="200" w:firstLine="210"/>
        <w:rPr>
          <w:rFonts w:ascii="宋体" w:hAnsi="宋体" w:cs="新宋体"/>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XTBM</w:t>
      </w:r>
      <w:r>
        <w:rPr>
          <w:rFonts w:hint="eastAsia" w:ascii="宋体" w:hAnsi="宋体" w:cs="新宋体"/>
          <w:color w:val="0000FF"/>
          <w:kern w:val="0"/>
          <w:sz w:val="18"/>
          <w:szCs w:val="18"/>
        </w:rPr>
        <w:t>&gt;</w:t>
      </w:r>
      <w:r>
        <w:rPr>
          <w:rFonts w:hint="eastAsia" w:ascii="宋体" w:hAnsi="宋体" w:cs="新宋体"/>
          <w:kern w:val="0"/>
          <w:sz w:val="18"/>
          <w:szCs w:val="18"/>
        </w:rPr>
        <w:t>系统编码</w:t>
      </w:r>
      <w:r>
        <w:rPr>
          <w:rFonts w:hint="eastAsia" w:ascii="宋体" w:hAnsi="宋体" w:cs="新宋体"/>
          <w:color w:val="0000FF"/>
          <w:kern w:val="0"/>
          <w:sz w:val="18"/>
          <w:szCs w:val="18"/>
        </w:rPr>
        <w:t>&lt;/</w:t>
      </w:r>
      <w:r>
        <w:rPr>
          <w:rFonts w:hint="eastAsia" w:ascii="宋体" w:hAnsi="宋体" w:cs="新宋体"/>
          <w:color w:val="A31515"/>
          <w:kern w:val="0"/>
          <w:sz w:val="18"/>
          <w:szCs w:val="18"/>
        </w:rPr>
        <w:t>XPTBM</w:t>
      </w:r>
      <w:r>
        <w:rPr>
          <w:rFonts w:hint="eastAsia" w:ascii="宋体" w:hAnsi="宋体" w:cs="新宋体"/>
          <w:color w:val="0000FF"/>
          <w:kern w:val="0"/>
          <w:sz w:val="18"/>
          <w:szCs w:val="18"/>
        </w:rPr>
        <w:t>&gt;</w:t>
      </w:r>
    </w:p>
    <w:p>
      <w:pPr>
        <w:autoSpaceDE w:val="0"/>
        <w:autoSpaceDN w:val="0"/>
        <w:adjustRightInd w:val="0"/>
        <w:spacing w:line="360" w:lineRule="auto"/>
        <w:ind w:left="420" w:leftChars="200" w:firstLine="210"/>
        <w:rPr>
          <w:rFonts w:ascii="宋体" w:hAnsi="宋体" w:cs="新宋体"/>
          <w:color w:val="0000FF"/>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NSRSBH</w:t>
      </w:r>
      <w:r>
        <w:rPr>
          <w:rFonts w:hint="eastAsia" w:ascii="宋体" w:hAnsi="宋体" w:cs="新宋体"/>
          <w:color w:val="0000FF"/>
          <w:kern w:val="0"/>
          <w:sz w:val="18"/>
          <w:szCs w:val="18"/>
        </w:rPr>
        <w:t>&gt;</w:t>
      </w:r>
      <w:r>
        <w:rPr>
          <w:rFonts w:hint="eastAsia" w:ascii="宋体" w:hAnsi="宋体" w:cs="新宋体"/>
          <w:kern w:val="0"/>
          <w:sz w:val="18"/>
          <w:szCs w:val="18"/>
        </w:rPr>
        <w:t>纳税人识别号</w:t>
      </w:r>
      <w:r>
        <w:rPr>
          <w:rFonts w:hint="eastAsia" w:ascii="宋体" w:hAnsi="宋体" w:cs="新宋体"/>
          <w:color w:val="0000FF"/>
          <w:kern w:val="0"/>
          <w:sz w:val="18"/>
          <w:szCs w:val="18"/>
        </w:rPr>
        <w:t>&lt;/</w:t>
      </w:r>
      <w:r>
        <w:rPr>
          <w:rFonts w:hint="eastAsia" w:ascii="宋体" w:hAnsi="宋体" w:cs="新宋体"/>
          <w:color w:val="A31515"/>
          <w:kern w:val="0"/>
          <w:sz w:val="18"/>
          <w:szCs w:val="18"/>
        </w:rPr>
        <w:t>NSRSBH</w:t>
      </w:r>
      <w:r>
        <w:rPr>
          <w:rFonts w:hint="eastAsia" w:ascii="宋体" w:hAnsi="宋体" w:cs="新宋体"/>
          <w:color w:val="0000FF"/>
          <w:kern w:val="0"/>
          <w:sz w:val="18"/>
          <w:szCs w:val="18"/>
        </w:rPr>
        <w:t>&gt;</w:t>
      </w:r>
    </w:p>
    <w:p>
      <w:pPr>
        <w:autoSpaceDE w:val="0"/>
        <w:autoSpaceDN w:val="0"/>
        <w:adjustRightInd w:val="0"/>
        <w:spacing w:line="360" w:lineRule="auto"/>
        <w:ind w:left="420" w:leftChars="200" w:firstLine="210"/>
        <w:rPr>
          <w:rFonts w:ascii="宋体" w:hAnsi="宋体" w:cs="新宋体"/>
          <w:color w:val="0000FF"/>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FPXZ_KPQSRQ</w:t>
      </w:r>
      <w:r>
        <w:rPr>
          <w:rFonts w:hint="eastAsia" w:ascii="宋体" w:hAnsi="宋体" w:cs="新宋体"/>
          <w:color w:val="0000FF"/>
          <w:kern w:val="0"/>
          <w:sz w:val="18"/>
          <w:szCs w:val="18"/>
        </w:rPr>
        <w:t>&gt;开票起始</w:t>
      </w:r>
      <w:r>
        <w:rPr>
          <w:rFonts w:hint="eastAsia" w:ascii="宋体" w:hAnsi="宋体" w:cs="新宋体"/>
          <w:kern w:val="0"/>
          <w:sz w:val="18"/>
          <w:szCs w:val="18"/>
        </w:rPr>
        <w:t>日期</w:t>
      </w:r>
      <w:r>
        <w:rPr>
          <w:rFonts w:hint="eastAsia" w:ascii="宋体" w:hAnsi="宋体" w:cs="新宋体"/>
          <w:color w:val="0000FF"/>
          <w:kern w:val="0"/>
          <w:sz w:val="18"/>
          <w:szCs w:val="18"/>
        </w:rPr>
        <w:t>&lt;/</w:t>
      </w:r>
      <w:r>
        <w:rPr>
          <w:rFonts w:hint="eastAsia" w:ascii="宋体" w:hAnsi="宋体" w:cs="新宋体"/>
          <w:color w:val="A31515"/>
          <w:kern w:val="0"/>
          <w:sz w:val="18"/>
          <w:szCs w:val="18"/>
        </w:rPr>
        <w:t>FPXZ_KPQSRQ</w:t>
      </w:r>
      <w:r>
        <w:rPr>
          <w:rFonts w:hint="eastAsia" w:ascii="宋体" w:hAnsi="宋体" w:cs="新宋体"/>
          <w:color w:val="0000FF"/>
          <w:kern w:val="0"/>
          <w:sz w:val="18"/>
          <w:szCs w:val="18"/>
        </w:rPr>
        <w:t>&gt;</w:t>
      </w:r>
    </w:p>
    <w:p>
      <w:pPr>
        <w:autoSpaceDE w:val="0"/>
        <w:autoSpaceDN w:val="0"/>
        <w:adjustRightInd w:val="0"/>
        <w:spacing w:line="360" w:lineRule="auto"/>
        <w:ind w:left="420" w:leftChars="200" w:firstLine="210"/>
        <w:rPr>
          <w:rFonts w:ascii="宋体" w:hAnsi="宋体" w:cs="新宋体"/>
          <w:color w:val="0000FF"/>
          <w:kern w:val="0"/>
          <w:sz w:val="18"/>
          <w:szCs w:val="18"/>
        </w:rPr>
      </w:pPr>
      <w:r>
        <w:rPr>
          <w:rFonts w:hint="eastAsia" w:ascii="宋体" w:hAnsi="宋体" w:cs="新宋体"/>
          <w:color w:val="0000FF"/>
          <w:kern w:val="0"/>
          <w:sz w:val="18"/>
          <w:szCs w:val="18"/>
        </w:rPr>
        <w:t>&lt;</w:t>
      </w:r>
      <w:r>
        <w:rPr>
          <w:rFonts w:hint="eastAsia" w:ascii="宋体" w:hAnsi="宋体" w:cs="新宋体"/>
          <w:color w:val="A31515"/>
          <w:kern w:val="0"/>
          <w:sz w:val="18"/>
          <w:szCs w:val="18"/>
        </w:rPr>
        <w:t>FPXZ_KPZZRQ</w:t>
      </w:r>
      <w:r>
        <w:rPr>
          <w:rFonts w:hint="eastAsia" w:ascii="宋体" w:hAnsi="宋体" w:cs="新宋体"/>
          <w:color w:val="0000FF"/>
          <w:kern w:val="0"/>
          <w:sz w:val="18"/>
          <w:szCs w:val="18"/>
        </w:rPr>
        <w:t>&gt;</w:t>
      </w:r>
      <w:r>
        <w:rPr>
          <w:rFonts w:hint="eastAsia" w:ascii="宋体" w:hAnsi="宋体" w:cs="新宋体"/>
          <w:kern w:val="0"/>
          <w:sz w:val="18"/>
          <w:szCs w:val="18"/>
        </w:rPr>
        <w:t>开票终止日期</w:t>
      </w:r>
      <w:r>
        <w:rPr>
          <w:rFonts w:hint="eastAsia" w:ascii="宋体" w:hAnsi="宋体" w:cs="新宋体"/>
          <w:color w:val="0000FF"/>
          <w:kern w:val="0"/>
          <w:sz w:val="18"/>
          <w:szCs w:val="18"/>
        </w:rPr>
        <w:t>&lt;/</w:t>
      </w:r>
      <w:r>
        <w:rPr>
          <w:rFonts w:hint="eastAsia" w:ascii="宋体" w:hAnsi="宋体" w:cs="新宋体"/>
          <w:color w:val="A31515"/>
          <w:kern w:val="0"/>
          <w:sz w:val="18"/>
          <w:szCs w:val="18"/>
        </w:rPr>
        <w:t>FPXZ_KPZZRQ</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Calibri" w:hAnsi="Calibri"/>
          <w:color w:val="00B0F0"/>
        </w:rPr>
      </w:pPr>
      <w:r>
        <w:rPr>
          <w:rFonts w:hint="eastAsia" w:ascii="宋体" w:hAnsi="宋体" w:cs="新宋体"/>
          <w:kern w:val="0"/>
          <w:sz w:val="18"/>
          <w:szCs w:val="18"/>
        </w:rPr>
        <w:t>&lt;/REQUEST_FPXZ&gt;</w:t>
      </w:r>
    </w:p>
    <w:p>
      <w:pPr>
        <w:numPr>
          <w:ilvl w:val="0"/>
          <w:numId w:val="20"/>
        </w:numPr>
        <w:spacing w:line="360" w:lineRule="auto"/>
      </w:pPr>
      <w:r>
        <w:rPr>
          <w:rFonts w:hint="eastAsia"/>
          <w:b/>
        </w:rPr>
        <w:t>【</w:t>
      </w:r>
      <w:r>
        <w:rPr>
          <w:b/>
        </w:rPr>
        <w:t>Content</w:t>
      </w:r>
      <w:r>
        <w:rPr>
          <w:rFonts w:hint="eastAsia"/>
          <w:b/>
        </w:rPr>
        <w:t>中】请求数据项说明：</w:t>
      </w:r>
    </w:p>
    <w:p>
      <w:pPr>
        <w:spacing w:line="360" w:lineRule="auto"/>
        <w:ind w:left="420"/>
      </w:pPr>
    </w:p>
    <w:tbl>
      <w:tblPr>
        <w:tblStyle w:val="34"/>
        <w:tblW w:w="101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457"/>
        <w:gridCol w:w="2087"/>
        <w:gridCol w:w="1090"/>
        <w:gridCol w:w="867"/>
        <w:gridCol w:w="670"/>
        <w:gridCol w:w="3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shd w:val="clear" w:color="auto" w:fill="DEEAF6"/>
            <w:vAlign w:val="center"/>
          </w:tcPr>
          <w:p>
            <w:pPr>
              <w:spacing w:line="360" w:lineRule="auto"/>
            </w:pPr>
            <w:r>
              <w:rPr>
                <w:rFonts w:hint="eastAsia"/>
              </w:rPr>
              <w:t>序号</w:t>
            </w:r>
          </w:p>
        </w:tc>
        <w:tc>
          <w:tcPr>
            <w:tcW w:w="1457" w:type="dxa"/>
            <w:tcBorders>
              <w:top w:val="single" w:color="auto" w:sz="4" w:space="0"/>
              <w:left w:val="single" w:color="auto" w:sz="4" w:space="0"/>
              <w:bottom w:val="single" w:color="auto" w:sz="4" w:space="0"/>
              <w:right w:val="single" w:color="auto" w:sz="4" w:space="0"/>
            </w:tcBorders>
            <w:shd w:val="clear" w:color="auto" w:fill="DEEAF6"/>
            <w:vAlign w:val="center"/>
          </w:tcPr>
          <w:p>
            <w:pPr>
              <w:spacing w:line="360" w:lineRule="auto"/>
            </w:pPr>
            <w:r>
              <w:rPr>
                <w:rFonts w:hint="eastAsia"/>
              </w:rPr>
              <w:t>数据项</w:t>
            </w:r>
          </w:p>
        </w:tc>
        <w:tc>
          <w:tcPr>
            <w:tcW w:w="2087" w:type="dxa"/>
            <w:tcBorders>
              <w:top w:val="single" w:color="auto" w:sz="4" w:space="0"/>
              <w:left w:val="single" w:color="auto" w:sz="4" w:space="0"/>
              <w:bottom w:val="single" w:color="auto" w:sz="4" w:space="0"/>
              <w:right w:val="single" w:color="auto" w:sz="4" w:space="0"/>
            </w:tcBorders>
            <w:shd w:val="clear" w:color="auto" w:fill="DEEAF6"/>
            <w:vAlign w:val="center"/>
          </w:tcPr>
          <w:p>
            <w:pPr>
              <w:spacing w:line="360" w:lineRule="auto"/>
            </w:pPr>
            <w:r>
              <w:rPr>
                <w:rFonts w:hint="eastAsia"/>
              </w:rPr>
              <w:t>数据项名称名称</w:t>
            </w:r>
          </w:p>
        </w:tc>
        <w:tc>
          <w:tcPr>
            <w:tcW w:w="1090" w:type="dxa"/>
            <w:tcBorders>
              <w:top w:val="single" w:color="auto" w:sz="4" w:space="0"/>
              <w:left w:val="single" w:color="auto" w:sz="4" w:space="0"/>
              <w:bottom w:val="single" w:color="auto" w:sz="4" w:space="0"/>
              <w:right w:val="single" w:color="auto" w:sz="4" w:space="0"/>
            </w:tcBorders>
            <w:shd w:val="clear" w:color="auto" w:fill="DEEAF6"/>
            <w:vAlign w:val="center"/>
          </w:tcPr>
          <w:p>
            <w:pPr>
              <w:spacing w:line="360" w:lineRule="auto"/>
            </w:pPr>
            <w:r>
              <w:rPr>
                <w:rFonts w:hint="eastAsia"/>
              </w:rPr>
              <w:t>类型</w:t>
            </w:r>
          </w:p>
        </w:tc>
        <w:tc>
          <w:tcPr>
            <w:tcW w:w="867" w:type="dxa"/>
            <w:tcBorders>
              <w:top w:val="single" w:color="auto" w:sz="4" w:space="0"/>
              <w:left w:val="single" w:color="auto" w:sz="4" w:space="0"/>
              <w:bottom w:val="single" w:color="auto" w:sz="4" w:space="0"/>
              <w:right w:val="single" w:color="auto" w:sz="4" w:space="0"/>
            </w:tcBorders>
            <w:shd w:val="clear" w:color="auto" w:fill="DEEAF6"/>
            <w:vAlign w:val="center"/>
          </w:tcPr>
          <w:p>
            <w:pPr>
              <w:spacing w:line="360" w:lineRule="auto"/>
            </w:pPr>
            <w:r>
              <w:rPr>
                <w:rFonts w:hint="eastAsia"/>
              </w:rPr>
              <w:t>长度</w:t>
            </w:r>
          </w:p>
        </w:tc>
        <w:tc>
          <w:tcPr>
            <w:tcW w:w="670" w:type="dxa"/>
            <w:tcBorders>
              <w:top w:val="single" w:color="auto" w:sz="4" w:space="0"/>
              <w:left w:val="single" w:color="auto" w:sz="4" w:space="0"/>
              <w:bottom w:val="single" w:color="auto" w:sz="4" w:space="0"/>
              <w:right w:val="single" w:color="auto" w:sz="4" w:space="0"/>
            </w:tcBorders>
            <w:shd w:val="clear" w:color="auto" w:fill="DEEAF6"/>
            <w:vAlign w:val="center"/>
          </w:tcPr>
          <w:p>
            <w:pPr>
              <w:spacing w:line="360" w:lineRule="auto"/>
            </w:pPr>
            <w:r>
              <w:rPr>
                <w:rFonts w:hint="eastAsia"/>
              </w:rPr>
              <w:t>必须</w:t>
            </w:r>
          </w:p>
        </w:tc>
        <w:tc>
          <w:tcPr>
            <w:tcW w:w="3196" w:type="dxa"/>
            <w:tcBorders>
              <w:top w:val="single" w:color="auto" w:sz="4" w:space="0"/>
              <w:left w:val="single" w:color="auto" w:sz="4" w:space="0"/>
              <w:bottom w:val="single" w:color="auto" w:sz="4" w:space="0"/>
              <w:right w:val="single" w:color="auto" w:sz="4" w:space="0"/>
            </w:tcBorders>
            <w:shd w:val="clear" w:color="auto" w:fill="DEEAF6"/>
            <w:vAlign w:val="center"/>
          </w:tcPr>
          <w:p>
            <w:pPr>
              <w:spacing w:line="360" w:lineRule="auto"/>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53"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增值税电子普通发票-发票头信息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1</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FPXZQQLSH</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发票下载请求唯一流水号</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pPr>
            <w: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20</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2</w:t>
            </w:r>
          </w:p>
        </w:tc>
        <w:tc>
          <w:tcPr>
            <w:tcW w:w="14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XTBM</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系统编码</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color w:val="000000"/>
              </w:rPr>
              <w:t>VARCHAR</w:t>
            </w: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pPr>
            <w:r>
              <w:t>8</w:t>
            </w:r>
          </w:p>
        </w:tc>
        <w:tc>
          <w:tcPr>
            <w:tcW w:w="67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系统编码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3</w:t>
            </w:r>
          </w:p>
        </w:tc>
        <w:tc>
          <w:tcPr>
            <w:tcW w:w="1457"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t>NSRSBH</w:t>
            </w:r>
          </w:p>
        </w:tc>
        <w:tc>
          <w:tcPr>
            <w:tcW w:w="2087"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rPr>
                <w:rFonts w:hint="eastAsia"/>
              </w:rPr>
              <w:t>受票方识别号</w:t>
            </w:r>
          </w:p>
        </w:tc>
        <w:tc>
          <w:tcPr>
            <w:tcW w:w="1090" w:type="dxa"/>
            <w:tcBorders>
              <w:top w:val="single" w:color="auto" w:sz="4" w:space="0"/>
              <w:left w:val="single" w:color="auto" w:sz="4" w:space="0"/>
              <w:bottom w:val="single" w:color="auto" w:sz="4" w:space="0"/>
              <w:right w:val="single" w:color="auto" w:sz="4" w:space="0"/>
            </w:tcBorders>
          </w:tcPr>
          <w:p>
            <w:pPr>
              <w:spacing w:line="360" w:lineRule="auto"/>
            </w:pPr>
            <w:r>
              <w:rPr>
                <w:color w:val="000000"/>
              </w:rPr>
              <w:t>VARCHAR</w:t>
            </w:r>
          </w:p>
        </w:tc>
        <w:tc>
          <w:tcPr>
            <w:tcW w:w="867" w:type="dxa"/>
            <w:tcBorders>
              <w:top w:val="single" w:color="auto" w:sz="4" w:space="0"/>
              <w:left w:val="single" w:color="auto" w:sz="4" w:space="0"/>
              <w:bottom w:val="single" w:color="auto" w:sz="4" w:space="0"/>
              <w:right w:val="single" w:color="auto" w:sz="4" w:space="0"/>
            </w:tcBorders>
          </w:tcPr>
          <w:p>
            <w:pPr>
              <w:spacing w:line="360" w:lineRule="auto"/>
            </w:pPr>
            <w:r>
              <w:t>20</w:t>
            </w:r>
          </w:p>
        </w:tc>
        <w:tc>
          <w:tcPr>
            <w:tcW w:w="670" w:type="dxa"/>
            <w:tcBorders>
              <w:top w:val="single" w:color="auto" w:sz="4" w:space="0"/>
              <w:left w:val="single" w:color="auto" w:sz="4" w:space="0"/>
              <w:bottom w:val="single" w:color="auto" w:sz="4" w:space="0"/>
              <w:right w:val="single" w:color="auto" w:sz="4" w:space="0"/>
            </w:tcBorders>
          </w:tcPr>
          <w:p>
            <w:pPr>
              <w:spacing w:line="360" w:lineRule="auto"/>
            </w:pPr>
            <w:r>
              <w:rPr>
                <w:rFonts w:hint="eastAsia"/>
              </w:rPr>
              <w:t>是</w:t>
            </w:r>
          </w:p>
        </w:tc>
        <w:tc>
          <w:tcPr>
            <w:tcW w:w="319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0-蓝字发票</w:t>
            </w:r>
          </w:p>
          <w:p>
            <w:pPr>
              <w:spacing w:line="360" w:lineRule="auto"/>
            </w:pPr>
            <w:r>
              <w:rPr>
                <w:rFonts w:hint="eastAsia"/>
              </w:rPr>
              <w:t>1-红字发票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4</w:t>
            </w:r>
          </w:p>
        </w:tc>
        <w:tc>
          <w:tcPr>
            <w:tcW w:w="1457"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t>FPXZ_KPQSRQ</w:t>
            </w:r>
          </w:p>
        </w:tc>
        <w:tc>
          <w:tcPr>
            <w:tcW w:w="2087"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rPr>
                <w:rFonts w:hint="eastAsia"/>
              </w:rPr>
              <w:t>开票起始日期</w:t>
            </w:r>
          </w:p>
        </w:tc>
        <w:tc>
          <w:tcPr>
            <w:tcW w:w="1090"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t>DATE</w:t>
            </w:r>
          </w:p>
        </w:tc>
        <w:tc>
          <w:tcPr>
            <w:tcW w:w="867"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t>8</w:t>
            </w:r>
          </w:p>
        </w:tc>
        <w:tc>
          <w:tcPr>
            <w:tcW w:w="670"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color w:val="FF0000"/>
              </w:rPr>
            </w:pPr>
            <w:r>
              <w:rPr>
                <w:rFonts w:hint="eastAsia"/>
              </w:rPr>
              <w:t>是</w:t>
            </w:r>
          </w:p>
        </w:tc>
        <w:tc>
          <w:tcPr>
            <w:tcW w:w="3196"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5</w:t>
            </w:r>
          </w:p>
        </w:tc>
        <w:tc>
          <w:tcPr>
            <w:tcW w:w="1457"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t>FPXZ_KPZZRQ</w:t>
            </w:r>
          </w:p>
        </w:tc>
        <w:tc>
          <w:tcPr>
            <w:tcW w:w="2087"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rPr>
                <w:rFonts w:hint="eastAsia"/>
              </w:rPr>
              <w:t>开票终止日期</w:t>
            </w:r>
          </w:p>
        </w:tc>
        <w:tc>
          <w:tcPr>
            <w:tcW w:w="1090"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t>DATE</w:t>
            </w:r>
          </w:p>
        </w:tc>
        <w:tc>
          <w:tcPr>
            <w:tcW w:w="867"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color w:val="FF0000"/>
              </w:rPr>
            </w:pPr>
            <w:r>
              <w:t>8</w:t>
            </w:r>
          </w:p>
        </w:tc>
        <w:tc>
          <w:tcPr>
            <w:tcW w:w="670"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color w:val="FF0000"/>
              </w:rPr>
            </w:pPr>
            <w:r>
              <w:rPr>
                <w:rFonts w:hint="eastAsia"/>
              </w:rPr>
              <w:t>是</w:t>
            </w:r>
          </w:p>
        </w:tc>
        <w:tc>
          <w:tcPr>
            <w:tcW w:w="3196"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p>
        </w:tc>
      </w:tr>
    </w:tbl>
    <w:p>
      <w:pPr>
        <w:spacing w:line="360" w:lineRule="auto"/>
        <w:rPr>
          <w:rFonts w:ascii="Calibri" w:hAnsi="Calibri"/>
          <w:b/>
        </w:rPr>
      </w:pPr>
    </w:p>
    <w:p>
      <w:pPr>
        <w:spacing w:line="360" w:lineRule="auto"/>
        <w:rPr>
          <w:b/>
          <w:sz w:val="28"/>
        </w:rPr>
      </w:pPr>
      <w:r>
        <w:rPr>
          <w:rFonts w:hint="eastAsia"/>
          <w:b/>
          <w:sz w:val="28"/>
        </w:rPr>
        <w:t>返回报文示例与数据项说明</w:t>
      </w:r>
    </w:p>
    <w:p>
      <w:pPr>
        <w:numPr>
          <w:ilvl w:val="0"/>
          <w:numId w:val="6"/>
        </w:numPr>
        <w:spacing w:line="360" w:lineRule="auto"/>
        <w:rPr>
          <w:b/>
        </w:rPr>
      </w:pPr>
      <w:r>
        <w:rPr>
          <w:rFonts w:hint="eastAsia"/>
          <w:b/>
        </w:rPr>
        <w:t>【</w:t>
      </w:r>
      <w:r>
        <w:rPr>
          <w:b/>
        </w:rPr>
        <w:t>Content</w:t>
      </w:r>
      <w:r>
        <w:rPr>
          <w:rFonts w:hint="eastAsia"/>
          <w:b/>
        </w:rPr>
        <w:t>中】返回报文示例：</w:t>
      </w:r>
    </w:p>
    <w:p>
      <w:pPr>
        <w:spacing w:line="360" w:lineRule="auto"/>
      </w:pP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&lt;RESPONSE_FPXZ class="RESPONSE_FPXZ"&gt;</w:t>
      </w:r>
    </w:p>
    <w:p>
      <w:pPr>
        <w:autoSpaceDE w:val="0"/>
        <w:autoSpaceDN w:val="0"/>
        <w:adjustRightInd w:val="0"/>
        <w:spacing w:line="360" w:lineRule="auto"/>
        <w:ind w:firstLine="420"/>
        <w:rPr>
          <w:rFonts w:ascii="宋体" w:hAnsi="宋体" w:cs="新宋体"/>
          <w:kern w:val="0"/>
          <w:sz w:val="18"/>
          <w:szCs w:val="18"/>
        </w:rPr>
      </w:pPr>
      <w:r>
        <w:rPr>
          <w:rFonts w:hint="eastAsia" w:ascii="宋体" w:hAnsi="宋体" w:cs="新宋体"/>
          <w:kern w:val="0"/>
          <w:sz w:val="18"/>
          <w:szCs w:val="18"/>
        </w:rPr>
        <w:t>&lt;FPXZQQLSH&gt;发票下载请求唯一流水号&lt;/FPXZQQLSH&gt;</w:t>
      </w:r>
    </w:p>
    <w:p>
      <w:pPr>
        <w:autoSpaceDE w:val="0"/>
        <w:autoSpaceDN w:val="0"/>
        <w:adjustRightInd w:val="0"/>
        <w:spacing w:line="360" w:lineRule="auto"/>
        <w:ind w:firstLine="420"/>
        <w:rPr>
          <w:rFonts w:ascii="宋体" w:hAnsi="宋体" w:cs="新宋体"/>
          <w:kern w:val="0"/>
          <w:sz w:val="18"/>
          <w:szCs w:val="18"/>
        </w:rPr>
      </w:pPr>
      <w:r>
        <w:rPr>
          <w:rFonts w:hint="eastAsia" w:ascii="宋体" w:hAnsi="宋体" w:cs="新宋体"/>
          <w:kern w:val="0"/>
          <w:sz w:val="18"/>
          <w:szCs w:val="18"/>
        </w:rPr>
        <w:t>&lt;RETURNCODE&gt;结果代码&lt;/RETURNCODE&gt;</w:t>
      </w:r>
    </w:p>
    <w:p>
      <w:pPr>
        <w:autoSpaceDE w:val="0"/>
        <w:autoSpaceDN w:val="0"/>
        <w:adjustRightInd w:val="0"/>
        <w:spacing w:line="360" w:lineRule="auto"/>
        <w:ind w:firstLine="420"/>
        <w:rPr>
          <w:rFonts w:ascii="宋体" w:hAnsi="宋体" w:cs="新宋体"/>
          <w:kern w:val="0"/>
          <w:sz w:val="18"/>
          <w:szCs w:val="18"/>
        </w:rPr>
      </w:pPr>
      <w:r>
        <w:rPr>
          <w:rFonts w:hint="eastAsia" w:ascii="宋体" w:hAnsi="宋体" w:cs="新宋体"/>
          <w:kern w:val="0"/>
          <w:sz w:val="18"/>
          <w:szCs w:val="18"/>
        </w:rPr>
        <w:t>&lt;RETURNMESSAGE&gt;结果描述&lt;/RETURNMESSAGE&gt;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&lt;!--增值税电子发票--&gt;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&lt;ZZSDZPTFPS class="ZZSDZPTFP;" size="1"&gt;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&lt;ZZSDZPTFP&gt;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&lt;ZZSDZPTFP_FPT class="ZZSDZPTFP_FPT"&gt;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&lt;FPQQLSH&gt;发票请求流水号&lt;/FPQQLSH&gt;</w:t>
      </w:r>
    </w:p>
    <w:p>
      <w:pPr>
        <w:autoSpaceDE w:val="0"/>
        <w:autoSpaceDN w:val="0"/>
        <w:adjustRightInd w:val="0"/>
        <w:spacing w:line="360" w:lineRule="auto"/>
        <w:ind w:left="840" w:leftChars="400" w:firstLine="270" w:firstLineChars="150"/>
        <w:rPr>
          <w:rFonts w:ascii="宋体" w:hAnsi="宋体" w:cs="新宋体"/>
          <w:kern w:val="0"/>
          <w:sz w:val="18"/>
          <w:szCs w:val="18"/>
        </w:rPr>
      </w:pPr>
      <w:r>
        <w:rPr>
          <w:rFonts w:hint="eastAsia" w:ascii="宋体" w:hAnsi="宋体" w:cs="新宋体"/>
          <w:kern w:val="0"/>
          <w:sz w:val="18"/>
          <w:szCs w:val="18"/>
        </w:rPr>
        <w:t>&lt;SJLY&gt;数据来源（客户端、金税宝等）&lt;/SJLY&gt;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&lt;KPLX&gt;开票类型&lt;/KPLX&gt;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&lt;NSRSBH&gt;开票方纳税人识别号&lt;/NSRSBH&gt;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&lt;NSRMC&gt;开票方纳税人名称&lt;/NSRMC&gt;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ab/>
      </w:r>
      <w:r>
        <w:rPr>
          <w:rFonts w:hint="eastAsia" w:ascii="宋体" w:hAnsi="宋体" w:cs="新宋体"/>
          <w:kern w:val="0"/>
          <w:sz w:val="18"/>
          <w:szCs w:val="18"/>
        </w:rPr>
        <w:t xml:space="preserve">   &lt;SWJG_DM&gt;税务机关代码&lt;/SWJG_DM&gt;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ab/>
      </w:r>
      <w:r>
        <w:rPr>
          <w:rFonts w:hint="eastAsia" w:ascii="宋体" w:hAnsi="宋体" w:cs="新宋体"/>
          <w:kern w:val="0"/>
          <w:sz w:val="18"/>
          <w:szCs w:val="18"/>
        </w:rPr>
        <w:t xml:space="preserve">   &lt;DKBZ&gt;代开标志&lt;/DKBZ&gt;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&lt;XSF_NSRSBH&gt;销售方纳税人识别号&lt;/XSF_NSRSBH&gt;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&lt;XSF_MC&gt;销售方名称&lt;/XSF_MC&gt;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&lt;XSF_DZDH&gt;销售方地址、电话&lt;/XSF_DZDH&gt;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&lt;XSF_YHZH&gt;销售方银行账号&lt;/XSF_YHZH&gt;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&lt;GMF_NSRSBH&gt;购买方纳税人识别号&lt;/GMF_NSRSBH&gt;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&lt;GMF_MC&gt;购买方名称&lt;/GMF_MC&gt;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&lt;GMF_DZDH&gt;购买方地址、电话&lt;/GMF_DZDH&gt;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&lt;GMF_YHZH&gt;购买方银行账号&lt;/GMF_YHZH&gt;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&lt;KPR&gt;开票人&lt;/KPR&gt;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&lt;SKR&gt;收款人&lt;/SKR&gt;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&lt;FHR&gt;复核人&lt;/FHR&gt;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&lt;YFP_DM&gt;原发票代码&lt;/YFP_DM&gt;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&lt;YFP_HM&gt;原发票号码&lt;/YFP_HM&gt;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&lt;JSHJ&gt;价税合计&lt;/JSHJ&gt;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&lt;HJJE&gt;合计金额&lt;/HJJE&gt;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&lt;HJSE&gt;合计税额&lt;/HJSE&gt;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&lt;BZ&gt;备注&lt;/BZ&gt;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&lt;FPZT&gt;发票状态&lt;/FPZT&gt;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&lt;JQBH&gt;税控设备编号&lt;/JQBH&gt;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&lt;FP_DM&gt;发票代码&lt;/FP_DM&gt;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&lt;FP_HM&gt;发票号码&lt;/FP_HM&gt;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&lt;KPRQ&gt;开票日期&lt;/KPRQ&gt;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&lt;FP_MW&gt;发票密文&lt;/FP_MW&gt;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&lt;JYM&gt;校验码&lt;/JYM&gt;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&lt;EWM&gt;二维码&lt;/EWM&gt; </w:t>
      </w:r>
    </w:p>
    <w:p>
      <w:pPr>
        <w:autoSpaceDE w:val="0"/>
        <w:autoSpaceDN w:val="0"/>
        <w:adjustRightInd w:val="0"/>
        <w:spacing w:line="360" w:lineRule="auto"/>
        <w:rPr>
          <w:rFonts w:ascii="宋体" w:hAnsi="宋体" w:cs="新宋体"/>
          <w:color w:val="0000FF"/>
          <w:kern w:val="0"/>
          <w:sz w:val="18"/>
          <w:szCs w:val="18"/>
        </w:rPr>
      </w:pPr>
      <w:r>
        <w:rPr>
          <w:rFonts w:hint="eastAsia" w:ascii="宋体" w:hAnsi="宋体" w:cs="新宋体"/>
          <w:color w:val="0000FF"/>
          <w:kern w:val="0"/>
          <w:sz w:val="18"/>
          <w:szCs w:val="18"/>
        </w:rPr>
        <w:t xml:space="preserve"> </w:t>
      </w:r>
      <w:r>
        <w:rPr>
          <w:rFonts w:hint="eastAsia" w:ascii="宋体" w:hAnsi="宋体" w:cs="新宋体"/>
          <w:color w:val="0000FF"/>
          <w:kern w:val="0"/>
          <w:sz w:val="18"/>
          <w:szCs w:val="18"/>
        </w:rPr>
        <w:tab/>
      </w:r>
      <w:r>
        <w:rPr>
          <w:rFonts w:hint="eastAsia" w:ascii="宋体" w:hAnsi="宋体" w:cs="新宋体"/>
          <w:color w:val="0000FF"/>
          <w:kern w:val="0"/>
          <w:sz w:val="18"/>
          <w:szCs w:val="18"/>
        </w:rPr>
        <w:tab/>
      </w: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PDF_FILE</w:t>
      </w:r>
      <w:r>
        <w:rPr>
          <w:rFonts w:hint="eastAsia" w:ascii="宋体" w:hAnsi="宋体" w:cs="新宋体"/>
          <w:color w:val="0000FF"/>
          <w:kern w:val="0"/>
          <w:sz w:val="18"/>
          <w:szCs w:val="18"/>
        </w:rPr>
        <w:t>&gt;</w:t>
      </w:r>
      <w:r>
        <w:rPr>
          <w:rFonts w:hint="eastAsia" w:ascii="宋体" w:hAnsi="宋体" w:cs="新宋体"/>
          <w:kern w:val="0"/>
          <w:sz w:val="18"/>
          <w:szCs w:val="18"/>
        </w:rPr>
        <w:t>Base64（pdf文件）</w:t>
      </w:r>
      <w:r>
        <w:rPr>
          <w:rFonts w:hint="eastAsia" w:ascii="宋体" w:hAnsi="宋体" w:cs="新宋体"/>
          <w:color w:val="0000FF"/>
          <w:kern w:val="0"/>
          <w:sz w:val="18"/>
          <w:szCs w:val="18"/>
        </w:rPr>
        <w:t>&lt;/</w:t>
      </w:r>
      <w:r>
        <w:rPr>
          <w:rFonts w:hint="eastAsia" w:ascii="宋体" w:hAnsi="宋体" w:cs="新宋体"/>
          <w:color w:val="A31515"/>
          <w:kern w:val="0"/>
          <w:sz w:val="18"/>
          <w:szCs w:val="18"/>
        </w:rPr>
        <w:t>PDF_FILE</w:t>
      </w:r>
      <w:r>
        <w:rPr>
          <w:rFonts w:hint="eastAsia" w:ascii="宋体" w:hAnsi="宋体" w:cs="新宋体"/>
          <w:color w:val="0000FF"/>
          <w:kern w:val="0"/>
          <w:sz w:val="18"/>
          <w:szCs w:val="18"/>
        </w:rPr>
        <w:t>&gt;</w:t>
      </w:r>
    </w:p>
    <w:p>
      <w:pPr>
        <w:autoSpaceDE w:val="0"/>
        <w:autoSpaceDN w:val="0"/>
        <w:adjustRightInd w:val="0"/>
        <w:spacing w:line="360" w:lineRule="auto"/>
        <w:ind w:left="840"/>
        <w:rPr>
          <w:rFonts w:ascii="宋体" w:hAnsi="宋体" w:cs="新宋体"/>
          <w:color w:val="0000FF"/>
          <w:kern w:val="0"/>
          <w:sz w:val="18"/>
          <w:szCs w:val="18"/>
        </w:rPr>
      </w:pPr>
      <w:r>
        <w:rPr>
          <w:rFonts w:hint="eastAsia" w:ascii="宋体" w:hAnsi="宋体" w:cs="新宋体"/>
          <w:color w:val="0000FF"/>
          <w:kern w:val="0"/>
          <w:sz w:val="18"/>
          <w:szCs w:val="18"/>
        </w:rPr>
        <w:t xml:space="preserve">   &lt;</w:t>
      </w:r>
      <w:r>
        <w:rPr>
          <w:rFonts w:hint="eastAsia" w:ascii="宋体" w:hAnsi="宋体" w:cs="新宋体"/>
          <w:color w:val="A31515"/>
          <w:kern w:val="0"/>
          <w:sz w:val="18"/>
          <w:szCs w:val="18"/>
        </w:rPr>
        <w:t>PDF_URL</w:t>
      </w:r>
      <w:r>
        <w:rPr>
          <w:rFonts w:hint="eastAsia" w:ascii="宋体" w:hAnsi="宋体" w:cs="新宋体"/>
          <w:color w:val="0000FF"/>
          <w:kern w:val="0"/>
          <w:sz w:val="18"/>
          <w:szCs w:val="18"/>
        </w:rPr>
        <w:t>&gt;</w:t>
      </w:r>
      <w:r>
        <w:rPr>
          <w:rFonts w:hint="eastAsia" w:ascii="宋体" w:hAnsi="宋体" w:cs="新宋体"/>
          <w:kern w:val="0"/>
          <w:sz w:val="18"/>
          <w:szCs w:val="18"/>
        </w:rPr>
        <w:t>PDF下载路径</w:t>
      </w:r>
      <w:r>
        <w:rPr>
          <w:rFonts w:hint="eastAsia" w:ascii="宋体" w:hAnsi="宋体" w:cs="新宋体"/>
          <w:color w:val="0000FF"/>
          <w:kern w:val="0"/>
          <w:sz w:val="18"/>
          <w:szCs w:val="18"/>
        </w:rPr>
        <w:t>&lt;/</w:t>
      </w:r>
      <w:r>
        <w:rPr>
          <w:rFonts w:hint="eastAsia" w:ascii="宋体" w:hAnsi="宋体" w:cs="新宋体"/>
          <w:color w:val="A31515"/>
          <w:kern w:val="0"/>
          <w:sz w:val="18"/>
          <w:szCs w:val="18"/>
        </w:rPr>
        <w:t>PDF_URL</w:t>
      </w:r>
      <w:r>
        <w:rPr>
          <w:rFonts w:hint="eastAsia" w:ascii="宋体" w:hAnsi="宋体" w:cs="新宋体"/>
          <w:color w:val="0000FF"/>
          <w:kern w:val="0"/>
          <w:sz w:val="18"/>
          <w:szCs w:val="18"/>
        </w:rPr>
        <w:t>&gt;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ab/>
      </w:r>
      <w:r>
        <w:rPr>
          <w:rFonts w:hint="eastAsia" w:ascii="宋体" w:hAnsi="宋体" w:cs="新宋体"/>
          <w:kern w:val="0"/>
          <w:sz w:val="18"/>
          <w:szCs w:val="18"/>
        </w:rPr>
        <w:t xml:space="preserve">   &lt;FPTKZ&gt;发票头扩展&lt;/FPTKZ&gt;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&lt;/ZZSPTFP_FPT&gt;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&lt;ZZSPTFP_XMXXS class="ZZSPTFP_XMXX;" size="1"&gt;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&lt;ZZSPTFP_XMXX&gt;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&lt;FPHXZ&gt;发票行性质&lt;/FPHXZ&gt;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&lt;XMMC&gt;项目名称&lt;/XMMC&gt;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&lt;GGXH&gt;规格型号&lt;/GGXH&gt;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&lt;DW&gt;单位&lt;/DW&gt;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&lt;XMSL&gt;项目数量&lt;/XMSL&gt;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&lt;XMDJ&gt;项目单价&lt;/XMDJ&gt;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&lt;XMJE&gt;项目金额&lt;/XMJE&gt;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&lt;SL&gt;税率&lt;/SL&gt;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&lt;SE&gt;税额&lt;/SE&gt;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ab/>
      </w:r>
      <w:r>
        <w:rPr>
          <w:rFonts w:hint="eastAsia" w:ascii="宋体" w:hAnsi="宋体" w:cs="新宋体"/>
          <w:kern w:val="0"/>
          <w:sz w:val="18"/>
          <w:szCs w:val="18"/>
        </w:rPr>
        <w:tab/>
      </w:r>
      <w:r>
        <w:rPr>
          <w:rFonts w:hint="eastAsia" w:ascii="宋体" w:hAnsi="宋体" w:cs="新宋体"/>
          <w:kern w:val="0"/>
          <w:sz w:val="18"/>
          <w:szCs w:val="18"/>
        </w:rPr>
        <w:t xml:space="preserve">  &lt;XMXXKZ&gt;项目信息扩展&lt;/XMXXKZ&gt;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&lt;/ZZSPTFP_XMXX&gt;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&lt;/ZZSPTFP_XMXXS&gt;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&lt;/ZZSDZPTFP&gt;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&lt;/ZZSDZPTFPS&gt; </w:t>
      </w:r>
    </w:p>
    <w:p>
      <w:pPr>
        <w:autoSpaceDE w:val="0"/>
        <w:autoSpaceDN w:val="0"/>
        <w:adjustRightInd w:val="0"/>
        <w:spacing w:line="360" w:lineRule="auto"/>
        <w:ind w:left="420" w:leftChars="200" w:firstLine="180" w:firstLineChars="100"/>
        <w:rPr>
          <w:rFonts w:ascii="宋体" w:hAnsi="宋体" w:cs="新宋体"/>
          <w:kern w:val="0"/>
          <w:sz w:val="18"/>
          <w:szCs w:val="18"/>
        </w:rPr>
      </w:pP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&lt;!--增值税普通发票--&gt;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&lt;ZZSPTFPS class="ZZSPTFP;" size="1"&gt;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&lt;ZZSPTFP&gt;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&lt;ZZSPTFP_FPT class="ZZSPTFP_FPT"&gt;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&lt;FPQQLSH&gt;发票请求流水号&lt;/FPQQLSH&gt;</w:t>
      </w:r>
    </w:p>
    <w:p>
      <w:pPr>
        <w:autoSpaceDE w:val="0"/>
        <w:autoSpaceDN w:val="0"/>
        <w:adjustRightInd w:val="0"/>
        <w:spacing w:line="360" w:lineRule="auto"/>
        <w:ind w:left="840" w:leftChars="400" w:firstLine="270" w:firstLineChars="150"/>
        <w:rPr>
          <w:rFonts w:ascii="宋体" w:hAnsi="宋体" w:cs="新宋体"/>
          <w:kern w:val="0"/>
          <w:sz w:val="18"/>
          <w:szCs w:val="18"/>
        </w:rPr>
      </w:pPr>
      <w:r>
        <w:rPr>
          <w:rFonts w:hint="eastAsia" w:ascii="宋体" w:hAnsi="宋体" w:cs="新宋体"/>
          <w:kern w:val="0"/>
          <w:sz w:val="18"/>
          <w:szCs w:val="18"/>
        </w:rPr>
        <w:t>&lt;SJLY&gt;数据来源（客户端、金税宝等）&lt;/SJLY&gt;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&lt;KPLX&gt;开票类型&lt;/KPLX&gt;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&lt;NSRSBH&gt;开票方纳税人识别号&lt;/NSRSBH&gt;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&lt;NSRMC&gt;开票方纳税人名称&lt;/NSRMC&gt;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ab/>
      </w:r>
      <w:r>
        <w:rPr>
          <w:rFonts w:hint="eastAsia" w:ascii="宋体" w:hAnsi="宋体" w:cs="新宋体"/>
          <w:kern w:val="0"/>
          <w:sz w:val="18"/>
          <w:szCs w:val="18"/>
        </w:rPr>
        <w:t xml:space="preserve">   &lt;SWJG_DM&gt;税务机关代码&lt;/SWJG_DM&gt;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ab/>
      </w:r>
      <w:r>
        <w:rPr>
          <w:rFonts w:hint="eastAsia" w:ascii="宋体" w:hAnsi="宋体" w:cs="新宋体"/>
          <w:kern w:val="0"/>
          <w:sz w:val="18"/>
          <w:szCs w:val="18"/>
        </w:rPr>
        <w:t xml:space="preserve">   &lt;DKBZ&gt;代开标志&lt;/DKBZ&gt;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&lt;XSF_NSRSBH&gt;销售方纳税人识别号&lt;/XSF_NSRSBH&gt;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&lt;XSF_MC&gt;销售方名称&lt;/XSF_MC&gt;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&lt;XSF_DZDH&gt;销售方地址、电话&lt;/XSF_DZDH&gt;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&lt;XSF_YHZH&gt;销售方银行账号&lt;/XSF_YHZH&gt;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&lt;GMF_NSRSBH&gt;购买方纳税人识别号&lt;/GMF_NSRSBH&gt;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&lt;GMF_MC&gt;购买方名称&lt;/GMF_MC&gt;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&lt;GMF_DZDH&gt;购买方地址、电话&lt;/GMF_DZDH&gt;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&lt;GMF_YHZH&gt;购买方银行账号&lt;/GMF_YHZH&gt;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&lt;KPR&gt;开票人&lt;/KPR&gt;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&lt;SKR&gt;收款人&lt;/SKR&gt;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&lt;FHR&gt;复核人&lt;/FHR&gt;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&lt;YFP_DM&gt;原发票代码&lt;/YFP_DM&gt;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&lt;YFP_HM&gt;原发票号码&lt;/YFP_HM&gt;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&lt;JSHJ&gt;价税合计&lt;/JSHJ&gt;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&lt;HJJE&gt;合计金额&lt;/HJJE&gt;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&lt;HJSE&gt;合计税额&lt;/HJSE&gt;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&lt;BZ&gt;备注&lt;/BZ&gt;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&lt;FPZT&gt;发票状态&lt;/FPZT&gt;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&lt;JQBH&gt;税控设备编号&lt;/JQBH&gt;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&lt;FP_DM&gt;发票代码&lt;/FP_DM&gt;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&lt;FP_HM&gt;发票号码&lt;/FP_HM&gt;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&lt;KPRQ&gt;开票日期&lt;/KPRQ&gt;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&lt;FP_MW&gt;发票密文&lt;/FP_MW&gt;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&lt;JYM&gt;校验码&lt;/JYM&gt;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&lt;EWM&gt;二维码&lt;/EWM&gt;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ab/>
      </w:r>
      <w:r>
        <w:rPr>
          <w:rFonts w:hint="eastAsia" w:ascii="宋体" w:hAnsi="宋体" w:cs="新宋体"/>
          <w:kern w:val="0"/>
          <w:sz w:val="18"/>
          <w:szCs w:val="18"/>
        </w:rPr>
        <w:t xml:space="preserve">   &lt;FPTKZ&gt;发票头扩展&lt;/FPTKZ&gt;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&lt;/ZZSPTFP_FPT&gt;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&lt;ZZSPTFP_XMXXS class="ZZSPTFP_XMXX;" size="1"&gt;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&lt;ZZSPTFP_XMXX&gt;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&lt;FPHXZ&gt;发票行性质&lt;/FPHXZ&gt;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&lt;XMMC&gt;项目名称&lt;/XMMC&gt;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&lt;GGXH&gt;规格型号&lt;/GGXH&gt;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&lt;DW&gt;单位&lt;/DW&gt;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&lt;XMSL&gt;项目数量&lt;/XMSL&gt;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&lt;XMDJ&gt;项目单价&lt;/XMDJ&gt;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&lt;XMJE&gt;项目金额&lt;/XMJE&gt;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&lt;SL&gt;税率&lt;/SL&gt;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&lt;SE&gt;税额&lt;/SE&gt;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ab/>
      </w:r>
      <w:r>
        <w:rPr>
          <w:rFonts w:hint="eastAsia" w:ascii="宋体" w:hAnsi="宋体" w:cs="新宋体"/>
          <w:kern w:val="0"/>
          <w:sz w:val="18"/>
          <w:szCs w:val="18"/>
        </w:rPr>
        <w:tab/>
      </w:r>
      <w:r>
        <w:rPr>
          <w:rFonts w:hint="eastAsia" w:ascii="宋体" w:hAnsi="宋体" w:cs="新宋体"/>
          <w:kern w:val="0"/>
          <w:sz w:val="18"/>
          <w:szCs w:val="18"/>
        </w:rPr>
        <w:t xml:space="preserve">  &lt;XMXXKZ&gt;项目信息扩展&lt;/XMXXKZ&gt;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&lt;/ZZSPTFP_XMXX&gt;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&lt;/ZZSPTFP_XMXXS&gt;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&lt;/ZZSPTFP&gt;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&lt;/ZZSPTFPS&gt; </w:t>
      </w:r>
    </w:p>
    <w:p>
      <w:pPr>
        <w:autoSpaceDE w:val="0"/>
        <w:autoSpaceDN w:val="0"/>
        <w:adjustRightInd w:val="0"/>
        <w:spacing w:line="360" w:lineRule="auto"/>
        <w:ind w:left="420" w:leftChars="200"/>
        <w:rPr>
          <w:rFonts w:ascii="宋体" w:hAnsi="宋体" w:cs="新宋体"/>
          <w:kern w:val="0"/>
          <w:sz w:val="18"/>
          <w:szCs w:val="18"/>
        </w:rPr>
      </w:pP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&lt;!--增值税专用发票--&gt;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&lt;ZZSZYFPS class="ZZSZYFP;" size="1"&gt;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&lt;ZZSZYFP&gt;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&lt;ZZSZYFP_FPT class="ZZSZYFP_FPT"&gt;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&lt;FPQQLSH&gt;发票请求流水号&lt;/FPQQLSH&gt;  </w:t>
      </w:r>
    </w:p>
    <w:p>
      <w:pPr>
        <w:autoSpaceDE w:val="0"/>
        <w:autoSpaceDN w:val="0"/>
        <w:adjustRightInd w:val="0"/>
        <w:spacing w:line="360" w:lineRule="auto"/>
        <w:ind w:left="840" w:leftChars="400" w:firstLine="270" w:firstLineChars="150"/>
        <w:rPr>
          <w:rFonts w:ascii="宋体" w:hAnsi="宋体" w:cs="新宋体"/>
          <w:kern w:val="0"/>
          <w:sz w:val="18"/>
          <w:szCs w:val="18"/>
        </w:rPr>
      </w:pPr>
      <w:r>
        <w:rPr>
          <w:rFonts w:hint="eastAsia" w:ascii="宋体" w:hAnsi="宋体" w:cs="新宋体"/>
          <w:kern w:val="0"/>
          <w:sz w:val="18"/>
          <w:szCs w:val="18"/>
        </w:rPr>
        <w:t>&lt;SJLY&gt;数据来源（客户端、金税宝等）&lt;/SJLY&gt;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&lt;KPLX&gt;开票类型&lt;/KPLX&gt;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&lt;NSRSBH&gt;开票方纳税人识别号&lt;/NSRSBH&gt;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&lt;NSRMC&gt;开票方纳税人名称&lt;/NSRMC&gt;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ab/>
      </w:r>
      <w:r>
        <w:rPr>
          <w:rFonts w:hint="eastAsia" w:ascii="宋体" w:hAnsi="宋体" w:cs="新宋体"/>
          <w:kern w:val="0"/>
          <w:sz w:val="18"/>
          <w:szCs w:val="18"/>
        </w:rPr>
        <w:t xml:space="preserve">   &lt;SWJG_DM&gt;税务机关代码&lt;/SWJG_DM&gt;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ab/>
      </w:r>
      <w:r>
        <w:rPr>
          <w:rFonts w:hint="eastAsia" w:ascii="宋体" w:hAnsi="宋体" w:cs="新宋体"/>
          <w:kern w:val="0"/>
          <w:sz w:val="18"/>
          <w:szCs w:val="18"/>
        </w:rPr>
        <w:t xml:space="preserve">   &lt;DKBZ&gt;代开标志&lt;/DKBZ&gt;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&lt;XSF_NSRSBH&gt;销售方纳税人识别号&lt;/XSF_NSRSBH&gt;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&lt;XSF_MC&gt;销售方名称&lt;/XSF_MC&gt;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&lt;XSF_DZDH&gt;销售方地址、电话&lt;/XSF_DZDH&gt;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&lt;XSF_YHZH&gt;销售方银行账号&lt;/XSF_YHZH&gt;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&lt;GMF_NSRSBH&gt;购买方纳税人识别号&lt;/GMF_NSRSBH&gt;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&lt;GMF_MC&gt;购买方名称&lt;/GMF_MC&gt;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&lt;GMF_DZDH&gt;购买方地址、电话&lt;/GMF_DZDH&gt;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&lt;GMF_YHZH&gt;购买方银行账号&lt;/GMF_YHZH&gt;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&lt;KPR&gt;开票人&lt;/KPR&gt;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&lt;SKR&gt;收款人&lt;/SKR&gt;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&lt;FHR&gt;复核人&lt;/FHR&gt;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&lt;YFP_DM&gt;原发票代码&lt;/YFP_DM&gt;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&lt;YFP_HM&gt;原发票号码&lt;/YFP_HM&gt;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&lt;JSHJ&gt;价税合计&lt;/JSHJ&gt;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&lt;HJJE&gt;合计金额&lt;/HJJE&gt;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&lt;HJSE&gt;合计税额&lt;/HJSE&gt;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&lt;BZ&gt;备注&lt;/BZ&gt;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&lt;FPZT&gt;发票状态&lt;/FPZT&gt;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&lt;JQBH&gt;税控设备编号&lt;/JQBH&gt;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&lt;FP_DM&gt;发票代码&lt;/FP_DM&gt;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&lt;FP_HM&gt;发票号码&lt;/FP_HM&gt;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&lt;KPRQ&gt;开票日期&lt;/KPRQ&gt;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&lt;FP_MW&gt;发票密文&lt;/FP_MW&gt;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&lt;JYM&gt;校验码&lt;/JYM&gt;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&lt;EWM&gt;二维码&lt;/EWM&gt;</w:t>
      </w:r>
    </w:p>
    <w:p>
      <w:pPr>
        <w:autoSpaceDE w:val="0"/>
        <w:autoSpaceDN w:val="0"/>
        <w:adjustRightInd w:val="0"/>
        <w:spacing w:line="360" w:lineRule="auto"/>
        <w:ind w:left="420" w:leftChars="200" w:firstLine="720" w:firstLineChars="400"/>
        <w:rPr>
          <w:rFonts w:ascii="宋体" w:hAnsi="宋体" w:cs="新宋体"/>
          <w:kern w:val="0"/>
          <w:sz w:val="18"/>
          <w:szCs w:val="18"/>
        </w:rPr>
      </w:pPr>
      <w:r>
        <w:rPr>
          <w:rFonts w:hint="eastAsia" w:ascii="宋体" w:hAnsi="宋体" w:cs="新宋体"/>
          <w:kern w:val="0"/>
          <w:sz w:val="18"/>
          <w:szCs w:val="18"/>
        </w:rPr>
        <w:t>&lt;FPTKZ&gt;发票头扩展&lt;/FPTKZ&gt;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&lt;/ZZSZYFP_FPT&gt;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&lt;ZZSZYFP_XMXXS class="ZZSZYFP_XMXX;" size="1"&gt;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&lt;ZZSZYFP_XMXX&gt;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&lt;FPHXZ&gt;发票行性质&lt;/FPHXZ&gt;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&lt;XMMC&gt;项目名称&lt;/XMMC&gt;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&lt;GGXH&gt;规格型号&lt;/GGXH&gt;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&lt;DW&gt;单位&lt;/DW&gt;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&lt;XMSL&gt;项目数量&lt;/XMSL&gt;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&lt;XMDJ&gt;项目单价&lt;/XMDJ&gt;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&lt;XMJE&gt;项目金额&lt;/XMJE&gt;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&lt;SL&gt;税率&lt;/SL&gt;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&lt;SE&gt;税额&lt;/SE&gt;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ab/>
      </w:r>
      <w:r>
        <w:rPr>
          <w:rFonts w:hint="eastAsia" w:ascii="宋体" w:hAnsi="宋体" w:cs="新宋体"/>
          <w:kern w:val="0"/>
          <w:sz w:val="18"/>
          <w:szCs w:val="18"/>
        </w:rPr>
        <w:tab/>
      </w:r>
      <w:r>
        <w:rPr>
          <w:rFonts w:hint="eastAsia" w:ascii="宋体" w:hAnsi="宋体" w:cs="新宋体"/>
          <w:kern w:val="0"/>
          <w:sz w:val="18"/>
          <w:szCs w:val="18"/>
        </w:rPr>
        <w:t xml:space="preserve"> &lt;XMXXKZ&gt;项目信息扩展&lt;/XMXXKZ&gt;</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&lt;/ZZSZYFP_XMXX&gt;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&lt;/ZZSZYFP_XMXXS&gt;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&lt;/ZZSZYFP&gt; </w:t>
      </w: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 xml:space="preserve">  &lt;/ZZSZYFPS&gt; </w:t>
      </w:r>
    </w:p>
    <w:p>
      <w:pPr>
        <w:autoSpaceDE w:val="0"/>
        <w:autoSpaceDN w:val="0"/>
        <w:adjustRightInd w:val="0"/>
        <w:spacing w:line="360" w:lineRule="auto"/>
        <w:ind w:left="420" w:leftChars="200" w:firstLine="180" w:firstLineChars="100"/>
        <w:rPr>
          <w:rFonts w:ascii="宋体" w:hAnsi="宋体" w:cs="新宋体"/>
          <w:kern w:val="0"/>
          <w:sz w:val="18"/>
          <w:szCs w:val="18"/>
        </w:rPr>
      </w:pPr>
    </w:p>
    <w:p>
      <w:pPr>
        <w:autoSpaceDE w:val="0"/>
        <w:autoSpaceDN w:val="0"/>
        <w:adjustRightInd w:val="0"/>
        <w:spacing w:line="360" w:lineRule="auto"/>
        <w:ind w:left="420" w:leftChars="200"/>
        <w:rPr>
          <w:rFonts w:ascii="宋体" w:hAnsi="宋体" w:cs="新宋体"/>
          <w:kern w:val="0"/>
          <w:sz w:val="18"/>
          <w:szCs w:val="18"/>
        </w:rPr>
      </w:pPr>
      <w:r>
        <w:rPr>
          <w:rFonts w:hint="eastAsia" w:ascii="宋体" w:hAnsi="宋体" w:cs="新宋体"/>
          <w:kern w:val="0"/>
          <w:sz w:val="18"/>
          <w:szCs w:val="18"/>
        </w:rPr>
        <w:t>&lt;/RESPONSE_FPXZ&gt;</w:t>
      </w:r>
    </w:p>
    <w:p>
      <w:pPr>
        <w:spacing w:line="360" w:lineRule="auto"/>
        <w:rPr>
          <w:rFonts w:ascii="Calibri" w:hAnsi="Calibri"/>
          <w:color w:val="FF0000"/>
        </w:rPr>
      </w:pPr>
    </w:p>
    <w:p>
      <w:pPr>
        <w:numPr>
          <w:ilvl w:val="0"/>
          <w:numId w:val="6"/>
        </w:numPr>
        <w:spacing w:line="360" w:lineRule="auto"/>
        <w:rPr>
          <w:b/>
        </w:rPr>
      </w:pPr>
      <w:r>
        <w:rPr>
          <w:rFonts w:hint="eastAsia"/>
          <w:b/>
        </w:rPr>
        <w:t>【</w:t>
      </w:r>
      <w:r>
        <w:rPr>
          <w:b/>
        </w:rPr>
        <w:t>Content</w:t>
      </w:r>
      <w:r>
        <w:rPr>
          <w:rFonts w:hint="eastAsia"/>
          <w:b/>
        </w:rPr>
        <w:t>中】返回数据项说明</w:t>
      </w:r>
    </w:p>
    <w:p>
      <w:pPr>
        <w:spacing w:line="360" w:lineRule="auto"/>
        <w:rPr>
          <w:b/>
        </w:rPr>
      </w:pPr>
    </w:p>
    <w:tbl>
      <w:tblPr>
        <w:tblStyle w:val="34"/>
        <w:tblW w:w="104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31"/>
        <w:gridCol w:w="1426"/>
        <w:gridCol w:w="405"/>
        <w:gridCol w:w="1682"/>
        <w:gridCol w:w="474"/>
        <w:gridCol w:w="616"/>
        <w:gridCol w:w="675"/>
        <w:gridCol w:w="192"/>
        <w:gridCol w:w="659"/>
        <w:gridCol w:w="11"/>
        <w:gridCol w:w="682"/>
        <w:gridCol w:w="2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gridSpan w:val="2"/>
            <w:tcBorders>
              <w:top w:val="single" w:color="auto" w:sz="4" w:space="0"/>
              <w:left w:val="single" w:color="auto" w:sz="4" w:space="0"/>
              <w:bottom w:val="single" w:color="auto" w:sz="4" w:space="0"/>
              <w:right w:val="single" w:color="auto" w:sz="4" w:space="0"/>
            </w:tcBorders>
            <w:shd w:val="clear" w:color="auto" w:fill="DEEAF6"/>
          </w:tcPr>
          <w:p>
            <w:pPr>
              <w:spacing w:line="360" w:lineRule="auto"/>
              <w:rPr>
                <w:rFonts w:ascii="Calibri" w:hAnsi="Calibri"/>
              </w:rPr>
            </w:pPr>
            <w:r>
              <w:rPr>
                <w:rFonts w:hint="eastAsia"/>
              </w:rPr>
              <w:t>序号</w:t>
            </w:r>
          </w:p>
        </w:tc>
        <w:tc>
          <w:tcPr>
            <w:tcW w:w="1831" w:type="dxa"/>
            <w:gridSpan w:val="2"/>
            <w:tcBorders>
              <w:top w:val="single" w:color="auto" w:sz="4" w:space="0"/>
              <w:left w:val="single" w:color="auto" w:sz="4" w:space="0"/>
              <w:bottom w:val="single" w:color="auto" w:sz="4" w:space="0"/>
              <w:right w:val="single" w:color="auto" w:sz="4" w:space="0"/>
            </w:tcBorders>
            <w:shd w:val="clear" w:color="auto" w:fill="DEEAF6"/>
          </w:tcPr>
          <w:p>
            <w:pPr>
              <w:spacing w:line="360" w:lineRule="auto"/>
              <w:rPr>
                <w:rFonts w:ascii="Calibri" w:hAnsi="Calibri"/>
              </w:rPr>
            </w:pPr>
            <w:r>
              <w:rPr>
                <w:rFonts w:hint="eastAsia"/>
              </w:rPr>
              <w:t>数据项</w:t>
            </w:r>
          </w:p>
        </w:tc>
        <w:tc>
          <w:tcPr>
            <w:tcW w:w="2156" w:type="dxa"/>
            <w:gridSpan w:val="2"/>
            <w:tcBorders>
              <w:top w:val="single" w:color="auto" w:sz="4" w:space="0"/>
              <w:left w:val="single" w:color="auto" w:sz="4" w:space="0"/>
              <w:bottom w:val="single" w:color="auto" w:sz="4" w:space="0"/>
              <w:right w:val="single" w:color="auto" w:sz="4" w:space="0"/>
            </w:tcBorders>
            <w:shd w:val="clear" w:color="auto" w:fill="DEEAF6"/>
          </w:tcPr>
          <w:p>
            <w:pPr>
              <w:spacing w:line="360" w:lineRule="auto"/>
              <w:rPr>
                <w:rFonts w:ascii="Calibri" w:hAnsi="Calibri"/>
              </w:rPr>
            </w:pPr>
            <w:r>
              <w:rPr>
                <w:rFonts w:hint="eastAsia"/>
              </w:rPr>
              <w:t>数据项名称</w:t>
            </w:r>
          </w:p>
        </w:tc>
        <w:tc>
          <w:tcPr>
            <w:tcW w:w="1291" w:type="dxa"/>
            <w:gridSpan w:val="2"/>
            <w:tcBorders>
              <w:top w:val="single" w:color="auto" w:sz="4" w:space="0"/>
              <w:left w:val="single" w:color="auto" w:sz="4" w:space="0"/>
              <w:bottom w:val="single" w:color="auto" w:sz="4" w:space="0"/>
              <w:right w:val="single" w:color="auto" w:sz="4" w:space="0"/>
            </w:tcBorders>
            <w:shd w:val="clear" w:color="auto" w:fill="DEEAF6"/>
          </w:tcPr>
          <w:p>
            <w:pPr>
              <w:spacing w:line="360" w:lineRule="auto"/>
              <w:rPr>
                <w:rFonts w:ascii="Calibri" w:hAnsi="Calibri"/>
              </w:rPr>
            </w:pPr>
            <w:r>
              <w:rPr>
                <w:rFonts w:hint="eastAsia"/>
              </w:rPr>
              <w:t>类型</w:t>
            </w:r>
          </w:p>
        </w:tc>
        <w:tc>
          <w:tcPr>
            <w:tcW w:w="851" w:type="dxa"/>
            <w:gridSpan w:val="2"/>
            <w:tcBorders>
              <w:top w:val="single" w:color="auto" w:sz="4" w:space="0"/>
              <w:left w:val="single" w:color="auto" w:sz="4" w:space="0"/>
              <w:bottom w:val="single" w:color="auto" w:sz="4" w:space="0"/>
              <w:right w:val="single" w:color="auto" w:sz="4" w:space="0"/>
            </w:tcBorders>
            <w:shd w:val="clear" w:color="auto" w:fill="DEEAF6"/>
          </w:tcPr>
          <w:p>
            <w:pPr>
              <w:spacing w:line="360" w:lineRule="auto"/>
              <w:rPr>
                <w:rFonts w:ascii="Calibri" w:hAnsi="Calibri"/>
              </w:rPr>
            </w:pPr>
            <w:r>
              <w:rPr>
                <w:rFonts w:hint="eastAsia"/>
              </w:rPr>
              <w:t>长度</w:t>
            </w:r>
          </w:p>
        </w:tc>
        <w:tc>
          <w:tcPr>
            <w:tcW w:w="693" w:type="dxa"/>
            <w:gridSpan w:val="2"/>
            <w:tcBorders>
              <w:top w:val="single" w:color="auto" w:sz="4" w:space="0"/>
              <w:left w:val="single" w:color="auto" w:sz="4" w:space="0"/>
              <w:bottom w:val="single" w:color="auto" w:sz="4" w:space="0"/>
              <w:right w:val="single" w:color="auto" w:sz="4" w:space="0"/>
            </w:tcBorders>
            <w:shd w:val="clear" w:color="auto" w:fill="DEEAF6"/>
          </w:tcPr>
          <w:p>
            <w:pPr>
              <w:spacing w:line="360" w:lineRule="auto"/>
              <w:rPr>
                <w:rFonts w:ascii="Calibri" w:hAnsi="Calibri"/>
              </w:rPr>
            </w:pPr>
            <w:r>
              <w:rPr>
                <w:rFonts w:hint="eastAsia"/>
              </w:rPr>
              <w:t>必须</w:t>
            </w:r>
          </w:p>
        </w:tc>
        <w:tc>
          <w:tcPr>
            <w:tcW w:w="2817" w:type="dxa"/>
            <w:tcBorders>
              <w:top w:val="single" w:color="auto" w:sz="4" w:space="0"/>
              <w:left w:val="single" w:color="auto" w:sz="4" w:space="0"/>
              <w:bottom w:val="single" w:color="auto" w:sz="4" w:space="0"/>
              <w:right w:val="single" w:color="auto" w:sz="4" w:space="0"/>
            </w:tcBorders>
            <w:shd w:val="clear" w:color="auto" w:fill="DEEAF6"/>
          </w:tcPr>
          <w:p>
            <w:pPr>
              <w:spacing w:line="360" w:lineRule="auto"/>
              <w:rPr>
                <w:rFonts w:ascii="Calibri" w:hAnsi="Calibri"/>
              </w:rPr>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ascii="Calibri" w:hAnsi="Calibri"/>
              </w:rPr>
              <w:t>1</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FPXZQQLSH</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发票下载请求唯一流水号</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VARCHAR</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50</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是</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ascii="Calibri" w:hAnsi="Calibri"/>
              </w:rPr>
              <w:t>2</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RETURNCODE</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结果代码</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CHAR</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4</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是</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0000</w:t>
            </w:r>
            <w:r>
              <w:rPr>
                <w:rFonts w:hint="eastAsia"/>
              </w:rPr>
              <w:t>：接收成功</w:t>
            </w:r>
          </w:p>
          <w:p>
            <w:pPr>
              <w:spacing w:line="360" w:lineRule="auto"/>
              <w:rPr>
                <w:rFonts w:ascii="Calibri" w:hAnsi="Calibri"/>
              </w:rPr>
            </w:pPr>
            <w:r>
              <w:t>9999</w:t>
            </w:r>
            <w:r>
              <w:rPr>
                <w:rFonts w:hint="eastAsia"/>
              </w:rPr>
              <w:t>：下发失败</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ascii="Calibri" w:hAnsi="Calibri"/>
              </w:rPr>
              <w:t>3</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RETURNMESSAGE</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结果描述</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VARCHAR</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128</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否</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错误原因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456" w:type="dxa"/>
            <w:gridSpan w:val="13"/>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增值税电子普通发票-发票头信息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4</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FPQQLSH</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发票请求流水号</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20</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5</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ascii="宋体" w:hAnsi="宋体" w:cs="新宋体"/>
                <w:sz w:val="18"/>
                <w:szCs w:val="18"/>
              </w:rPr>
              <w:t>SJLY</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数据来源</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VARCHAR</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50</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数据采集的来源，如金税宝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6</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KPLX</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开票类型</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NUMBER</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0-蓝字发票</w:t>
            </w:r>
          </w:p>
          <w:p>
            <w:pPr>
              <w:spacing w:line="360" w:lineRule="auto"/>
              <w:rPr>
                <w:rFonts w:ascii="宋体" w:hAnsi="宋体"/>
              </w:rPr>
            </w:pPr>
            <w:r>
              <w:rPr>
                <w:rFonts w:hint="eastAsia" w:ascii="宋体" w:hAnsi="宋体"/>
              </w:rPr>
              <w:t>1-红字发票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7</w:t>
            </w:r>
          </w:p>
        </w:tc>
        <w:tc>
          <w:tcPr>
            <w:tcW w:w="1831" w:type="dxa"/>
            <w:gridSpan w:val="2"/>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t>NSRSBH</w:t>
            </w:r>
          </w:p>
        </w:tc>
        <w:tc>
          <w:tcPr>
            <w:tcW w:w="2156" w:type="dxa"/>
            <w:gridSpan w:val="2"/>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rPr>
                <w:rFonts w:hint="eastAsia"/>
              </w:rPr>
              <w:t>开票方识别号</w:t>
            </w:r>
          </w:p>
        </w:tc>
        <w:tc>
          <w:tcPr>
            <w:tcW w:w="1291" w:type="dxa"/>
            <w:gridSpan w:val="2"/>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t>VARCHAR</w:t>
            </w:r>
          </w:p>
        </w:tc>
        <w:tc>
          <w:tcPr>
            <w:tcW w:w="851" w:type="dxa"/>
            <w:gridSpan w:val="2"/>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t>20</w:t>
            </w:r>
          </w:p>
        </w:tc>
        <w:tc>
          <w:tcPr>
            <w:tcW w:w="693" w:type="dxa"/>
            <w:gridSpan w:val="2"/>
            <w:tcBorders>
              <w:top w:val="single" w:color="auto" w:sz="4" w:space="0"/>
              <w:left w:val="single" w:color="auto" w:sz="4" w:space="0"/>
              <w:bottom w:val="single" w:color="auto" w:sz="4" w:space="0"/>
              <w:right w:val="single" w:color="auto" w:sz="4" w:space="0"/>
            </w:tcBorders>
          </w:tcPr>
          <w:p>
            <w:pPr>
              <w:spacing w:line="360" w:lineRule="auto"/>
              <w:rPr>
                <w:rFonts w:ascii="Calibri" w:hAnsi="Calibri"/>
                <w:color w:val="FF0000"/>
              </w:rPr>
            </w:pPr>
            <w:r>
              <w:rPr>
                <w:rFonts w:hint="eastAsia"/>
              </w:rPr>
              <w:t>是</w:t>
            </w:r>
          </w:p>
        </w:tc>
        <w:tc>
          <w:tcPr>
            <w:tcW w:w="2817"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8</w:t>
            </w:r>
          </w:p>
        </w:tc>
        <w:tc>
          <w:tcPr>
            <w:tcW w:w="1831" w:type="dxa"/>
            <w:gridSpan w:val="2"/>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t>NSRMC</w:t>
            </w:r>
          </w:p>
        </w:tc>
        <w:tc>
          <w:tcPr>
            <w:tcW w:w="2156" w:type="dxa"/>
            <w:gridSpan w:val="2"/>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rPr>
                <w:rFonts w:hint="eastAsia"/>
              </w:rPr>
              <w:t>开票方名称</w:t>
            </w:r>
          </w:p>
        </w:tc>
        <w:tc>
          <w:tcPr>
            <w:tcW w:w="1291" w:type="dxa"/>
            <w:gridSpan w:val="2"/>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t>VARCHAR</w:t>
            </w:r>
          </w:p>
        </w:tc>
        <w:tc>
          <w:tcPr>
            <w:tcW w:w="851" w:type="dxa"/>
            <w:gridSpan w:val="2"/>
            <w:tcBorders>
              <w:top w:val="single" w:color="auto" w:sz="4" w:space="0"/>
              <w:left w:val="single" w:color="auto" w:sz="4" w:space="0"/>
              <w:bottom w:val="single" w:color="auto" w:sz="4" w:space="0"/>
              <w:right w:val="single" w:color="auto" w:sz="4" w:space="0"/>
            </w:tcBorders>
          </w:tcPr>
          <w:p>
            <w:pPr>
              <w:spacing w:line="360" w:lineRule="auto"/>
              <w:rPr>
                <w:rFonts w:ascii="Calibri" w:hAnsi="Calibri"/>
                <w:color w:val="FF0000"/>
              </w:rPr>
            </w:pPr>
            <w:r>
              <w:t>100</w:t>
            </w:r>
          </w:p>
        </w:tc>
        <w:tc>
          <w:tcPr>
            <w:tcW w:w="693" w:type="dxa"/>
            <w:gridSpan w:val="2"/>
            <w:tcBorders>
              <w:top w:val="single" w:color="auto" w:sz="4" w:space="0"/>
              <w:left w:val="single" w:color="auto" w:sz="4" w:space="0"/>
              <w:bottom w:val="single" w:color="auto" w:sz="4" w:space="0"/>
              <w:right w:val="single" w:color="auto" w:sz="4" w:space="0"/>
            </w:tcBorders>
          </w:tcPr>
          <w:p>
            <w:pPr>
              <w:spacing w:line="360" w:lineRule="auto"/>
              <w:rPr>
                <w:rFonts w:ascii="Calibri" w:hAnsi="Calibri"/>
                <w:color w:val="FF0000"/>
              </w:rPr>
            </w:pPr>
            <w:r>
              <w:rPr>
                <w:rFonts w:hint="eastAsia"/>
              </w:rPr>
              <w:t>是</w:t>
            </w:r>
          </w:p>
        </w:tc>
        <w:tc>
          <w:tcPr>
            <w:tcW w:w="2817"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9</w:t>
            </w:r>
          </w:p>
        </w:tc>
        <w:tc>
          <w:tcPr>
            <w:tcW w:w="1831" w:type="dxa"/>
            <w:gridSpan w:val="2"/>
            <w:tcBorders>
              <w:top w:val="single" w:color="auto" w:sz="4" w:space="0"/>
              <w:left w:val="single" w:color="auto" w:sz="4" w:space="0"/>
              <w:bottom w:val="single" w:color="auto" w:sz="4" w:space="0"/>
              <w:right w:val="single" w:color="auto" w:sz="4" w:space="0"/>
            </w:tcBorders>
          </w:tcPr>
          <w:p>
            <w:pPr>
              <w:spacing w:line="360" w:lineRule="auto"/>
            </w:pPr>
            <w:r>
              <w:t>SWJG_DM</w:t>
            </w:r>
          </w:p>
        </w:tc>
        <w:tc>
          <w:tcPr>
            <w:tcW w:w="2156" w:type="dxa"/>
            <w:gridSpan w:val="2"/>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rPr>
                <w:rFonts w:hint="eastAsia"/>
              </w:rPr>
              <w:t>税务机构代码</w:t>
            </w:r>
          </w:p>
        </w:tc>
        <w:tc>
          <w:tcPr>
            <w:tcW w:w="1291" w:type="dxa"/>
            <w:gridSpan w:val="2"/>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t>VARCHAR</w:t>
            </w:r>
          </w:p>
        </w:tc>
        <w:tc>
          <w:tcPr>
            <w:tcW w:w="851" w:type="dxa"/>
            <w:gridSpan w:val="2"/>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t>11</w:t>
            </w:r>
          </w:p>
        </w:tc>
        <w:tc>
          <w:tcPr>
            <w:tcW w:w="693" w:type="dxa"/>
            <w:gridSpan w:val="2"/>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rPr>
                <w:rFonts w:hint="eastAsia"/>
              </w:rPr>
              <w:t>否</w:t>
            </w:r>
          </w:p>
        </w:tc>
        <w:tc>
          <w:tcPr>
            <w:tcW w:w="2817"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10</w:t>
            </w:r>
          </w:p>
        </w:tc>
        <w:tc>
          <w:tcPr>
            <w:tcW w:w="1831" w:type="dxa"/>
            <w:gridSpan w:val="2"/>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t>DKBZ</w:t>
            </w:r>
          </w:p>
        </w:tc>
        <w:tc>
          <w:tcPr>
            <w:tcW w:w="2156" w:type="dxa"/>
            <w:gridSpan w:val="2"/>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rPr>
                <w:rFonts w:hint="eastAsia"/>
              </w:rPr>
              <w:t>代开标志</w:t>
            </w:r>
          </w:p>
        </w:tc>
        <w:tc>
          <w:tcPr>
            <w:tcW w:w="1291" w:type="dxa"/>
            <w:gridSpan w:val="2"/>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t>CHAR</w:t>
            </w:r>
          </w:p>
        </w:tc>
        <w:tc>
          <w:tcPr>
            <w:tcW w:w="851" w:type="dxa"/>
            <w:gridSpan w:val="2"/>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t>1</w:t>
            </w:r>
          </w:p>
        </w:tc>
        <w:tc>
          <w:tcPr>
            <w:tcW w:w="693" w:type="dxa"/>
            <w:gridSpan w:val="2"/>
            <w:tcBorders>
              <w:top w:val="single" w:color="auto" w:sz="4" w:space="0"/>
              <w:left w:val="single" w:color="auto" w:sz="4" w:space="0"/>
              <w:bottom w:val="single" w:color="auto" w:sz="4" w:space="0"/>
              <w:right w:val="single" w:color="auto" w:sz="4" w:space="0"/>
            </w:tcBorders>
          </w:tcPr>
          <w:p>
            <w:pPr>
              <w:spacing w:line="360" w:lineRule="auto"/>
              <w:rPr>
                <w:rFonts w:ascii="Calibri" w:hAnsi="Calibri"/>
                <w:color w:val="FF0000"/>
              </w:rPr>
            </w:pPr>
            <w:r>
              <w:rPr>
                <w:rFonts w:hint="eastAsia"/>
              </w:rPr>
              <w:t>是</w:t>
            </w:r>
          </w:p>
        </w:tc>
        <w:tc>
          <w:tcPr>
            <w:tcW w:w="2817" w:type="dxa"/>
            <w:tcBorders>
              <w:top w:val="single" w:color="auto" w:sz="4" w:space="0"/>
              <w:left w:val="single" w:color="auto" w:sz="4" w:space="0"/>
              <w:bottom w:val="single" w:color="auto" w:sz="4" w:space="0"/>
              <w:right w:val="single" w:color="auto" w:sz="4" w:space="0"/>
            </w:tcBorders>
          </w:tcPr>
          <w:p>
            <w:pPr>
              <w:spacing w:line="360" w:lineRule="auto"/>
              <w:rPr>
                <w:rFonts w:ascii="Calibri" w:hAnsi="Calibri"/>
              </w:rPr>
            </w:pPr>
            <w:r>
              <w:rPr>
                <w:rFonts w:hint="eastAsia"/>
              </w:rPr>
              <w:t>自开</w:t>
            </w:r>
            <w:r>
              <w:t>(0)</w:t>
            </w:r>
          </w:p>
          <w:p>
            <w:pPr>
              <w:spacing w:line="360" w:lineRule="auto"/>
              <w:rPr>
                <w:rFonts w:ascii="Calibri" w:hAnsi="Calibri"/>
              </w:rPr>
            </w:pPr>
            <w:r>
              <w:rPr>
                <w:rFonts w:hint="eastAsia"/>
              </w:rPr>
              <w:t>代开</w:t>
            </w: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11</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XSF_NSRSBH</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销售方纳税人识别号</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20</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12</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XSF_MC</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销售方名称</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100</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13</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XSF_DZDH</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销售方地址、电话</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100</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14</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XSF_YHZH</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销售方银行账号</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100</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15</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GMF_NSRSBH</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购买方纳税人识别号</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20</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16</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GMF_MC</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购买方名称</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100</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17</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GMF_DZDH</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购买方地址、电话</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100</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18</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GMF_YHZH</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购买方银行账号</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100</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19</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KPR</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开票人</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8</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20</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SKR</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收款人</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8</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21</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FHR</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复核人</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8</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22</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YFP_DM</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原发票代码</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12</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红字发票时必须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23</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YFP_HM</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原发票号码</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8</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红字发票时必须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24</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JSHJ</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价税合计</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DOUBLE</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单位：元（2位小数）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25</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HJJE</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合计金额</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DOUBLE</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不含税，单位：元（2位小数）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26</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HJSE</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合计税额</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DOUBLE</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单位：元（2位小数）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27</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BZ</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备注</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200</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备注长度应减去“机器编号:ZZZZZZZZZZZ”,”对应正数发票代码:XXXXXXXXXXXX号码:YYYYYYYY”字样长度，长度剩余130。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28</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FPZT</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bCs/>
              </w:rPr>
            </w:pPr>
            <w:r>
              <w:rPr>
                <w:rFonts w:hint="eastAsia" w:ascii="宋体" w:hAnsi="宋体"/>
                <w:bCs/>
              </w:rPr>
              <w:t>发票状态</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NUMBER</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0-正常发票；1-作废发票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29</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JQBH</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税控设备编号</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12</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成功必填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30</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FP_DM</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发票代码</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12</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成功必填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31</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FP_HM</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发票号码</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8</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成功必填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32</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KPRQ</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开票日期</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DATETIME</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14</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YYYYMMDDHHMMSS</w:t>
            </w:r>
          </w:p>
          <w:p>
            <w:pPr>
              <w:spacing w:line="360" w:lineRule="auto"/>
              <w:rPr>
                <w:rFonts w:ascii="宋体" w:hAnsi="宋体"/>
              </w:rPr>
            </w:pPr>
            <w:r>
              <w:rPr>
                <w:rFonts w:hint="eastAsia" w:ascii="宋体" w:hAnsi="宋体"/>
              </w:rPr>
              <w:t>成功必填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33</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FP_MW</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发票密文</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112</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长度108或112，成功必填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34</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JYM</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发票校验码</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20</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成功必填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35</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EWM</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二维码</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3000</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长度可变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ascii="Calibri" w:hAnsi="Calibri"/>
              </w:rPr>
              <w:t>36</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PDF_FILE</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Base64</w:t>
            </w:r>
            <w:r>
              <w:rPr>
                <w:rFonts w:hint="eastAsia"/>
              </w:rPr>
              <w:t>（</w:t>
            </w:r>
            <w:r>
              <w:t>pdf</w:t>
            </w:r>
            <w:r>
              <w:rPr>
                <w:rFonts w:hint="eastAsia"/>
              </w:rPr>
              <w:t>文件）</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VARCHAR</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不定长</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否</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PDF</w:t>
            </w:r>
            <w:r>
              <w:rPr>
                <w:rFonts w:hint="eastAsia"/>
              </w:rPr>
              <w:t>下载方式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ascii="Calibri" w:hAnsi="Calibri"/>
              </w:rPr>
              <w:t>37</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PDF_URL</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PDF</w:t>
            </w:r>
            <w:r>
              <w:rPr>
                <w:rFonts w:hint="eastAsia"/>
              </w:rPr>
              <w:t>下载路径</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VARCHAR</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不定长</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否</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PDF</w:t>
            </w:r>
            <w:r>
              <w:rPr>
                <w:rFonts w:hint="eastAsia"/>
              </w:rPr>
              <w:t>的下载路径</w:t>
            </w:r>
            <w:r>
              <w:t>PDF_URL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38</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FPTKZ</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发票头扩展</w:t>
            </w:r>
          </w:p>
        </w:tc>
        <w:tc>
          <w:tcPr>
            <w:tcW w:w="12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VARCHAR</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不定长</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否</w:t>
            </w:r>
          </w:p>
        </w:tc>
        <w:tc>
          <w:tcPr>
            <w:tcW w:w="2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456" w:type="dxa"/>
            <w:gridSpan w:val="13"/>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增值税电子普通发票</w:t>
            </w:r>
            <w:r>
              <w:t>-</w:t>
            </w:r>
            <w:r>
              <w:rPr>
                <w:rFonts w:hint="eastAsia"/>
              </w:rPr>
              <w:t>项目明细，可多条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39</w:t>
            </w:r>
          </w:p>
        </w:tc>
        <w:tc>
          <w:tcPr>
            <w:tcW w:w="145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ourier" w:hAnsi="Courier"/>
                <w:szCs w:val="21"/>
              </w:rPr>
            </w:pPr>
            <w:r>
              <w:t>FPHXZ</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发票行性质</w:t>
            </w:r>
          </w:p>
        </w:tc>
        <w:tc>
          <w:tcPr>
            <w:tcW w:w="109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NUMBER</w:t>
            </w:r>
          </w:p>
        </w:tc>
        <w:tc>
          <w:tcPr>
            <w:tcW w:w="86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1</w:t>
            </w:r>
          </w:p>
        </w:tc>
        <w:tc>
          <w:tcPr>
            <w:tcW w:w="67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499"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接口开票必填</w:t>
            </w:r>
          </w:p>
          <w:p>
            <w:pPr>
              <w:spacing w:line="360" w:lineRule="auto"/>
              <w:rPr>
                <w:rFonts w:ascii="宋体" w:hAnsi="宋体"/>
              </w:rPr>
            </w:pPr>
            <w:r>
              <w:rPr>
                <w:rFonts w:hint="eastAsia" w:ascii="宋体" w:hAnsi="宋体"/>
              </w:rPr>
              <w:t>0正常行</w:t>
            </w:r>
          </w:p>
          <w:p>
            <w:pPr>
              <w:spacing w:line="360" w:lineRule="auto"/>
              <w:rPr>
                <w:rFonts w:ascii="宋体" w:hAnsi="宋体"/>
              </w:rPr>
            </w:pPr>
            <w:r>
              <w:rPr>
                <w:rFonts w:hint="eastAsia" w:ascii="宋体" w:hAnsi="宋体"/>
              </w:rPr>
              <w:t>1折扣行</w:t>
            </w:r>
          </w:p>
          <w:p>
            <w:pPr>
              <w:spacing w:line="360" w:lineRule="auto"/>
              <w:rPr>
                <w:rFonts w:ascii="宋体" w:hAnsi="宋体"/>
              </w:rPr>
            </w:pPr>
            <w:r>
              <w:rPr>
                <w:rFonts w:hint="eastAsia" w:ascii="宋体" w:hAnsi="宋体"/>
              </w:rPr>
              <w:t>2被折扣行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40</w:t>
            </w:r>
          </w:p>
        </w:tc>
        <w:tc>
          <w:tcPr>
            <w:tcW w:w="145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XMMC</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项目名称</w:t>
            </w:r>
          </w:p>
        </w:tc>
        <w:tc>
          <w:tcPr>
            <w:tcW w:w="109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90</w:t>
            </w:r>
          </w:p>
        </w:tc>
        <w:tc>
          <w:tcPr>
            <w:tcW w:w="67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499"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在发票和销货清单中，可在每一行商品下加入折扣行，折扣行商品名称栏填写“折扣（X.XXX%）”字样，其中“X”为折扣率数字，金额和税额栏以负数填写，税率与被折扣行商品税率相同，其它栏不填写。</w:t>
            </w:r>
          </w:p>
          <w:p>
            <w:pPr>
              <w:spacing w:line="360" w:lineRule="auto"/>
              <w:rPr>
                <w:rFonts w:ascii="宋体" w:hAnsi="宋体"/>
              </w:rPr>
            </w:pPr>
            <w:r>
              <w:rPr>
                <w:rFonts w:hint="eastAsia" w:ascii="宋体" w:hAnsi="宋体"/>
              </w:rPr>
              <w:t>对于相邻商品行折扣率相同的，可汇总填写折扣行，折扣行商品名称栏填写“折扣行数Y(X.XXX%)”字样，其中“Y”为汇总行数数字，汇总金额和汇总税额栏以负数填写，税率与发票税率相同，其它栏不填写。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41</w:t>
            </w:r>
          </w:p>
        </w:tc>
        <w:tc>
          <w:tcPr>
            <w:tcW w:w="145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DW</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计量单位</w:t>
            </w:r>
          </w:p>
        </w:tc>
        <w:tc>
          <w:tcPr>
            <w:tcW w:w="109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20</w:t>
            </w:r>
          </w:p>
        </w:tc>
        <w:tc>
          <w:tcPr>
            <w:tcW w:w="67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499"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42</w:t>
            </w:r>
          </w:p>
        </w:tc>
        <w:tc>
          <w:tcPr>
            <w:tcW w:w="145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GGXH</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规格型号</w:t>
            </w:r>
          </w:p>
        </w:tc>
        <w:tc>
          <w:tcPr>
            <w:tcW w:w="109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VARCHAR</w:t>
            </w:r>
          </w:p>
        </w:tc>
        <w:tc>
          <w:tcPr>
            <w:tcW w:w="86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40</w:t>
            </w:r>
          </w:p>
        </w:tc>
        <w:tc>
          <w:tcPr>
            <w:tcW w:w="67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499"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43</w:t>
            </w:r>
          </w:p>
        </w:tc>
        <w:tc>
          <w:tcPr>
            <w:tcW w:w="145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XMSL</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项目数量</w:t>
            </w:r>
          </w:p>
        </w:tc>
        <w:tc>
          <w:tcPr>
            <w:tcW w:w="109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DOUBLE</w:t>
            </w:r>
          </w:p>
        </w:tc>
        <w:tc>
          <w:tcPr>
            <w:tcW w:w="86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c>
          <w:tcPr>
            <w:tcW w:w="67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499"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小数点后6位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44</w:t>
            </w:r>
          </w:p>
        </w:tc>
        <w:tc>
          <w:tcPr>
            <w:tcW w:w="145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XMDJ</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项目单价</w:t>
            </w:r>
          </w:p>
        </w:tc>
        <w:tc>
          <w:tcPr>
            <w:tcW w:w="109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DOUBLE</w:t>
            </w:r>
          </w:p>
        </w:tc>
        <w:tc>
          <w:tcPr>
            <w:tcW w:w="86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c>
          <w:tcPr>
            <w:tcW w:w="67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499"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小数点后6位 不含税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45</w:t>
            </w:r>
          </w:p>
        </w:tc>
        <w:tc>
          <w:tcPr>
            <w:tcW w:w="145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XMJE</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项目金额</w:t>
            </w:r>
          </w:p>
        </w:tc>
        <w:tc>
          <w:tcPr>
            <w:tcW w:w="109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DOUBLE</w:t>
            </w:r>
          </w:p>
        </w:tc>
        <w:tc>
          <w:tcPr>
            <w:tcW w:w="86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c>
          <w:tcPr>
            <w:tcW w:w="67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499"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不含税，单位：元（2位小数）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46</w:t>
            </w:r>
          </w:p>
        </w:tc>
        <w:tc>
          <w:tcPr>
            <w:tcW w:w="145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SL</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税率</w:t>
            </w:r>
          </w:p>
        </w:tc>
        <w:tc>
          <w:tcPr>
            <w:tcW w:w="109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DOUBLE</w:t>
            </w:r>
          </w:p>
        </w:tc>
        <w:tc>
          <w:tcPr>
            <w:tcW w:w="86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c>
          <w:tcPr>
            <w:tcW w:w="67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499"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6位小数，例1%为0.01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47</w:t>
            </w:r>
          </w:p>
        </w:tc>
        <w:tc>
          <w:tcPr>
            <w:tcW w:w="145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SE</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税额</w:t>
            </w:r>
          </w:p>
        </w:tc>
        <w:tc>
          <w:tcPr>
            <w:tcW w:w="109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t>DOUBLE</w:t>
            </w:r>
          </w:p>
        </w:tc>
        <w:tc>
          <w:tcPr>
            <w:tcW w:w="86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c>
          <w:tcPr>
            <w:tcW w:w="67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是</w:t>
            </w:r>
          </w:p>
        </w:tc>
        <w:tc>
          <w:tcPr>
            <w:tcW w:w="3499"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单位：元（2位小数）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48</w:t>
            </w:r>
          </w:p>
        </w:tc>
        <w:tc>
          <w:tcPr>
            <w:tcW w:w="145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XMXXKZ</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rPr>
                <w:rFonts w:hint="eastAsia"/>
              </w:rPr>
              <w:t>项目信息扩展</w:t>
            </w:r>
          </w:p>
        </w:tc>
        <w:tc>
          <w:tcPr>
            <w:tcW w:w="109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rPr>
            </w:pPr>
            <w:r>
              <w:t>VARCHAR</w:t>
            </w:r>
          </w:p>
        </w:tc>
        <w:tc>
          <w:tcPr>
            <w:tcW w:w="86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不定长</w:t>
            </w:r>
          </w:p>
        </w:tc>
        <w:tc>
          <w:tcPr>
            <w:tcW w:w="67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否</w:t>
            </w:r>
          </w:p>
        </w:tc>
        <w:tc>
          <w:tcPr>
            <w:tcW w:w="3499"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456" w:type="dxa"/>
            <w:gridSpan w:val="13"/>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纸质普通发票和专用发票-略，参见前面章节</w:t>
            </w:r>
          </w:p>
        </w:tc>
      </w:tr>
    </w:tbl>
    <w:p>
      <w:pPr>
        <w:spacing w:line="360" w:lineRule="auto"/>
        <w:rPr>
          <w:rFonts w:ascii="Calibri" w:hAnsi="Calibri"/>
          <w:b/>
        </w:rPr>
      </w:pPr>
    </w:p>
    <w:p>
      <w:pPr>
        <w:spacing w:line="360" w:lineRule="auto"/>
      </w:pPr>
    </w:p>
    <w:p>
      <w:pPr>
        <w:pStyle w:val="4"/>
        <w:numPr>
          <w:ilvl w:val="2"/>
          <w:numId w:val="3"/>
        </w:numPr>
        <w:spacing w:before="0" w:after="0" w:line="360" w:lineRule="auto"/>
        <w:ind w:left="0" w:leftChars="0" w:firstLine="402" w:firstLineChars="0"/>
      </w:pPr>
      <w:bookmarkStart w:id="153" w:name="_Toc30048"/>
      <w:r>
        <w:rPr>
          <w:rFonts w:hint="eastAsia"/>
        </w:rPr>
        <w:t>3.2.5 Web Services接口标准</w:t>
      </w:r>
      <w:bookmarkEnd w:id="146"/>
      <w:bookmarkEnd w:id="153"/>
    </w:p>
    <w:p>
      <w:pPr>
        <w:pStyle w:val="59"/>
        <w:spacing w:line="360" w:lineRule="auto"/>
        <w:ind w:firstLine="561" w:firstLineChars="234"/>
        <w:rPr>
          <w:rFonts w:asciiTheme="minorEastAsia" w:hAnsiTheme="minorEastAsia" w:eastAsiaTheme="minorEastAsia"/>
          <w:sz w:val="24"/>
          <w:szCs w:val="24"/>
        </w:rPr>
      </w:pPr>
      <w:bookmarkStart w:id="154" w:name="_Toc340507365"/>
      <w:r>
        <w:rPr>
          <w:rFonts w:asciiTheme="minorEastAsia" w:hAnsiTheme="minorEastAsia" w:eastAsiaTheme="minorEastAsia"/>
          <w:sz w:val="24"/>
          <w:szCs w:val="24"/>
        </w:rPr>
        <w:t>Web Service</w:t>
      </w:r>
      <w:r>
        <w:rPr>
          <w:rFonts w:hint="eastAsia" w:asciiTheme="minorEastAsia" w:hAnsiTheme="minorEastAsia" w:eastAsiaTheme="minorEastAsia"/>
          <w:sz w:val="24"/>
          <w:szCs w:val="24"/>
        </w:rPr>
        <w:t>s</w:t>
      </w:r>
      <w:r>
        <w:rPr>
          <w:rFonts w:asciiTheme="minorEastAsia" w:hAnsiTheme="minorEastAsia" w:eastAsiaTheme="minorEastAsia"/>
          <w:sz w:val="24"/>
          <w:szCs w:val="24"/>
        </w:rPr>
        <w:t>是基于网络的、分布式的模块化组件，它执行特定的任务，遵守具体的技术规范，这些规范使得Web Service能与其他兼容的组件进行互操作。</w:t>
      </w:r>
      <w:bookmarkEnd w:id="154"/>
    </w:p>
    <w:p>
      <w:pPr>
        <w:pStyle w:val="59"/>
        <w:spacing w:line="360" w:lineRule="auto"/>
        <w:ind w:firstLine="561" w:firstLineChars="234"/>
        <w:rPr>
          <w:rFonts w:asciiTheme="minorEastAsia" w:hAnsiTheme="minorEastAsia" w:eastAsiaTheme="minorEastAsia"/>
          <w:sz w:val="24"/>
          <w:szCs w:val="24"/>
        </w:rPr>
      </w:pPr>
      <w:bookmarkStart w:id="155" w:name="_Toc340507366"/>
      <w:r>
        <w:rPr>
          <w:rFonts w:asciiTheme="minorEastAsia" w:hAnsiTheme="minorEastAsia" w:eastAsiaTheme="minorEastAsia"/>
          <w:sz w:val="24"/>
          <w:szCs w:val="24"/>
        </w:rPr>
        <w:t>Web Service</w:t>
      </w:r>
      <w:r>
        <w:rPr>
          <w:rFonts w:hint="eastAsia" w:asciiTheme="minorEastAsia" w:hAnsiTheme="minorEastAsia" w:eastAsiaTheme="minorEastAsia"/>
          <w:sz w:val="24"/>
          <w:szCs w:val="24"/>
        </w:rPr>
        <w:t>s技术促进了</w:t>
      </w:r>
      <w:r>
        <w:rPr>
          <w:rFonts w:asciiTheme="minorEastAsia" w:hAnsiTheme="minorEastAsia" w:eastAsiaTheme="minorEastAsia"/>
          <w:sz w:val="24"/>
          <w:szCs w:val="24"/>
        </w:rPr>
        <w:t>Internet</w:t>
      </w:r>
      <w:r>
        <w:rPr>
          <w:rFonts w:hint="eastAsia" w:asciiTheme="minorEastAsia" w:hAnsiTheme="minorEastAsia" w:eastAsiaTheme="minorEastAsia"/>
          <w:sz w:val="24"/>
          <w:szCs w:val="24"/>
        </w:rPr>
        <w:t>上企业之间的协作，使用</w:t>
      </w:r>
      <w:r>
        <w:rPr>
          <w:rFonts w:asciiTheme="minorEastAsia" w:hAnsiTheme="minorEastAsia" w:eastAsiaTheme="minorEastAsia"/>
          <w:sz w:val="24"/>
          <w:szCs w:val="24"/>
        </w:rPr>
        <w:t>Web</w:t>
      </w:r>
      <w:r>
        <w:rPr>
          <w:rFonts w:hint="eastAsia" w:asciiTheme="minorEastAsia" w:hAnsiTheme="minorEastAsia" w:eastAsiaTheme="minorEastAsia"/>
          <w:sz w:val="24"/>
          <w:szCs w:val="24"/>
        </w:rPr>
        <w:t>服务可以使信息系统之间更容易地进行通信。为了使</w:t>
      </w:r>
      <w:r>
        <w:rPr>
          <w:rFonts w:asciiTheme="minorEastAsia" w:hAnsiTheme="minorEastAsia" w:eastAsiaTheme="minorEastAsia"/>
          <w:sz w:val="24"/>
          <w:szCs w:val="24"/>
        </w:rPr>
        <w:t>Web Service</w:t>
      </w:r>
      <w:r>
        <w:rPr>
          <w:rFonts w:hint="eastAsia" w:asciiTheme="minorEastAsia" w:hAnsiTheme="minorEastAsia" w:eastAsiaTheme="minorEastAsia"/>
          <w:sz w:val="24"/>
          <w:szCs w:val="24"/>
        </w:rPr>
        <w:t>s易于使用，众多组织已经致力于</w:t>
      </w:r>
      <w:r>
        <w:rPr>
          <w:rFonts w:asciiTheme="minorEastAsia" w:hAnsiTheme="minorEastAsia" w:eastAsiaTheme="minorEastAsia"/>
          <w:sz w:val="24"/>
          <w:szCs w:val="24"/>
        </w:rPr>
        <w:t>Web Service</w:t>
      </w:r>
      <w:r>
        <w:rPr>
          <w:rFonts w:hint="eastAsia" w:asciiTheme="minorEastAsia" w:hAnsiTheme="minorEastAsia" w:eastAsiaTheme="minorEastAsia"/>
          <w:sz w:val="24"/>
          <w:szCs w:val="24"/>
        </w:rPr>
        <w:t>s技术，进行标准协议的制定，提供</w:t>
      </w:r>
      <w:r>
        <w:rPr>
          <w:rFonts w:asciiTheme="minorEastAsia" w:hAnsiTheme="minorEastAsia" w:eastAsiaTheme="minorEastAsia"/>
          <w:sz w:val="24"/>
          <w:szCs w:val="24"/>
        </w:rPr>
        <w:t>Web</w:t>
      </w:r>
      <w:r>
        <w:rPr>
          <w:rFonts w:hint="eastAsia" w:asciiTheme="minorEastAsia" w:hAnsiTheme="minorEastAsia" w:eastAsiaTheme="minorEastAsia"/>
          <w:sz w:val="24"/>
          <w:szCs w:val="24"/>
        </w:rPr>
        <w:t>服务的创建工具和解决方案。</w:t>
      </w:r>
      <w:bookmarkEnd w:id="155"/>
    </w:p>
    <w:p>
      <w:pPr>
        <w:pStyle w:val="59"/>
        <w:spacing w:line="360" w:lineRule="auto"/>
        <w:ind w:firstLine="561" w:firstLineChars="234"/>
        <w:rPr>
          <w:rFonts w:asciiTheme="minorEastAsia" w:hAnsiTheme="minorEastAsia" w:eastAsiaTheme="minorEastAsia"/>
          <w:sz w:val="24"/>
          <w:szCs w:val="24"/>
        </w:rPr>
      </w:pPr>
      <w:bookmarkStart w:id="156" w:name="_Toc340507367"/>
      <w:r>
        <w:rPr>
          <w:rFonts w:hint="eastAsia" w:asciiTheme="minorEastAsia" w:hAnsiTheme="minorEastAsia" w:eastAsiaTheme="minorEastAsia"/>
          <w:sz w:val="24"/>
          <w:szCs w:val="24"/>
        </w:rPr>
        <w:t>一、</w:t>
      </w:r>
      <w:r>
        <w:rPr>
          <w:rFonts w:asciiTheme="minorEastAsia" w:hAnsiTheme="minorEastAsia" w:eastAsiaTheme="minorEastAsia"/>
          <w:sz w:val="24"/>
          <w:szCs w:val="24"/>
        </w:rPr>
        <w:t>Web</w:t>
      </w:r>
      <w:r>
        <w:rPr>
          <w:rFonts w:hint="eastAsia" w:asciiTheme="minorEastAsia" w:hAnsiTheme="minorEastAsia" w:eastAsiaTheme="minorEastAsia"/>
          <w:sz w:val="24"/>
          <w:szCs w:val="24"/>
        </w:rPr>
        <w:t>服务</w:t>
      </w:r>
      <w:bookmarkEnd w:id="156"/>
    </w:p>
    <w:p>
      <w:pPr>
        <w:pStyle w:val="59"/>
        <w:spacing w:line="360" w:lineRule="auto"/>
        <w:ind w:firstLine="561" w:firstLineChars="234"/>
        <w:rPr>
          <w:rFonts w:asciiTheme="minorEastAsia" w:hAnsiTheme="minorEastAsia" w:eastAsiaTheme="minorEastAsia"/>
          <w:sz w:val="24"/>
          <w:szCs w:val="24"/>
        </w:rPr>
      </w:pPr>
      <w:bookmarkStart w:id="157" w:name="_Toc340507368"/>
      <w:r>
        <w:rPr>
          <w:rFonts w:asciiTheme="minorEastAsia" w:hAnsiTheme="minorEastAsia" w:eastAsiaTheme="minorEastAsia"/>
          <w:sz w:val="24"/>
          <w:szCs w:val="24"/>
        </w:rPr>
        <w:t>Web</w:t>
      </w:r>
      <w:r>
        <w:rPr>
          <w:rFonts w:hint="eastAsia" w:asciiTheme="minorEastAsia" w:hAnsiTheme="minorEastAsia" w:eastAsiaTheme="minorEastAsia"/>
          <w:sz w:val="24"/>
          <w:szCs w:val="24"/>
        </w:rPr>
        <w:t>服务是可以在组织内部或者公司之间的异构计算资源中被共享、组合、使用和复用的商业资产。</w:t>
      </w:r>
      <w:r>
        <w:rPr>
          <w:rFonts w:asciiTheme="minorEastAsia" w:hAnsiTheme="minorEastAsia" w:eastAsiaTheme="minorEastAsia"/>
          <w:sz w:val="24"/>
          <w:szCs w:val="24"/>
        </w:rPr>
        <w:t>Web</w:t>
      </w:r>
      <w:r>
        <w:rPr>
          <w:rFonts w:hint="eastAsia" w:asciiTheme="minorEastAsia" w:hAnsiTheme="minorEastAsia" w:eastAsiaTheme="minorEastAsia"/>
          <w:sz w:val="24"/>
          <w:szCs w:val="24"/>
        </w:rPr>
        <w:t>服务是一个可编程的部件，它提供一种易于通过</w:t>
      </w:r>
      <w:r>
        <w:rPr>
          <w:rFonts w:asciiTheme="minorEastAsia" w:hAnsiTheme="minorEastAsia" w:eastAsiaTheme="minorEastAsia"/>
          <w:sz w:val="24"/>
          <w:szCs w:val="24"/>
        </w:rPr>
        <w:t>Internet</w:t>
      </w:r>
      <w:r>
        <w:rPr>
          <w:rFonts w:hint="eastAsia" w:asciiTheme="minorEastAsia" w:hAnsiTheme="minorEastAsia" w:eastAsiaTheme="minorEastAsia"/>
          <w:sz w:val="24"/>
          <w:szCs w:val="24"/>
        </w:rPr>
        <w:t>获取的商业服务。</w:t>
      </w:r>
      <w:r>
        <w:rPr>
          <w:rFonts w:asciiTheme="minorEastAsia" w:hAnsiTheme="minorEastAsia" w:eastAsiaTheme="minorEastAsia"/>
          <w:sz w:val="24"/>
          <w:szCs w:val="24"/>
        </w:rPr>
        <w:t>Web</w:t>
      </w:r>
      <w:r>
        <w:rPr>
          <w:rFonts w:hint="eastAsia" w:asciiTheme="minorEastAsia" w:hAnsiTheme="minorEastAsia" w:eastAsiaTheme="minorEastAsia"/>
          <w:sz w:val="24"/>
          <w:szCs w:val="24"/>
        </w:rPr>
        <w:t>服务可以是独立的，也可以连接在一起向外部世界提供更强大的系统功能。</w:t>
      </w:r>
      <w:bookmarkEnd w:id="157"/>
    </w:p>
    <w:p>
      <w:pPr>
        <w:pStyle w:val="59"/>
        <w:spacing w:line="360" w:lineRule="auto"/>
        <w:ind w:firstLine="561" w:firstLineChars="234"/>
        <w:rPr>
          <w:rFonts w:asciiTheme="minorEastAsia" w:hAnsiTheme="minorEastAsia" w:eastAsiaTheme="minorEastAsia"/>
          <w:sz w:val="24"/>
          <w:szCs w:val="24"/>
        </w:rPr>
      </w:pPr>
      <w:bookmarkStart w:id="158" w:name="_Toc340507375"/>
      <w:r>
        <w:rPr>
          <w:rFonts w:hint="eastAsia" w:asciiTheme="minorEastAsia" w:hAnsiTheme="minorEastAsia" w:eastAsiaTheme="minorEastAsia"/>
          <w:sz w:val="24"/>
          <w:szCs w:val="24"/>
        </w:rPr>
        <w:t>二、</w:t>
      </w:r>
      <w:r>
        <w:rPr>
          <w:rFonts w:asciiTheme="minorEastAsia" w:hAnsiTheme="minorEastAsia" w:eastAsiaTheme="minorEastAsia"/>
          <w:sz w:val="24"/>
          <w:szCs w:val="24"/>
        </w:rPr>
        <w:t xml:space="preserve"> HTTP</w:t>
      </w:r>
      <w:bookmarkEnd w:id="158"/>
    </w:p>
    <w:p>
      <w:pPr>
        <w:pStyle w:val="59"/>
        <w:spacing w:line="360" w:lineRule="auto"/>
        <w:ind w:firstLine="561" w:firstLineChars="234"/>
        <w:rPr>
          <w:rFonts w:asciiTheme="minorEastAsia" w:hAnsiTheme="minorEastAsia" w:eastAsiaTheme="minorEastAsia"/>
          <w:sz w:val="24"/>
          <w:szCs w:val="24"/>
        </w:rPr>
      </w:pPr>
      <w:bookmarkStart w:id="159" w:name="_Toc340507376"/>
      <w:r>
        <w:rPr>
          <w:rFonts w:asciiTheme="minorEastAsia" w:hAnsiTheme="minorEastAsia" w:eastAsiaTheme="minorEastAsia"/>
          <w:sz w:val="24"/>
          <w:szCs w:val="24"/>
        </w:rPr>
        <w:t>Web</w:t>
      </w:r>
      <w:r>
        <w:rPr>
          <w:rFonts w:hint="eastAsia" w:asciiTheme="minorEastAsia" w:hAnsiTheme="minorEastAsia" w:eastAsiaTheme="minorEastAsia"/>
          <w:sz w:val="24"/>
          <w:szCs w:val="24"/>
        </w:rPr>
        <w:t>服务栈中的最底层是网络层，也可以称为协议层。分布式的应用需要有网络协议来定义两个并发过程之间的通信机制。概念上，</w:t>
      </w:r>
      <w:r>
        <w:rPr>
          <w:rFonts w:asciiTheme="minorEastAsia" w:hAnsiTheme="minorEastAsia" w:eastAsiaTheme="minorEastAsia"/>
          <w:sz w:val="24"/>
          <w:szCs w:val="24"/>
        </w:rPr>
        <w:t>Web</w:t>
      </w:r>
      <w:r>
        <w:rPr>
          <w:rFonts w:hint="eastAsia" w:asciiTheme="minorEastAsia" w:hAnsiTheme="minorEastAsia" w:eastAsiaTheme="minorEastAsia"/>
          <w:sz w:val="24"/>
          <w:szCs w:val="24"/>
        </w:rPr>
        <w:t>服务的设计是与协议无关的，在上图的分层体系结构模型中，从底向上任何标准的</w:t>
      </w:r>
      <w:r>
        <w:rPr>
          <w:rFonts w:asciiTheme="minorEastAsia" w:hAnsiTheme="minorEastAsia" w:eastAsiaTheme="minorEastAsia"/>
          <w:sz w:val="24"/>
          <w:szCs w:val="24"/>
        </w:rPr>
        <w:t>Internet</w:t>
      </w:r>
      <w:r>
        <w:rPr>
          <w:rFonts w:hint="eastAsia" w:asciiTheme="minorEastAsia" w:hAnsiTheme="minorEastAsia" w:eastAsiaTheme="minorEastAsia"/>
          <w:sz w:val="24"/>
          <w:szCs w:val="24"/>
        </w:rPr>
        <w:t>协议都可以用于在网络上调用</w:t>
      </w:r>
      <w:r>
        <w:rPr>
          <w:rFonts w:asciiTheme="minorEastAsia" w:hAnsiTheme="minorEastAsia" w:eastAsiaTheme="minorEastAsia"/>
          <w:sz w:val="24"/>
          <w:szCs w:val="24"/>
        </w:rPr>
        <w:t>Web</w:t>
      </w:r>
      <w:r>
        <w:rPr>
          <w:rFonts w:hint="eastAsia" w:asciiTheme="minorEastAsia" w:hAnsiTheme="minorEastAsia" w:eastAsiaTheme="minorEastAsia"/>
          <w:sz w:val="24"/>
          <w:szCs w:val="24"/>
        </w:rPr>
        <w:t>服务。但目前主要是</w:t>
      </w:r>
      <w:r>
        <w:rPr>
          <w:rFonts w:asciiTheme="minorEastAsia" w:hAnsiTheme="minorEastAsia" w:eastAsiaTheme="minorEastAsia"/>
          <w:sz w:val="24"/>
          <w:szCs w:val="24"/>
        </w:rPr>
        <w:t>HTTP</w:t>
      </w:r>
      <w:r>
        <w:rPr>
          <w:rFonts w:hint="eastAsia" w:asciiTheme="minorEastAsia" w:hAnsiTheme="minorEastAsia" w:eastAsiaTheme="minorEastAsia"/>
          <w:sz w:val="24"/>
          <w:szCs w:val="24"/>
        </w:rPr>
        <w:t>（</w:t>
      </w:r>
      <w:r>
        <w:rPr>
          <w:rFonts w:asciiTheme="minorEastAsia" w:hAnsiTheme="minorEastAsia" w:eastAsiaTheme="minorEastAsia"/>
          <w:sz w:val="24"/>
          <w:szCs w:val="24"/>
        </w:rPr>
        <w:t>Hypertext Transport Protocol</w:t>
      </w:r>
      <w:r>
        <w:rPr>
          <w:rFonts w:hint="eastAsia" w:asciiTheme="minorEastAsia" w:hAnsiTheme="minorEastAsia" w:eastAsiaTheme="minorEastAsia"/>
          <w:sz w:val="24"/>
          <w:szCs w:val="24"/>
        </w:rPr>
        <w:t>）和</w:t>
      </w:r>
      <w:r>
        <w:rPr>
          <w:rFonts w:asciiTheme="minorEastAsia" w:hAnsiTheme="minorEastAsia" w:eastAsiaTheme="minorEastAsia"/>
          <w:sz w:val="24"/>
          <w:szCs w:val="24"/>
        </w:rPr>
        <w:t>HTTPS</w:t>
      </w:r>
      <w:r>
        <w:rPr>
          <w:rFonts w:hint="eastAsia" w:asciiTheme="minorEastAsia" w:hAnsiTheme="minorEastAsia" w:eastAsiaTheme="minorEastAsia"/>
          <w:sz w:val="24"/>
          <w:szCs w:val="24"/>
        </w:rPr>
        <w:t>（</w:t>
      </w:r>
      <w:r>
        <w:rPr>
          <w:rFonts w:asciiTheme="minorEastAsia" w:hAnsiTheme="minorEastAsia" w:eastAsiaTheme="minorEastAsia"/>
          <w:sz w:val="24"/>
          <w:szCs w:val="24"/>
        </w:rPr>
        <w:t xml:space="preserve">Hypertext Transport Protocol Secure </w:t>
      </w:r>
      <w:r>
        <w:rPr>
          <w:rFonts w:hint="eastAsia" w:asciiTheme="minorEastAsia" w:hAnsiTheme="minorEastAsia" w:eastAsiaTheme="minorEastAsia"/>
          <w:sz w:val="24"/>
          <w:szCs w:val="24"/>
        </w:rPr>
        <w:t>）协议。</w:t>
      </w:r>
      <w:bookmarkEnd w:id="159"/>
    </w:p>
    <w:p>
      <w:pPr>
        <w:pStyle w:val="59"/>
        <w:spacing w:line="360" w:lineRule="auto"/>
        <w:ind w:firstLine="561" w:firstLineChars="234"/>
        <w:rPr>
          <w:rFonts w:asciiTheme="minorEastAsia" w:hAnsiTheme="minorEastAsia" w:eastAsiaTheme="minorEastAsia"/>
          <w:sz w:val="24"/>
          <w:szCs w:val="24"/>
        </w:rPr>
      </w:pPr>
      <w:bookmarkStart w:id="160" w:name="_Toc340507380"/>
      <w:r>
        <w:rPr>
          <w:rFonts w:hint="eastAsia" w:asciiTheme="minorEastAsia" w:hAnsiTheme="minorEastAsia" w:eastAsiaTheme="minorEastAsia"/>
          <w:sz w:val="24"/>
          <w:szCs w:val="24"/>
        </w:rPr>
        <w:t>三、</w:t>
      </w:r>
      <w:r>
        <w:rPr>
          <w:rFonts w:asciiTheme="minorEastAsia" w:hAnsiTheme="minorEastAsia" w:eastAsiaTheme="minorEastAsia"/>
          <w:sz w:val="24"/>
          <w:szCs w:val="24"/>
        </w:rPr>
        <w:t>XML</w:t>
      </w:r>
      <w:r>
        <w:rPr>
          <w:rFonts w:hint="eastAsia" w:asciiTheme="minorEastAsia" w:hAnsiTheme="minorEastAsia" w:eastAsiaTheme="minorEastAsia"/>
          <w:sz w:val="24"/>
          <w:szCs w:val="24"/>
        </w:rPr>
        <w:t>（</w:t>
      </w:r>
      <w:r>
        <w:rPr>
          <w:rFonts w:asciiTheme="minorEastAsia" w:hAnsiTheme="minorEastAsia" w:eastAsiaTheme="minorEastAsia"/>
          <w:sz w:val="24"/>
          <w:szCs w:val="24"/>
        </w:rPr>
        <w:t>Extensible Markup Language</w:t>
      </w:r>
      <w:r>
        <w:rPr>
          <w:rFonts w:hint="eastAsia" w:asciiTheme="minorEastAsia" w:hAnsiTheme="minorEastAsia" w:eastAsiaTheme="minorEastAsia"/>
          <w:sz w:val="24"/>
          <w:szCs w:val="24"/>
        </w:rPr>
        <w:t>，可扩展标记语言）</w:t>
      </w:r>
      <w:bookmarkEnd w:id="160"/>
    </w:p>
    <w:p>
      <w:pPr>
        <w:pStyle w:val="59"/>
        <w:spacing w:line="360" w:lineRule="auto"/>
        <w:ind w:firstLine="561" w:firstLineChars="234"/>
        <w:rPr>
          <w:rFonts w:asciiTheme="minorEastAsia" w:hAnsiTheme="minorEastAsia" w:eastAsiaTheme="minorEastAsia"/>
          <w:sz w:val="24"/>
          <w:szCs w:val="24"/>
        </w:rPr>
      </w:pPr>
      <w:bookmarkStart w:id="161" w:name="_Toc340507381"/>
      <w:r>
        <w:rPr>
          <w:rFonts w:hint="eastAsia" w:asciiTheme="minorEastAsia" w:hAnsiTheme="minorEastAsia" w:eastAsiaTheme="minorEastAsia"/>
          <w:sz w:val="24"/>
          <w:szCs w:val="24"/>
        </w:rPr>
        <w:t>基于</w:t>
      </w:r>
      <w:r>
        <w:rPr>
          <w:rFonts w:asciiTheme="minorEastAsia" w:hAnsiTheme="minorEastAsia" w:eastAsiaTheme="minorEastAsia"/>
          <w:sz w:val="24"/>
          <w:szCs w:val="24"/>
        </w:rPr>
        <w:t>XML</w:t>
      </w:r>
      <w:r>
        <w:rPr>
          <w:rFonts w:hint="eastAsia" w:asciiTheme="minorEastAsia" w:hAnsiTheme="minorEastAsia" w:eastAsiaTheme="minorEastAsia"/>
          <w:sz w:val="24"/>
          <w:szCs w:val="24"/>
        </w:rPr>
        <w:t>的消息层包括数据表示、数据格式和消息传输协议。</w:t>
      </w:r>
      <w:r>
        <w:rPr>
          <w:rFonts w:asciiTheme="minorEastAsia" w:hAnsiTheme="minorEastAsia" w:eastAsiaTheme="minorEastAsia"/>
          <w:sz w:val="24"/>
          <w:szCs w:val="24"/>
        </w:rPr>
        <w:t>XML</w:t>
      </w:r>
      <w:r>
        <w:rPr>
          <w:rFonts w:hint="eastAsia" w:asciiTheme="minorEastAsia" w:hAnsiTheme="minorEastAsia" w:eastAsiaTheme="minorEastAsia"/>
          <w:sz w:val="24"/>
          <w:szCs w:val="24"/>
        </w:rPr>
        <w:t>为信息交换定义了描述和格式。</w:t>
      </w:r>
      <w:bookmarkEnd w:id="161"/>
    </w:p>
    <w:p>
      <w:pPr>
        <w:pStyle w:val="59"/>
        <w:spacing w:line="360" w:lineRule="auto"/>
        <w:ind w:firstLine="561" w:firstLineChars="234"/>
        <w:rPr>
          <w:rFonts w:asciiTheme="minorEastAsia" w:hAnsiTheme="minorEastAsia" w:eastAsiaTheme="minorEastAsia"/>
          <w:sz w:val="24"/>
          <w:szCs w:val="24"/>
        </w:rPr>
      </w:pPr>
      <w:bookmarkStart w:id="162" w:name="_Toc340507389"/>
      <w:r>
        <w:rPr>
          <w:rFonts w:hint="eastAsia" w:asciiTheme="minorEastAsia" w:hAnsiTheme="minorEastAsia" w:eastAsiaTheme="minorEastAsia"/>
          <w:sz w:val="24"/>
          <w:szCs w:val="24"/>
        </w:rPr>
        <w:t>四、</w:t>
      </w:r>
      <w:r>
        <w:rPr>
          <w:rFonts w:asciiTheme="minorEastAsia" w:hAnsiTheme="minorEastAsia" w:eastAsiaTheme="minorEastAsia"/>
          <w:sz w:val="24"/>
          <w:szCs w:val="24"/>
        </w:rPr>
        <w:t>SOAP</w:t>
      </w:r>
      <w:r>
        <w:rPr>
          <w:rFonts w:hint="eastAsia" w:asciiTheme="minorEastAsia" w:hAnsiTheme="minorEastAsia" w:eastAsiaTheme="minorEastAsia"/>
          <w:sz w:val="24"/>
          <w:szCs w:val="24"/>
        </w:rPr>
        <w:t>（</w:t>
      </w:r>
      <w:r>
        <w:rPr>
          <w:rFonts w:asciiTheme="minorEastAsia" w:hAnsiTheme="minorEastAsia" w:eastAsiaTheme="minorEastAsia"/>
          <w:sz w:val="24"/>
          <w:szCs w:val="24"/>
        </w:rPr>
        <w:t>Simple Object Access Protocol</w:t>
      </w:r>
      <w:r>
        <w:rPr>
          <w:rFonts w:hint="eastAsia" w:asciiTheme="minorEastAsia" w:hAnsiTheme="minorEastAsia" w:eastAsiaTheme="minorEastAsia"/>
          <w:sz w:val="24"/>
          <w:szCs w:val="24"/>
        </w:rPr>
        <w:t>，简单对象访问协议）</w:t>
      </w:r>
      <w:bookmarkEnd w:id="162"/>
    </w:p>
    <w:p>
      <w:pPr>
        <w:pStyle w:val="59"/>
        <w:spacing w:line="360" w:lineRule="auto"/>
        <w:ind w:firstLine="561" w:firstLineChars="234"/>
        <w:rPr>
          <w:rFonts w:asciiTheme="minorEastAsia" w:hAnsiTheme="minorEastAsia" w:eastAsiaTheme="minorEastAsia"/>
          <w:sz w:val="24"/>
          <w:szCs w:val="24"/>
        </w:rPr>
      </w:pPr>
      <w:bookmarkStart w:id="163" w:name="_Toc340507390"/>
      <w:r>
        <w:rPr>
          <w:rFonts w:asciiTheme="minorEastAsia" w:hAnsiTheme="minorEastAsia" w:eastAsiaTheme="minorEastAsia"/>
          <w:sz w:val="24"/>
          <w:szCs w:val="24"/>
        </w:rPr>
        <w:t>SOAP</w:t>
      </w:r>
      <w:r>
        <w:rPr>
          <w:rFonts w:hint="eastAsia" w:asciiTheme="minorEastAsia" w:hAnsiTheme="minorEastAsia" w:eastAsiaTheme="minorEastAsia"/>
          <w:sz w:val="24"/>
          <w:szCs w:val="24"/>
        </w:rPr>
        <w:t>是目前被广泛接受的消息传输协议。</w:t>
      </w:r>
      <w:r>
        <w:rPr>
          <w:rFonts w:asciiTheme="minorEastAsia" w:hAnsiTheme="minorEastAsia" w:eastAsiaTheme="minorEastAsia"/>
          <w:sz w:val="24"/>
          <w:szCs w:val="24"/>
        </w:rPr>
        <w:t>SOAP</w:t>
      </w:r>
      <w:r>
        <w:rPr>
          <w:rFonts w:hint="eastAsia" w:asciiTheme="minorEastAsia" w:hAnsiTheme="minorEastAsia" w:eastAsiaTheme="minorEastAsia"/>
          <w:sz w:val="24"/>
          <w:szCs w:val="24"/>
        </w:rPr>
        <w:t>是一个为信息交换设计的轻量协议，用于在网络应用程序之间交换结构化数据，是一种基于</w:t>
      </w:r>
      <w:r>
        <w:rPr>
          <w:rFonts w:asciiTheme="minorEastAsia" w:hAnsiTheme="minorEastAsia" w:eastAsiaTheme="minorEastAsia"/>
          <w:sz w:val="24"/>
          <w:szCs w:val="24"/>
        </w:rPr>
        <w:t>XML</w:t>
      </w:r>
      <w:r>
        <w:rPr>
          <w:rFonts w:hint="eastAsia" w:asciiTheme="minorEastAsia" w:hAnsiTheme="minorEastAsia" w:eastAsiaTheme="minorEastAsia"/>
          <w:sz w:val="24"/>
          <w:szCs w:val="24"/>
        </w:rPr>
        <w:t>的机制。</w:t>
      </w:r>
      <w:r>
        <w:rPr>
          <w:rFonts w:asciiTheme="minorEastAsia" w:hAnsiTheme="minorEastAsia" w:eastAsiaTheme="minorEastAsia"/>
          <w:sz w:val="24"/>
          <w:szCs w:val="24"/>
        </w:rPr>
        <w:t>SOAP</w:t>
      </w:r>
      <w:r>
        <w:rPr>
          <w:rFonts w:hint="eastAsia" w:asciiTheme="minorEastAsia" w:hAnsiTheme="minorEastAsia" w:eastAsiaTheme="minorEastAsia"/>
          <w:sz w:val="24"/>
          <w:szCs w:val="24"/>
        </w:rPr>
        <w:t>主要是在分布的、分散的环境中提供了一个跨</w:t>
      </w:r>
      <w:r>
        <w:rPr>
          <w:rFonts w:asciiTheme="minorEastAsia" w:hAnsiTheme="minorEastAsia" w:eastAsiaTheme="minorEastAsia"/>
          <w:sz w:val="24"/>
          <w:szCs w:val="24"/>
        </w:rPr>
        <w:t>Internet</w:t>
      </w:r>
      <w:r>
        <w:rPr>
          <w:rFonts w:hint="eastAsia" w:asciiTheme="minorEastAsia" w:hAnsiTheme="minorEastAsia" w:eastAsiaTheme="minorEastAsia"/>
          <w:sz w:val="24"/>
          <w:szCs w:val="24"/>
        </w:rPr>
        <w:t>调用服务的框架结构，并提供了独立于编程语言和分布对象底层基础结构的跨平台集成机制。</w:t>
      </w:r>
      <w:r>
        <w:rPr>
          <w:rFonts w:asciiTheme="minorEastAsia" w:hAnsiTheme="minorEastAsia" w:eastAsiaTheme="minorEastAsia"/>
          <w:sz w:val="24"/>
          <w:szCs w:val="24"/>
        </w:rPr>
        <w:t>SOAP</w:t>
      </w:r>
      <w:r>
        <w:rPr>
          <w:rFonts w:hint="eastAsia" w:asciiTheme="minorEastAsia" w:hAnsiTheme="minorEastAsia" w:eastAsiaTheme="minorEastAsia"/>
          <w:sz w:val="24"/>
          <w:szCs w:val="24"/>
        </w:rPr>
        <w:t>代表了</w:t>
      </w:r>
      <w:r>
        <w:rPr>
          <w:rFonts w:asciiTheme="minorEastAsia" w:hAnsiTheme="minorEastAsia" w:eastAsiaTheme="minorEastAsia"/>
          <w:sz w:val="24"/>
          <w:szCs w:val="24"/>
        </w:rPr>
        <w:t xml:space="preserve">xml-rpc </w:t>
      </w:r>
      <w:r>
        <w:rPr>
          <w:rFonts w:hint="eastAsia" w:asciiTheme="minorEastAsia" w:hAnsiTheme="minorEastAsia" w:eastAsiaTheme="minorEastAsia"/>
          <w:sz w:val="24"/>
          <w:szCs w:val="24"/>
        </w:rPr>
        <w:t>的发展，已经被</w:t>
      </w:r>
      <w:r>
        <w:rPr>
          <w:rFonts w:asciiTheme="minorEastAsia" w:hAnsiTheme="minorEastAsia" w:eastAsiaTheme="minorEastAsia"/>
          <w:sz w:val="24"/>
          <w:szCs w:val="24"/>
        </w:rPr>
        <w:t>W3C</w:t>
      </w:r>
      <w:r>
        <w:rPr>
          <w:rFonts w:hint="eastAsia" w:asciiTheme="minorEastAsia" w:hAnsiTheme="minorEastAsia" w:eastAsiaTheme="minorEastAsia"/>
          <w:sz w:val="24"/>
          <w:szCs w:val="24"/>
        </w:rPr>
        <w:t>作为一种</w:t>
      </w:r>
      <w:r>
        <w:rPr>
          <w:rFonts w:asciiTheme="minorEastAsia" w:hAnsiTheme="minorEastAsia" w:eastAsiaTheme="minorEastAsia"/>
          <w:sz w:val="24"/>
          <w:szCs w:val="24"/>
        </w:rPr>
        <w:t>Internet</w:t>
      </w:r>
      <w:r>
        <w:rPr>
          <w:rFonts w:hint="eastAsia" w:asciiTheme="minorEastAsia" w:hAnsiTheme="minorEastAsia" w:eastAsiaTheme="minorEastAsia"/>
          <w:sz w:val="24"/>
          <w:szCs w:val="24"/>
        </w:rPr>
        <w:t>标准采纳。</w:t>
      </w:r>
      <w:bookmarkEnd w:id="163"/>
    </w:p>
    <w:p>
      <w:pPr>
        <w:pStyle w:val="59"/>
        <w:spacing w:line="360" w:lineRule="auto"/>
        <w:ind w:firstLine="561" w:firstLineChars="234"/>
        <w:rPr>
          <w:rFonts w:asciiTheme="minorEastAsia" w:hAnsiTheme="minorEastAsia" w:eastAsiaTheme="minorEastAsia"/>
          <w:sz w:val="24"/>
          <w:szCs w:val="24"/>
        </w:rPr>
      </w:pPr>
      <w:bookmarkStart w:id="164" w:name="_Toc340507413"/>
      <w:r>
        <w:rPr>
          <w:rFonts w:hint="eastAsia" w:asciiTheme="minorEastAsia" w:hAnsiTheme="minorEastAsia" w:eastAsiaTheme="minorEastAsia"/>
          <w:sz w:val="24"/>
          <w:szCs w:val="24"/>
        </w:rPr>
        <w:t>五、</w:t>
      </w:r>
      <w:r>
        <w:rPr>
          <w:rFonts w:asciiTheme="minorEastAsia" w:hAnsiTheme="minorEastAsia" w:eastAsiaTheme="minorEastAsia"/>
          <w:sz w:val="24"/>
          <w:szCs w:val="24"/>
        </w:rPr>
        <w:t>WSDL</w:t>
      </w:r>
      <w:r>
        <w:rPr>
          <w:rFonts w:hint="eastAsia" w:asciiTheme="minorEastAsia" w:hAnsiTheme="minorEastAsia" w:eastAsiaTheme="minorEastAsia"/>
          <w:sz w:val="24"/>
          <w:szCs w:val="24"/>
        </w:rPr>
        <w:t>（</w:t>
      </w:r>
      <w:r>
        <w:rPr>
          <w:rFonts w:asciiTheme="minorEastAsia" w:hAnsiTheme="minorEastAsia" w:eastAsiaTheme="minorEastAsia"/>
          <w:sz w:val="24"/>
          <w:szCs w:val="24"/>
        </w:rPr>
        <w:t>Web Services Description Language</w:t>
      </w:r>
      <w:r>
        <w:rPr>
          <w:rFonts w:hint="eastAsia" w:asciiTheme="minorEastAsia" w:hAnsiTheme="minorEastAsia" w:eastAsiaTheme="minorEastAsia"/>
          <w:sz w:val="24"/>
          <w:szCs w:val="24"/>
        </w:rPr>
        <w:t>，</w:t>
      </w:r>
      <w:r>
        <w:rPr>
          <w:rFonts w:asciiTheme="minorEastAsia" w:hAnsiTheme="minorEastAsia" w:eastAsiaTheme="minorEastAsia"/>
          <w:sz w:val="24"/>
          <w:szCs w:val="24"/>
        </w:rPr>
        <w:t>Web</w:t>
      </w:r>
      <w:r>
        <w:rPr>
          <w:rFonts w:hint="eastAsia" w:asciiTheme="minorEastAsia" w:hAnsiTheme="minorEastAsia" w:eastAsiaTheme="minorEastAsia"/>
          <w:sz w:val="24"/>
          <w:szCs w:val="24"/>
        </w:rPr>
        <w:t>服务描述语言）</w:t>
      </w:r>
      <w:bookmarkEnd w:id="164"/>
    </w:p>
    <w:p>
      <w:pPr>
        <w:pStyle w:val="59"/>
        <w:spacing w:line="360" w:lineRule="auto"/>
        <w:ind w:firstLine="561" w:firstLineChars="234"/>
        <w:rPr>
          <w:rFonts w:asciiTheme="minorEastAsia" w:hAnsiTheme="minorEastAsia" w:eastAsiaTheme="minorEastAsia"/>
          <w:sz w:val="24"/>
          <w:szCs w:val="24"/>
        </w:rPr>
      </w:pPr>
      <w:bookmarkStart w:id="165" w:name="_Toc340507414"/>
      <w:r>
        <w:rPr>
          <w:rFonts w:asciiTheme="minorEastAsia" w:hAnsiTheme="minorEastAsia" w:eastAsiaTheme="minorEastAsia"/>
          <w:sz w:val="24"/>
          <w:szCs w:val="24"/>
        </w:rPr>
        <w:t>Web</w:t>
      </w:r>
      <w:r>
        <w:rPr>
          <w:rFonts w:hint="eastAsia" w:asciiTheme="minorEastAsia" w:hAnsiTheme="minorEastAsia" w:eastAsiaTheme="minorEastAsia"/>
          <w:sz w:val="24"/>
          <w:szCs w:val="24"/>
        </w:rPr>
        <w:t>服务的目标之一是允许应用程序以标准的方式在两个或多个同等的服务之间进行选择，因为有时应用可以由作为支持网络的服务而实现的构件构造而成，甚至可以从这些服务中进行动态选择。服务描述层定义了为程序提供足够信息所需的描述机制，使程序能够根据一定的准则选择服务，如服务的质量、安全性、可靠性等。</w:t>
      </w:r>
      <w:bookmarkEnd w:id="165"/>
    </w:p>
    <w:p>
      <w:pPr>
        <w:pStyle w:val="59"/>
        <w:spacing w:line="360" w:lineRule="auto"/>
        <w:ind w:firstLine="561" w:firstLineChars="234"/>
        <w:rPr>
          <w:rFonts w:asciiTheme="minorEastAsia" w:hAnsiTheme="minorEastAsia" w:eastAsiaTheme="minorEastAsia"/>
          <w:sz w:val="24"/>
          <w:szCs w:val="24"/>
        </w:rPr>
      </w:pPr>
      <w:bookmarkStart w:id="166" w:name="_Toc340507415"/>
      <w:r>
        <w:rPr>
          <w:rFonts w:hint="eastAsia" w:asciiTheme="minorEastAsia" w:hAnsiTheme="minorEastAsia" w:eastAsiaTheme="minorEastAsia"/>
          <w:sz w:val="24"/>
          <w:szCs w:val="24"/>
        </w:rPr>
        <w:t>到</w:t>
      </w:r>
      <w:r>
        <w:rPr>
          <w:rFonts w:asciiTheme="minorEastAsia" w:hAnsiTheme="minorEastAsia" w:eastAsiaTheme="minorEastAsia"/>
          <w:sz w:val="24"/>
          <w:szCs w:val="24"/>
        </w:rPr>
        <w:t>Web</w:t>
      </w:r>
      <w:r>
        <w:rPr>
          <w:rFonts w:hint="eastAsia" w:asciiTheme="minorEastAsia" w:hAnsiTheme="minorEastAsia" w:eastAsiaTheme="minorEastAsia"/>
          <w:sz w:val="24"/>
          <w:szCs w:val="24"/>
        </w:rPr>
        <w:t>服务的接口由基于</w:t>
      </w:r>
      <w:r>
        <w:rPr>
          <w:rFonts w:asciiTheme="minorEastAsia" w:hAnsiTheme="minorEastAsia" w:eastAsiaTheme="minorEastAsia"/>
          <w:sz w:val="24"/>
          <w:szCs w:val="24"/>
        </w:rPr>
        <w:t>XML</w:t>
      </w:r>
      <w:r>
        <w:rPr>
          <w:rFonts w:hint="eastAsia" w:asciiTheme="minorEastAsia" w:hAnsiTheme="minorEastAsia" w:eastAsiaTheme="minorEastAsia"/>
          <w:sz w:val="24"/>
          <w:szCs w:val="24"/>
        </w:rPr>
        <w:t>的</w:t>
      </w:r>
      <w:r>
        <w:rPr>
          <w:rFonts w:asciiTheme="minorEastAsia" w:hAnsiTheme="minorEastAsia" w:eastAsiaTheme="minorEastAsia"/>
          <w:sz w:val="24"/>
          <w:szCs w:val="24"/>
        </w:rPr>
        <w:t>WSDL</w:t>
      </w:r>
      <w:r>
        <w:rPr>
          <w:rFonts w:hint="eastAsia" w:asciiTheme="minorEastAsia" w:hAnsiTheme="minorEastAsia" w:eastAsiaTheme="minorEastAsia"/>
          <w:sz w:val="24"/>
          <w:szCs w:val="24"/>
        </w:rPr>
        <w:t>定义，它提供了应用访问指定的</w:t>
      </w:r>
      <w:r>
        <w:rPr>
          <w:rFonts w:asciiTheme="minorEastAsia" w:hAnsiTheme="minorEastAsia" w:eastAsiaTheme="minorEastAsia"/>
          <w:sz w:val="24"/>
          <w:szCs w:val="24"/>
        </w:rPr>
        <w:t>Web</w:t>
      </w:r>
      <w:r>
        <w:rPr>
          <w:rFonts w:hint="eastAsia" w:asciiTheme="minorEastAsia" w:hAnsiTheme="minorEastAsia" w:eastAsiaTheme="minorEastAsia"/>
          <w:sz w:val="24"/>
          <w:szCs w:val="24"/>
        </w:rPr>
        <w:t>服务所必需的全部信息，描述服务提供了什么功能、服务位于何处以及服务如何调用。</w:t>
      </w:r>
      <w:bookmarkEnd w:id="166"/>
    </w:p>
    <w:p>
      <w:pPr>
        <w:pStyle w:val="59"/>
        <w:spacing w:line="360" w:lineRule="auto"/>
        <w:ind w:firstLine="561" w:firstLineChars="234"/>
        <w:rPr>
          <w:rFonts w:asciiTheme="minorEastAsia" w:hAnsiTheme="minorEastAsia" w:eastAsiaTheme="minorEastAsia"/>
          <w:sz w:val="24"/>
          <w:szCs w:val="24"/>
        </w:rPr>
      </w:pPr>
      <w:bookmarkStart w:id="167" w:name="_Toc340507428"/>
      <w:r>
        <w:rPr>
          <w:rFonts w:hint="eastAsia" w:asciiTheme="minorEastAsia" w:hAnsiTheme="minorEastAsia" w:eastAsiaTheme="minorEastAsia"/>
          <w:sz w:val="24"/>
          <w:szCs w:val="24"/>
        </w:rPr>
        <w:t>六、</w:t>
      </w:r>
      <w:r>
        <w:rPr>
          <w:rFonts w:asciiTheme="minorEastAsia" w:hAnsiTheme="minorEastAsia" w:eastAsiaTheme="minorEastAsia"/>
          <w:sz w:val="24"/>
          <w:szCs w:val="24"/>
        </w:rPr>
        <w:t>UDDI</w:t>
      </w:r>
      <w:r>
        <w:rPr>
          <w:rFonts w:hint="eastAsia" w:asciiTheme="minorEastAsia" w:hAnsiTheme="minorEastAsia" w:eastAsiaTheme="minorEastAsia"/>
          <w:sz w:val="24"/>
          <w:szCs w:val="24"/>
        </w:rPr>
        <w:t>（</w:t>
      </w:r>
      <w:r>
        <w:rPr>
          <w:rFonts w:asciiTheme="minorEastAsia" w:hAnsiTheme="minorEastAsia" w:eastAsiaTheme="minorEastAsia"/>
          <w:sz w:val="24"/>
          <w:szCs w:val="24"/>
        </w:rPr>
        <w:t>Universal Description</w:t>
      </w:r>
      <w:r>
        <w:rPr>
          <w:rFonts w:hint="eastAsia" w:asciiTheme="minorEastAsia" w:hAnsiTheme="minorEastAsia" w:eastAsiaTheme="minorEastAsia"/>
          <w:sz w:val="24"/>
          <w:szCs w:val="24"/>
        </w:rPr>
        <w:t>，</w:t>
      </w:r>
      <w:r>
        <w:rPr>
          <w:rFonts w:asciiTheme="minorEastAsia" w:hAnsiTheme="minorEastAsia" w:eastAsiaTheme="minorEastAsia"/>
          <w:sz w:val="24"/>
          <w:szCs w:val="24"/>
        </w:rPr>
        <w:t>Discovery</w:t>
      </w:r>
      <w:r>
        <w:rPr>
          <w:rFonts w:hint="eastAsia" w:asciiTheme="minorEastAsia" w:hAnsiTheme="minorEastAsia" w:eastAsiaTheme="minorEastAsia"/>
          <w:sz w:val="24"/>
          <w:szCs w:val="24"/>
        </w:rPr>
        <w:t>，</w:t>
      </w:r>
      <w:r>
        <w:rPr>
          <w:rFonts w:asciiTheme="minorEastAsia" w:hAnsiTheme="minorEastAsia" w:eastAsiaTheme="minorEastAsia"/>
          <w:sz w:val="24"/>
          <w:szCs w:val="24"/>
        </w:rPr>
        <w:t>and Integration</w:t>
      </w:r>
      <w:r>
        <w:rPr>
          <w:rFonts w:hint="eastAsia" w:asciiTheme="minorEastAsia" w:hAnsiTheme="minorEastAsia" w:eastAsiaTheme="minorEastAsia"/>
          <w:sz w:val="24"/>
          <w:szCs w:val="24"/>
        </w:rPr>
        <w:t>，统一描述、发现和集成）</w:t>
      </w:r>
      <w:bookmarkEnd w:id="167"/>
    </w:p>
    <w:p>
      <w:pPr>
        <w:pStyle w:val="59"/>
        <w:spacing w:line="360" w:lineRule="auto"/>
        <w:ind w:firstLine="561" w:firstLineChars="234"/>
        <w:rPr>
          <w:rFonts w:asciiTheme="minorEastAsia" w:hAnsiTheme="minorEastAsia" w:eastAsiaTheme="minorEastAsia"/>
          <w:sz w:val="24"/>
          <w:szCs w:val="24"/>
        </w:rPr>
      </w:pPr>
      <w:bookmarkStart w:id="168" w:name="_Toc340507430"/>
      <w:r>
        <w:rPr>
          <w:rFonts w:asciiTheme="minorEastAsia" w:hAnsiTheme="minorEastAsia" w:eastAsiaTheme="minorEastAsia"/>
          <w:sz w:val="24"/>
          <w:szCs w:val="24"/>
        </w:rPr>
        <w:t>UDDI</w:t>
      </w:r>
      <w:r>
        <w:rPr>
          <w:rFonts w:hint="eastAsia" w:asciiTheme="minorEastAsia" w:hAnsiTheme="minorEastAsia" w:eastAsiaTheme="minorEastAsia"/>
          <w:sz w:val="24"/>
          <w:szCs w:val="24"/>
        </w:rPr>
        <w:t>是一套基于</w:t>
      </w:r>
      <w:r>
        <w:rPr>
          <w:rFonts w:asciiTheme="minorEastAsia" w:hAnsiTheme="minorEastAsia" w:eastAsiaTheme="minorEastAsia"/>
          <w:sz w:val="24"/>
          <w:szCs w:val="24"/>
        </w:rPr>
        <w:t>Web</w:t>
      </w:r>
      <w:r>
        <w:rPr>
          <w:rFonts w:hint="eastAsia" w:asciiTheme="minorEastAsia" w:hAnsiTheme="minorEastAsia" w:eastAsiaTheme="minorEastAsia"/>
          <w:sz w:val="24"/>
          <w:szCs w:val="24"/>
        </w:rPr>
        <w:t>的、分布式的、为</w:t>
      </w:r>
      <w:r>
        <w:rPr>
          <w:rFonts w:asciiTheme="minorEastAsia" w:hAnsiTheme="minorEastAsia" w:eastAsiaTheme="minorEastAsia"/>
          <w:sz w:val="24"/>
          <w:szCs w:val="24"/>
        </w:rPr>
        <w:t>Web</w:t>
      </w:r>
      <w:r>
        <w:rPr>
          <w:rFonts w:hint="eastAsia" w:asciiTheme="minorEastAsia" w:hAnsiTheme="minorEastAsia" w:eastAsiaTheme="minorEastAsia"/>
          <w:sz w:val="24"/>
          <w:szCs w:val="24"/>
        </w:rPr>
        <w:t>服务提供的信息注册中心的实现标准规范，同时也包含一组使企业能将自身提供的</w:t>
      </w:r>
      <w:r>
        <w:rPr>
          <w:rFonts w:asciiTheme="minorEastAsia" w:hAnsiTheme="minorEastAsia" w:eastAsiaTheme="minorEastAsia"/>
          <w:sz w:val="24"/>
          <w:szCs w:val="24"/>
        </w:rPr>
        <w:t>Web</w:t>
      </w:r>
      <w:r>
        <w:rPr>
          <w:rFonts w:hint="eastAsia" w:asciiTheme="minorEastAsia" w:hAnsiTheme="minorEastAsia" w:eastAsiaTheme="minorEastAsia"/>
          <w:sz w:val="24"/>
          <w:szCs w:val="24"/>
        </w:rPr>
        <w:t>服务注册以使别的企业能够发现的访问协议的实现标准。</w:t>
      </w:r>
      <w:bookmarkEnd w:id="168"/>
    </w:p>
    <w:p>
      <w:pPr>
        <w:pStyle w:val="59"/>
        <w:spacing w:line="360" w:lineRule="auto"/>
        <w:ind w:firstLine="561" w:firstLineChars="234"/>
        <w:rPr>
          <w:rFonts w:asciiTheme="minorEastAsia" w:hAnsiTheme="minorEastAsia" w:eastAsiaTheme="minorEastAsia"/>
          <w:sz w:val="24"/>
          <w:szCs w:val="24"/>
        </w:rPr>
      </w:pPr>
      <w:bookmarkStart w:id="169" w:name="_Toc340507450"/>
      <w:r>
        <w:rPr>
          <w:rFonts w:hint="eastAsia" w:asciiTheme="minorEastAsia" w:hAnsiTheme="minorEastAsia" w:eastAsiaTheme="minorEastAsia"/>
          <w:sz w:val="24"/>
          <w:szCs w:val="24"/>
        </w:rPr>
        <w:t>七、服务集成和工作流</w:t>
      </w:r>
      <w:bookmarkEnd w:id="169"/>
    </w:p>
    <w:p>
      <w:pPr>
        <w:pStyle w:val="59"/>
        <w:spacing w:line="360" w:lineRule="auto"/>
        <w:ind w:firstLine="561" w:firstLineChars="234"/>
        <w:rPr>
          <w:rFonts w:asciiTheme="minorEastAsia" w:hAnsiTheme="minorEastAsia" w:eastAsiaTheme="minorEastAsia"/>
          <w:sz w:val="24"/>
          <w:szCs w:val="24"/>
        </w:rPr>
      </w:pPr>
      <w:bookmarkStart w:id="170" w:name="_Toc340507451"/>
      <w:r>
        <w:rPr>
          <w:rFonts w:hint="eastAsia" w:asciiTheme="minorEastAsia" w:hAnsiTheme="minorEastAsia" w:eastAsiaTheme="minorEastAsia"/>
          <w:sz w:val="24"/>
          <w:szCs w:val="24"/>
        </w:rPr>
        <w:t>工作流的概念在设计电子商务应用时愈加重要。当一个企业需要集成来自多方的</w:t>
      </w:r>
      <w:r>
        <w:rPr>
          <w:rFonts w:asciiTheme="minorEastAsia" w:hAnsiTheme="minorEastAsia" w:eastAsiaTheme="minorEastAsia"/>
          <w:sz w:val="24"/>
          <w:szCs w:val="24"/>
        </w:rPr>
        <w:t>Web</w:t>
      </w:r>
      <w:r>
        <w:rPr>
          <w:rFonts w:hint="eastAsia" w:asciiTheme="minorEastAsia" w:hAnsiTheme="minorEastAsia" w:eastAsiaTheme="minorEastAsia"/>
          <w:sz w:val="24"/>
          <w:szCs w:val="24"/>
        </w:rPr>
        <w:t>服务并为终端用户组织这些服务时，必须掌握其系统的过程和顺序。对于这些具有异步特征的应用，适合使用工作流引擎。要使</w:t>
      </w:r>
      <w:r>
        <w:rPr>
          <w:rFonts w:asciiTheme="minorEastAsia" w:hAnsiTheme="minorEastAsia" w:eastAsiaTheme="minorEastAsia"/>
          <w:sz w:val="24"/>
          <w:szCs w:val="24"/>
        </w:rPr>
        <w:t>Web</w:t>
      </w:r>
      <w:r>
        <w:rPr>
          <w:rFonts w:hint="eastAsia" w:asciiTheme="minorEastAsia" w:hAnsiTheme="minorEastAsia" w:eastAsiaTheme="minorEastAsia"/>
          <w:sz w:val="24"/>
          <w:szCs w:val="24"/>
        </w:rPr>
        <w:t>服务的实现不仅仅停留在简单的请求</w:t>
      </w:r>
      <w:r>
        <w:rPr>
          <w:rFonts w:asciiTheme="minorEastAsia" w:hAnsiTheme="minorEastAsia" w:eastAsiaTheme="minorEastAsia"/>
          <w:sz w:val="24"/>
          <w:szCs w:val="24"/>
        </w:rPr>
        <w:t>/</w:t>
      </w:r>
      <w:r>
        <w:rPr>
          <w:rFonts w:hint="eastAsia" w:asciiTheme="minorEastAsia" w:hAnsiTheme="minorEastAsia" w:eastAsiaTheme="minorEastAsia"/>
          <w:sz w:val="24"/>
          <w:szCs w:val="24"/>
        </w:rPr>
        <w:t>响应模式上，商业过程协作和工作流是必不可少的，其中包括跨企业边界的</w:t>
      </w:r>
      <w:r>
        <w:rPr>
          <w:rFonts w:asciiTheme="minorEastAsia" w:hAnsiTheme="minorEastAsia" w:eastAsiaTheme="minorEastAsia"/>
          <w:sz w:val="24"/>
          <w:szCs w:val="24"/>
        </w:rPr>
        <w:t>Web</w:t>
      </w:r>
      <w:r>
        <w:rPr>
          <w:rFonts w:hint="eastAsia" w:asciiTheme="minorEastAsia" w:hAnsiTheme="minorEastAsia" w:eastAsiaTheme="minorEastAsia"/>
          <w:sz w:val="24"/>
          <w:szCs w:val="24"/>
        </w:rPr>
        <w:t>服务的合成与自动化。要成功进行企业间的自动化和协作的必需条件是要有一个标准化的商业协议来描述这些商业过程。服务工作流领域目前尚未形成固定的标准，有一定影响的是</w:t>
      </w:r>
      <w:r>
        <w:rPr>
          <w:rFonts w:asciiTheme="minorEastAsia" w:hAnsiTheme="minorEastAsia" w:eastAsiaTheme="minorEastAsia"/>
          <w:sz w:val="24"/>
          <w:szCs w:val="24"/>
        </w:rPr>
        <w:t>WSFL</w:t>
      </w:r>
      <w:r>
        <w:rPr>
          <w:rFonts w:hint="eastAsia" w:asciiTheme="minorEastAsia" w:hAnsiTheme="minorEastAsia" w:eastAsiaTheme="minorEastAsia"/>
          <w:sz w:val="24"/>
          <w:szCs w:val="24"/>
        </w:rPr>
        <w:t>、</w:t>
      </w:r>
      <w:r>
        <w:rPr>
          <w:rFonts w:asciiTheme="minorEastAsia" w:hAnsiTheme="minorEastAsia" w:eastAsiaTheme="minorEastAsia"/>
          <w:sz w:val="24"/>
          <w:szCs w:val="24"/>
        </w:rPr>
        <w:t>Xlang</w:t>
      </w:r>
      <w:r>
        <w:rPr>
          <w:rFonts w:hint="eastAsia" w:asciiTheme="minorEastAsia" w:hAnsiTheme="minorEastAsia" w:eastAsiaTheme="minorEastAsia"/>
          <w:sz w:val="24"/>
          <w:szCs w:val="24"/>
        </w:rPr>
        <w:t>以及</w:t>
      </w:r>
      <w:r>
        <w:rPr>
          <w:rFonts w:asciiTheme="minorEastAsia" w:hAnsiTheme="minorEastAsia" w:eastAsiaTheme="minorEastAsia"/>
          <w:sz w:val="24"/>
          <w:szCs w:val="24"/>
        </w:rPr>
        <w:t>BPMI</w:t>
      </w:r>
      <w:r>
        <w:rPr>
          <w:rFonts w:hint="eastAsia" w:asciiTheme="minorEastAsia" w:hAnsiTheme="minorEastAsia" w:eastAsiaTheme="minorEastAsia"/>
          <w:sz w:val="24"/>
          <w:szCs w:val="24"/>
        </w:rPr>
        <w:t>。</w:t>
      </w:r>
      <w:bookmarkEnd w:id="170"/>
    </w:p>
    <w:p>
      <w:pPr>
        <w:spacing w:line="360" w:lineRule="auto"/>
      </w:pPr>
    </w:p>
    <w:p>
      <w:pPr>
        <w:pStyle w:val="4"/>
        <w:numPr>
          <w:ilvl w:val="2"/>
          <w:numId w:val="3"/>
        </w:numPr>
        <w:spacing w:before="0" w:after="0" w:line="360" w:lineRule="auto"/>
        <w:ind w:left="0" w:leftChars="0" w:firstLine="402" w:firstLineChars="0"/>
      </w:pPr>
      <w:bookmarkStart w:id="171" w:name="_Toc442308310"/>
      <w:bookmarkStart w:id="172" w:name="_Toc22202"/>
      <w:r>
        <w:rPr>
          <w:rFonts w:hint="eastAsia"/>
        </w:rPr>
        <w:t>3.2.6 XML数据交换标准</w:t>
      </w:r>
      <w:bookmarkEnd w:id="171"/>
      <w:bookmarkEnd w:id="172"/>
    </w:p>
    <w:p>
      <w:pPr>
        <w:spacing w:line="360" w:lineRule="auto"/>
        <w:ind w:firstLine="640"/>
        <w:rPr>
          <w:rFonts w:asciiTheme="minorEastAsia" w:hAnsiTheme="minorEastAsia"/>
          <w:sz w:val="24"/>
          <w:szCs w:val="24"/>
        </w:rPr>
      </w:pPr>
      <w:r>
        <w:rPr>
          <w:rFonts w:asciiTheme="minorEastAsia" w:hAnsiTheme="minorEastAsia"/>
          <w:sz w:val="24"/>
          <w:szCs w:val="24"/>
        </w:rPr>
        <w:t>XML数据传输是不同系统之间日渐流行的标准数据传输方式，由于与平台和编程语言的无关性，因此，通过XML可以有效保证对各种异构系统的数据接口需要，以达到政府各系统数据资源的最优整合。</w:t>
      </w:r>
      <w:r>
        <w:rPr>
          <w:rFonts w:hint="eastAsia" w:asciiTheme="minorEastAsia" w:hAnsiTheme="minorEastAsia"/>
          <w:sz w:val="24"/>
          <w:szCs w:val="24"/>
        </w:rPr>
        <w:t>其</w:t>
      </w:r>
      <w:r>
        <w:rPr>
          <w:rFonts w:asciiTheme="minorEastAsia" w:hAnsiTheme="minorEastAsia"/>
          <w:sz w:val="24"/>
          <w:szCs w:val="24"/>
        </w:rPr>
        <w:t>特点：</w:t>
      </w:r>
    </w:p>
    <w:p>
      <w:pPr>
        <w:numPr>
          <w:ilvl w:val="0"/>
          <w:numId w:val="24"/>
        </w:numPr>
        <w:spacing w:line="360" w:lineRule="auto"/>
        <w:ind w:firstLine="200"/>
        <w:rPr>
          <w:rFonts w:asciiTheme="minorEastAsia" w:hAnsiTheme="minorEastAsia"/>
          <w:sz w:val="24"/>
          <w:szCs w:val="24"/>
        </w:rPr>
      </w:pPr>
      <w:r>
        <w:rPr>
          <w:rFonts w:asciiTheme="minorEastAsia" w:hAnsiTheme="minorEastAsia"/>
          <w:sz w:val="24"/>
          <w:szCs w:val="24"/>
        </w:rPr>
        <w:t>适于异构应用间的数据共享</w:t>
      </w:r>
    </w:p>
    <w:p>
      <w:pPr>
        <w:spacing w:line="360" w:lineRule="auto"/>
        <w:ind w:firstLine="200"/>
        <w:rPr>
          <w:rFonts w:asciiTheme="minorEastAsia" w:hAnsiTheme="minorEastAsia"/>
          <w:sz w:val="24"/>
          <w:szCs w:val="24"/>
        </w:rPr>
      </w:pPr>
      <w:r>
        <w:rPr>
          <w:rFonts w:asciiTheme="minorEastAsia" w:hAnsiTheme="minorEastAsia"/>
          <w:sz w:val="24"/>
          <w:szCs w:val="24"/>
        </w:rPr>
        <w:t>XML的灵活性和扩展性使其可以对不同应用甚至是差异很大的应用间的数据进行描述，尤其是对于那些专用于记录数据的应用。另外，XML具有自我描述的特性，结果是数据可以在不同的应用间进行交换与处理而不必要求相应的应用程序是针对该数据定制的。</w:t>
      </w:r>
    </w:p>
    <w:p>
      <w:pPr>
        <w:numPr>
          <w:ilvl w:val="0"/>
          <w:numId w:val="24"/>
        </w:numPr>
        <w:spacing w:line="360" w:lineRule="auto"/>
        <w:ind w:firstLine="200"/>
        <w:rPr>
          <w:rFonts w:asciiTheme="minorEastAsia" w:hAnsiTheme="minorEastAsia"/>
          <w:sz w:val="24"/>
          <w:szCs w:val="24"/>
        </w:rPr>
      </w:pPr>
      <w:r>
        <w:rPr>
          <w:rFonts w:asciiTheme="minorEastAsia" w:hAnsiTheme="minorEastAsia"/>
          <w:sz w:val="24"/>
          <w:szCs w:val="24"/>
        </w:rPr>
        <w:t>用于强大的数据检索</w:t>
      </w:r>
    </w:p>
    <w:p>
      <w:pPr>
        <w:spacing w:line="360" w:lineRule="auto"/>
        <w:ind w:firstLine="200"/>
        <w:rPr>
          <w:rFonts w:asciiTheme="minorEastAsia" w:hAnsiTheme="minorEastAsia"/>
          <w:sz w:val="24"/>
          <w:szCs w:val="24"/>
        </w:rPr>
      </w:pPr>
      <w:r>
        <w:rPr>
          <w:rFonts w:asciiTheme="minorEastAsia" w:hAnsiTheme="minorEastAsia"/>
          <w:sz w:val="24"/>
          <w:szCs w:val="24"/>
        </w:rPr>
        <w:t>XML属于元标记语言，进一步讲，根据这一特性，用户只要在XML的文档类型定义文件中定义一系列有意义的标记，这样基于该文档类型定义文件所产生的XML文档就可以按照任意的条件进行查询和检索，甚至实现计算机自动检索，而相应的检索引擎可以是通用的而不必局限于具体的应用。</w:t>
      </w:r>
    </w:p>
    <w:p>
      <w:pPr>
        <w:numPr>
          <w:ilvl w:val="0"/>
          <w:numId w:val="24"/>
        </w:numPr>
        <w:spacing w:line="360" w:lineRule="auto"/>
        <w:ind w:firstLine="200"/>
        <w:rPr>
          <w:rFonts w:asciiTheme="minorEastAsia" w:hAnsiTheme="minorEastAsia"/>
          <w:sz w:val="24"/>
          <w:szCs w:val="24"/>
        </w:rPr>
      </w:pPr>
      <w:r>
        <w:rPr>
          <w:rFonts w:asciiTheme="minorEastAsia" w:hAnsiTheme="minorEastAsia"/>
          <w:sz w:val="24"/>
          <w:szCs w:val="24"/>
        </w:rPr>
        <w:t>提供多语种支持</w:t>
      </w:r>
    </w:p>
    <w:p>
      <w:pPr>
        <w:spacing w:line="360" w:lineRule="auto"/>
        <w:rPr>
          <w:rFonts w:asciiTheme="minorEastAsia" w:hAnsiTheme="minorEastAsia"/>
          <w:sz w:val="24"/>
          <w:szCs w:val="24"/>
        </w:rPr>
      </w:pPr>
      <w:r>
        <w:rPr>
          <w:rFonts w:asciiTheme="minorEastAsia" w:hAnsiTheme="minorEastAsia"/>
          <w:sz w:val="24"/>
          <w:szCs w:val="24"/>
        </w:rPr>
        <w:t>XML规范中提供了对多语种的支持，包括UTF-7、UFT-8、UNICODE、GB2312（简体中文）、BIG5（繁体中文）等等，这一特点使得XML非常有利于多语种的应用开发。</w:t>
      </w:r>
    </w:p>
    <w:p>
      <w:pPr>
        <w:spacing w:line="360" w:lineRule="auto"/>
        <w:rPr>
          <w:rFonts w:asciiTheme="minorEastAsia" w:hAnsiTheme="minorEastAsia"/>
          <w:szCs w:val="21"/>
        </w:rPr>
      </w:pPr>
    </w:p>
    <w:p>
      <w:pPr>
        <w:pStyle w:val="2"/>
        <w:pageBreakBefore/>
        <w:numPr>
          <w:ilvl w:val="0"/>
          <w:numId w:val="3"/>
        </w:numPr>
        <w:spacing w:before="0" w:after="0" w:line="360" w:lineRule="auto"/>
        <w:ind w:left="0" w:leftChars="0" w:firstLine="402" w:firstLineChars="0"/>
        <w:jc w:val="left"/>
      </w:pPr>
      <w:r>
        <w:rPr>
          <w:rFonts w:hint="eastAsia"/>
        </w:rPr>
        <w:t xml:space="preserve"> </w:t>
      </w:r>
      <w:bookmarkStart w:id="173" w:name="_Toc31389"/>
      <w:r>
        <w:rPr>
          <w:rFonts w:hint="eastAsia"/>
        </w:rPr>
        <w:t>系统安全解决方案</w:t>
      </w:r>
      <w:bookmarkEnd w:id="173"/>
    </w:p>
    <w:p>
      <w:pPr>
        <w:pStyle w:val="3"/>
        <w:numPr>
          <w:ilvl w:val="1"/>
          <w:numId w:val="3"/>
        </w:numPr>
        <w:spacing w:before="0" w:after="0" w:line="360" w:lineRule="auto"/>
        <w:ind w:left="0" w:leftChars="0" w:firstLine="402" w:firstLineChars="0"/>
      </w:pPr>
      <w:bookmarkStart w:id="174" w:name="_Toc20494"/>
      <w:bookmarkStart w:id="175" w:name="_Toc442308328"/>
      <w:bookmarkStart w:id="176" w:name="_Toc345693984"/>
      <w:bookmarkStart w:id="177" w:name="_Toc442308330"/>
      <w:bookmarkStart w:id="178" w:name="_Toc342910591"/>
      <w:bookmarkStart w:id="179" w:name="_Toc345693986"/>
      <w:bookmarkStart w:id="180" w:name="_Toc343691425"/>
      <w:r>
        <w:rPr>
          <w:rFonts w:hint="eastAsia"/>
        </w:rPr>
        <w:t>安全总体要求</w:t>
      </w:r>
      <w:bookmarkEnd w:id="174"/>
      <w:bookmarkEnd w:id="175"/>
      <w:bookmarkEnd w:id="176"/>
    </w:p>
    <w:p>
      <w:pPr>
        <w:pStyle w:val="16"/>
        <w:keepNext w:val="0"/>
        <w:keepLines w:val="0"/>
        <w:pageBreakBefore w:val="0"/>
        <w:widowControl w:val="0"/>
        <w:numPr>
          <w:ilvl w:val="0"/>
          <w:numId w:val="0"/>
        </w:numPr>
        <w:kinsoku/>
        <w:wordWrap/>
        <w:overflowPunct/>
        <w:topLinePunct w:val="0"/>
        <w:autoSpaceDE/>
        <w:autoSpaceDN/>
        <w:bidi w:val="0"/>
        <w:adjustRightInd/>
        <w:spacing w:beforeLines="100" w:afterLines="50" w:line="360" w:lineRule="auto"/>
        <w:ind w:left="0" w:leftChars="0" w:right="0" w:rightChars="0" w:firstLine="420" w:firstLineChars="0"/>
        <w:jc w:val="both"/>
        <w:textAlignment w:val="auto"/>
        <w:outlineLvl w:val="9"/>
        <w:rPr>
          <w:rFonts w:asciiTheme="minorEastAsia" w:hAnsiTheme="minorEastAsia"/>
          <w:kern w:val="0"/>
          <w:sz w:val="24"/>
          <w:szCs w:val="24"/>
        </w:rPr>
      </w:pPr>
      <w:r>
        <w:rPr>
          <w:rFonts w:hint="eastAsia" w:asciiTheme="minorEastAsia" w:hAnsiTheme="minorEastAsia"/>
          <w:sz w:val="24"/>
          <w:szCs w:val="24"/>
          <w:lang w:val="en-US" w:eastAsia="zh-CN"/>
        </w:rPr>
        <w:t>发票系</w:t>
      </w:r>
      <w:r>
        <w:rPr>
          <w:rFonts w:hint="eastAsia" w:asciiTheme="minorEastAsia" w:hAnsiTheme="minorEastAsia" w:eastAsiaTheme="minorEastAsia"/>
          <w:sz w:val="24"/>
          <w:szCs w:val="24"/>
        </w:rPr>
        <w:t>统的数据安全至关重要，提高应用系统中用户身份认证和数据传输的安全性，实现业务环节的责任认定</w:t>
      </w:r>
      <w:r>
        <w:rPr>
          <w:rFonts w:hint="eastAsia" w:asciiTheme="minorEastAsia" w:hAnsiTheme="minorEastAsia"/>
          <w:sz w:val="24"/>
          <w:szCs w:val="24"/>
          <w:lang w:eastAsia="zh-CN"/>
        </w:rPr>
        <w:t>。</w:t>
      </w:r>
      <w:r>
        <w:rPr>
          <w:rFonts w:hint="eastAsia" w:asciiTheme="minorEastAsia" w:hAnsiTheme="minorEastAsia"/>
          <w:sz w:val="24"/>
          <w:szCs w:val="24"/>
        </w:rPr>
        <w:t>同时遵循国家税务部局关于增值税发票系统的相关安全设计和开发规范。</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asciiTheme="minorEastAsia" w:hAnsiTheme="minorEastAsia"/>
          <w:sz w:val="24"/>
          <w:szCs w:val="24"/>
        </w:rPr>
      </w:pPr>
      <w:r>
        <w:rPr>
          <w:rFonts w:hint="eastAsia" w:asciiTheme="minorEastAsia" w:hAnsiTheme="minorEastAsia"/>
          <w:sz w:val="24"/>
          <w:szCs w:val="24"/>
          <w:lang w:eastAsia="zh-CN"/>
        </w:rPr>
        <w:t>xx</w:t>
      </w:r>
      <w:r>
        <w:rPr>
          <w:rFonts w:hint="eastAsia" w:asciiTheme="minorEastAsia" w:hAnsiTheme="minorEastAsia"/>
          <w:sz w:val="24"/>
          <w:szCs w:val="24"/>
        </w:rPr>
        <w:t>集团有限公司电子收费分公司发票管理系统在设计上和部署上不低于《信息安全等级保护管理办法》三级等级保护的标准，按照国家信息安全等级保护管理规范和技术标准，使用符合国家有关规定，满足信息系统安全保护等级需求的信息技术产品，以适应升级版和电子发票系统的信息安全需求。</w:t>
      </w:r>
    </w:p>
    <w:p>
      <w:pPr>
        <w:pStyle w:val="3"/>
        <w:numPr>
          <w:ilvl w:val="1"/>
          <w:numId w:val="3"/>
        </w:numPr>
        <w:spacing w:before="0" w:after="0" w:line="360" w:lineRule="auto"/>
        <w:ind w:left="0" w:leftChars="0" w:firstLine="402" w:firstLineChars="0"/>
      </w:pPr>
      <w:bookmarkStart w:id="181" w:name="_Toc409"/>
      <w:bookmarkStart w:id="182" w:name="_Toc442308329"/>
      <w:bookmarkStart w:id="183" w:name="_Toc345693985"/>
      <w:r>
        <w:rPr>
          <w:rFonts w:hint="eastAsia"/>
        </w:rPr>
        <w:t>安全策略与措施</w:t>
      </w:r>
      <w:bookmarkEnd w:id="181"/>
      <w:bookmarkEnd w:id="182"/>
      <w:bookmarkEnd w:id="183"/>
    </w:p>
    <w:p>
      <w:pPr>
        <w:snapToGrid w:val="0"/>
        <w:spacing w:line="360" w:lineRule="auto"/>
        <w:ind w:firstLine="480" w:firstLineChars="200"/>
        <w:rPr>
          <w:rFonts w:asciiTheme="minorEastAsia" w:hAnsiTheme="minorEastAsia"/>
          <w:sz w:val="24"/>
          <w:szCs w:val="24"/>
        </w:rPr>
      </w:pPr>
      <w:r>
        <w:rPr>
          <w:rFonts w:hint="eastAsia" w:asciiTheme="minorEastAsia" w:hAnsiTheme="minorEastAsia"/>
          <w:sz w:val="24"/>
          <w:szCs w:val="24"/>
        </w:rPr>
        <w:t>针对增值税系统升级版和电子发票系统采用的安全技术策略和对应的技术措施如下所示：</w:t>
      </w:r>
    </w:p>
    <w:tbl>
      <w:tblPr>
        <w:tblStyle w:val="34"/>
        <w:tblW w:w="8054"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3058"/>
        <w:gridCol w:w="4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blHeader/>
        </w:trPr>
        <w:tc>
          <w:tcPr>
            <w:tcW w:w="3777" w:type="dxa"/>
            <w:gridSpan w:val="2"/>
            <w:shd w:val="clear" w:color="auto" w:fill="E0E0E0"/>
            <w:vAlign w:val="center"/>
          </w:tcPr>
          <w:p>
            <w:pPr>
              <w:pStyle w:val="59"/>
              <w:spacing w:line="360" w:lineRule="auto"/>
              <w:ind w:firstLine="493"/>
            </w:pPr>
            <w:r>
              <w:rPr>
                <w:rFonts w:hint="eastAsia"/>
              </w:rPr>
              <w:t>安全技术策略</w:t>
            </w:r>
          </w:p>
        </w:tc>
        <w:tc>
          <w:tcPr>
            <w:tcW w:w="4277" w:type="dxa"/>
            <w:shd w:val="clear" w:color="auto" w:fill="E0E0E0"/>
            <w:vAlign w:val="center"/>
          </w:tcPr>
          <w:p>
            <w:pPr>
              <w:pStyle w:val="59"/>
              <w:spacing w:line="360" w:lineRule="auto"/>
              <w:ind w:firstLine="493"/>
            </w:pPr>
            <w:r>
              <w:rPr>
                <w:rFonts w:hint="eastAsia"/>
              </w:rPr>
              <w:t>技术措施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3777" w:type="dxa"/>
            <w:gridSpan w:val="2"/>
            <w:vAlign w:val="center"/>
          </w:tcPr>
          <w:p>
            <w:pPr>
              <w:pStyle w:val="59"/>
              <w:spacing w:line="360" w:lineRule="auto"/>
              <w:ind w:firstLine="493"/>
              <w:rPr>
                <w:rFonts w:eastAsiaTheme="minorEastAsia"/>
              </w:rPr>
            </w:pPr>
            <w:r>
              <w:rPr>
                <w:rFonts w:hint="eastAsia" w:eastAsiaTheme="minorEastAsia"/>
              </w:rPr>
              <w:t>物理安全保护策略</w:t>
            </w:r>
          </w:p>
        </w:tc>
        <w:tc>
          <w:tcPr>
            <w:tcW w:w="4277" w:type="dxa"/>
            <w:vAlign w:val="center"/>
          </w:tcPr>
          <w:p>
            <w:pPr>
              <w:pStyle w:val="59"/>
              <w:spacing w:line="360" w:lineRule="auto"/>
              <w:ind w:firstLine="493"/>
              <w:rPr>
                <w:rFonts w:eastAsiaTheme="minorEastAsia"/>
              </w:rPr>
            </w:pPr>
            <w:r>
              <w:rPr>
                <w:rFonts w:hint="eastAsia" w:eastAsiaTheme="minorEastAsia"/>
              </w:rPr>
              <w:t>通过符合相关标准进行机房的建设和改进实现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719" w:type="dxa"/>
            <w:vMerge w:val="restart"/>
            <w:vAlign w:val="center"/>
          </w:tcPr>
          <w:p>
            <w:pPr>
              <w:pStyle w:val="59"/>
              <w:spacing w:line="360" w:lineRule="auto"/>
              <w:ind w:firstLine="0" w:firstLineChars="0"/>
              <w:rPr>
                <w:rFonts w:eastAsiaTheme="minorEastAsia"/>
              </w:rPr>
            </w:pPr>
            <w:r>
              <w:rPr>
                <w:rFonts w:hint="eastAsia" w:eastAsiaTheme="minorEastAsia"/>
              </w:rPr>
              <w:t>网络安全策略</w:t>
            </w:r>
          </w:p>
        </w:tc>
        <w:tc>
          <w:tcPr>
            <w:tcW w:w="3058" w:type="dxa"/>
            <w:vAlign w:val="center"/>
          </w:tcPr>
          <w:p>
            <w:pPr>
              <w:pStyle w:val="59"/>
              <w:spacing w:line="360" w:lineRule="auto"/>
              <w:ind w:firstLine="493"/>
              <w:rPr>
                <w:rFonts w:eastAsiaTheme="minorEastAsia"/>
              </w:rPr>
            </w:pPr>
            <w:r>
              <w:rPr>
                <w:rFonts w:hint="eastAsia" w:eastAsiaTheme="minorEastAsia"/>
              </w:rPr>
              <w:t>严格控制对内网服务区的访问</w:t>
            </w:r>
          </w:p>
        </w:tc>
        <w:tc>
          <w:tcPr>
            <w:tcW w:w="4277" w:type="dxa"/>
            <w:vAlign w:val="center"/>
          </w:tcPr>
          <w:p>
            <w:pPr>
              <w:pStyle w:val="59"/>
              <w:spacing w:line="360" w:lineRule="auto"/>
              <w:ind w:firstLine="493"/>
              <w:rPr>
                <w:rFonts w:eastAsiaTheme="minorEastAsia"/>
              </w:rPr>
            </w:pPr>
            <w:r>
              <w:rPr>
                <w:rFonts w:hint="eastAsia" w:eastAsiaTheme="minorEastAsia"/>
              </w:rPr>
              <w:t>采用防火墙作为边界隔离措施，实现不同网络边界的访问控制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719" w:type="dxa"/>
            <w:vMerge w:val="continue"/>
            <w:vAlign w:val="center"/>
          </w:tcPr>
          <w:p>
            <w:pPr>
              <w:pStyle w:val="59"/>
              <w:spacing w:line="360" w:lineRule="auto"/>
              <w:ind w:firstLine="493"/>
              <w:rPr>
                <w:rFonts w:eastAsiaTheme="minorEastAsia"/>
              </w:rPr>
            </w:pPr>
          </w:p>
        </w:tc>
        <w:tc>
          <w:tcPr>
            <w:tcW w:w="3058" w:type="dxa"/>
            <w:vAlign w:val="center"/>
          </w:tcPr>
          <w:p>
            <w:pPr>
              <w:pStyle w:val="59"/>
              <w:spacing w:line="360" w:lineRule="auto"/>
              <w:ind w:firstLine="493"/>
              <w:rPr>
                <w:rFonts w:eastAsiaTheme="minorEastAsia"/>
              </w:rPr>
            </w:pPr>
            <w:r>
              <w:rPr>
                <w:rFonts w:hint="eastAsia" w:eastAsiaTheme="minorEastAsia"/>
              </w:rPr>
              <w:t>对内网服务区的各种攻击进行检测、分析和响应</w:t>
            </w:r>
          </w:p>
        </w:tc>
        <w:tc>
          <w:tcPr>
            <w:tcW w:w="4277" w:type="dxa"/>
            <w:vAlign w:val="center"/>
          </w:tcPr>
          <w:p>
            <w:pPr>
              <w:pStyle w:val="59"/>
              <w:spacing w:line="360" w:lineRule="auto"/>
              <w:ind w:firstLine="493"/>
              <w:rPr>
                <w:rFonts w:eastAsiaTheme="minorEastAsia"/>
              </w:rPr>
            </w:pPr>
            <w:r>
              <w:rPr>
                <w:rFonts w:hint="eastAsia" w:eastAsiaTheme="minorEastAsia"/>
              </w:rPr>
              <w:t>采用网络入侵检测技术(IDS)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719" w:type="dxa"/>
            <w:vMerge w:val="continue"/>
            <w:vAlign w:val="center"/>
          </w:tcPr>
          <w:p>
            <w:pPr>
              <w:pStyle w:val="59"/>
              <w:spacing w:line="360" w:lineRule="auto"/>
              <w:ind w:firstLine="493"/>
              <w:rPr>
                <w:rFonts w:eastAsiaTheme="minorEastAsia"/>
              </w:rPr>
            </w:pPr>
          </w:p>
        </w:tc>
        <w:tc>
          <w:tcPr>
            <w:tcW w:w="3058" w:type="dxa"/>
            <w:vAlign w:val="center"/>
          </w:tcPr>
          <w:p>
            <w:pPr>
              <w:pStyle w:val="59"/>
              <w:spacing w:line="360" w:lineRule="auto"/>
              <w:ind w:firstLine="493"/>
              <w:rPr>
                <w:rFonts w:eastAsiaTheme="minorEastAsia"/>
              </w:rPr>
            </w:pPr>
            <w:r>
              <w:rPr>
                <w:rFonts w:hint="eastAsia" w:eastAsiaTheme="minorEastAsia"/>
              </w:rPr>
              <w:t>禁止通过拨号对外连接</w:t>
            </w:r>
          </w:p>
        </w:tc>
        <w:tc>
          <w:tcPr>
            <w:tcW w:w="4277" w:type="dxa"/>
            <w:vAlign w:val="center"/>
          </w:tcPr>
          <w:p>
            <w:pPr>
              <w:pStyle w:val="59"/>
              <w:spacing w:line="360" w:lineRule="auto"/>
              <w:ind w:firstLine="493"/>
              <w:rPr>
                <w:rFonts w:eastAsiaTheme="minorEastAsia"/>
              </w:rPr>
            </w:pPr>
            <w:r>
              <w:rPr>
                <w:rFonts w:hint="eastAsia" w:eastAsiaTheme="minorEastAsia"/>
              </w:rPr>
              <w:t>通过内网管理的非法外联模块进行检测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719" w:type="dxa"/>
            <w:vMerge w:val="continue"/>
            <w:vAlign w:val="center"/>
          </w:tcPr>
          <w:p>
            <w:pPr>
              <w:pStyle w:val="59"/>
              <w:spacing w:line="360" w:lineRule="auto"/>
              <w:ind w:firstLine="493"/>
              <w:rPr>
                <w:rFonts w:eastAsiaTheme="minorEastAsia"/>
              </w:rPr>
            </w:pPr>
          </w:p>
        </w:tc>
        <w:tc>
          <w:tcPr>
            <w:tcW w:w="3058" w:type="dxa"/>
            <w:vAlign w:val="center"/>
          </w:tcPr>
          <w:p>
            <w:pPr>
              <w:pStyle w:val="59"/>
              <w:spacing w:line="360" w:lineRule="auto"/>
              <w:ind w:firstLine="493"/>
              <w:rPr>
                <w:rFonts w:eastAsiaTheme="minorEastAsia"/>
              </w:rPr>
            </w:pPr>
            <w:r>
              <w:rPr>
                <w:rFonts w:hint="eastAsia" w:eastAsiaTheme="minorEastAsia"/>
              </w:rPr>
              <w:t>记录用户对内网的访问行为，并分析响应</w:t>
            </w:r>
          </w:p>
        </w:tc>
        <w:tc>
          <w:tcPr>
            <w:tcW w:w="4277" w:type="dxa"/>
            <w:vAlign w:val="center"/>
          </w:tcPr>
          <w:p>
            <w:pPr>
              <w:pStyle w:val="59"/>
              <w:spacing w:line="360" w:lineRule="auto"/>
              <w:ind w:firstLine="493"/>
              <w:rPr>
                <w:rFonts w:eastAsiaTheme="minorEastAsia"/>
              </w:rPr>
            </w:pPr>
            <w:r>
              <w:rPr>
                <w:rFonts w:hint="eastAsia" w:eastAsiaTheme="minorEastAsia"/>
              </w:rPr>
              <w:t>采用网络审计系统实现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719" w:type="dxa"/>
            <w:vMerge w:val="continue"/>
            <w:vAlign w:val="center"/>
          </w:tcPr>
          <w:p>
            <w:pPr>
              <w:pStyle w:val="59"/>
              <w:spacing w:line="360" w:lineRule="auto"/>
              <w:ind w:firstLine="493"/>
              <w:rPr>
                <w:rFonts w:eastAsiaTheme="minorEastAsia"/>
              </w:rPr>
            </w:pPr>
          </w:p>
        </w:tc>
        <w:tc>
          <w:tcPr>
            <w:tcW w:w="3058" w:type="dxa"/>
            <w:vAlign w:val="center"/>
          </w:tcPr>
          <w:p>
            <w:pPr>
              <w:pStyle w:val="59"/>
              <w:spacing w:line="360" w:lineRule="auto"/>
              <w:ind w:firstLine="493"/>
              <w:rPr>
                <w:rFonts w:eastAsiaTheme="minorEastAsia"/>
              </w:rPr>
            </w:pPr>
            <w:r>
              <w:rPr>
                <w:rFonts w:hint="eastAsia" w:eastAsiaTheme="minorEastAsia"/>
              </w:rPr>
              <w:t>对网络病毒进行防范</w:t>
            </w:r>
          </w:p>
        </w:tc>
        <w:tc>
          <w:tcPr>
            <w:tcW w:w="4277" w:type="dxa"/>
            <w:vAlign w:val="center"/>
          </w:tcPr>
          <w:p>
            <w:pPr>
              <w:pStyle w:val="59"/>
              <w:spacing w:line="360" w:lineRule="auto"/>
              <w:ind w:firstLine="493"/>
              <w:rPr>
                <w:rFonts w:eastAsiaTheme="minorEastAsia"/>
              </w:rPr>
            </w:pPr>
            <w:r>
              <w:rPr>
                <w:rFonts w:hint="eastAsia" w:eastAsiaTheme="minorEastAsia"/>
              </w:rPr>
              <w:t>采用网络防病毒系统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719" w:type="dxa"/>
            <w:vMerge w:val="continue"/>
            <w:vAlign w:val="center"/>
          </w:tcPr>
          <w:p>
            <w:pPr>
              <w:pStyle w:val="59"/>
              <w:spacing w:line="360" w:lineRule="auto"/>
              <w:ind w:firstLine="493"/>
              <w:rPr>
                <w:rFonts w:eastAsiaTheme="minorEastAsia"/>
              </w:rPr>
            </w:pPr>
          </w:p>
        </w:tc>
        <w:tc>
          <w:tcPr>
            <w:tcW w:w="3058" w:type="dxa"/>
            <w:vAlign w:val="center"/>
          </w:tcPr>
          <w:p>
            <w:pPr>
              <w:pStyle w:val="59"/>
              <w:spacing w:line="360" w:lineRule="auto"/>
              <w:ind w:firstLine="493"/>
              <w:rPr>
                <w:rFonts w:eastAsiaTheme="minorEastAsia"/>
              </w:rPr>
            </w:pPr>
            <w:r>
              <w:rPr>
                <w:rFonts w:hint="eastAsia" w:eastAsiaTheme="minorEastAsia"/>
              </w:rPr>
              <w:t>网络端口和协议进行检测</w:t>
            </w:r>
          </w:p>
        </w:tc>
        <w:tc>
          <w:tcPr>
            <w:tcW w:w="4277" w:type="dxa"/>
            <w:vAlign w:val="center"/>
          </w:tcPr>
          <w:p>
            <w:pPr>
              <w:pStyle w:val="59"/>
              <w:spacing w:line="360" w:lineRule="auto"/>
              <w:ind w:firstLine="493"/>
              <w:rPr>
                <w:rFonts w:eastAsiaTheme="minorEastAsia"/>
              </w:rPr>
            </w:pPr>
            <w:r>
              <w:rPr>
                <w:rFonts w:hint="eastAsia" w:eastAsiaTheme="minorEastAsia"/>
              </w:rPr>
              <w:t>采用漏洞扫描系统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719" w:type="dxa"/>
            <w:vMerge w:val="continue"/>
            <w:vAlign w:val="center"/>
          </w:tcPr>
          <w:p>
            <w:pPr>
              <w:pStyle w:val="59"/>
              <w:spacing w:line="360" w:lineRule="auto"/>
              <w:ind w:firstLine="493"/>
              <w:rPr>
                <w:rFonts w:eastAsiaTheme="minorEastAsia"/>
              </w:rPr>
            </w:pPr>
          </w:p>
        </w:tc>
        <w:tc>
          <w:tcPr>
            <w:tcW w:w="3058" w:type="dxa"/>
            <w:vAlign w:val="center"/>
          </w:tcPr>
          <w:p>
            <w:pPr>
              <w:pStyle w:val="59"/>
              <w:spacing w:line="360" w:lineRule="auto"/>
              <w:ind w:firstLine="493"/>
              <w:rPr>
                <w:rFonts w:eastAsiaTheme="minorEastAsia"/>
              </w:rPr>
            </w:pPr>
            <w:r>
              <w:rPr>
                <w:rFonts w:hint="eastAsia" w:eastAsiaTheme="minorEastAsia"/>
              </w:rPr>
              <w:t>在网络入口处对网络病毒进行拦截</w:t>
            </w:r>
          </w:p>
        </w:tc>
        <w:tc>
          <w:tcPr>
            <w:tcW w:w="4277" w:type="dxa"/>
            <w:vAlign w:val="center"/>
          </w:tcPr>
          <w:p>
            <w:pPr>
              <w:pStyle w:val="59"/>
              <w:spacing w:line="360" w:lineRule="auto"/>
              <w:ind w:firstLine="493"/>
              <w:rPr>
                <w:rFonts w:eastAsiaTheme="minorEastAsia"/>
              </w:rPr>
            </w:pPr>
            <w:r>
              <w:rPr>
                <w:rFonts w:hint="eastAsia" w:eastAsiaTheme="minorEastAsia"/>
              </w:rPr>
              <w:t>采用防病毒网关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719" w:type="dxa"/>
            <w:vMerge w:val="continue"/>
            <w:vAlign w:val="center"/>
          </w:tcPr>
          <w:p>
            <w:pPr>
              <w:pStyle w:val="59"/>
              <w:spacing w:line="360" w:lineRule="auto"/>
              <w:ind w:firstLine="493"/>
              <w:rPr>
                <w:rFonts w:eastAsiaTheme="minorEastAsia"/>
              </w:rPr>
            </w:pPr>
          </w:p>
        </w:tc>
        <w:tc>
          <w:tcPr>
            <w:tcW w:w="3058" w:type="dxa"/>
            <w:vAlign w:val="center"/>
          </w:tcPr>
          <w:p>
            <w:pPr>
              <w:pStyle w:val="59"/>
              <w:spacing w:line="360" w:lineRule="auto"/>
              <w:ind w:firstLine="493"/>
              <w:rPr>
                <w:rFonts w:eastAsiaTheme="minorEastAsia"/>
              </w:rPr>
            </w:pPr>
            <w:r>
              <w:rPr>
                <w:rFonts w:hint="eastAsia" w:eastAsiaTheme="minorEastAsia"/>
              </w:rPr>
              <w:t>在网络入口处对异常网络流量进行清洗</w:t>
            </w:r>
          </w:p>
        </w:tc>
        <w:tc>
          <w:tcPr>
            <w:tcW w:w="4277" w:type="dxa"/>
            <w:vAlign w:val="center"/>
          </w:tcPr>
          <w:p>
            <w:pPr>
              <w:pStyle w:val="59"/>
              <w:spacing w:line="360" w:lineRule="auto"/>
              <w:ind w:firstLine="493"/>
              <w:rPr>
                <w:rFonts w:eastAsiaTheme="minorEastAsia"/>
              </w:rPr>
            </w:pPr>
            <w:r>
              <w:rPr>
                <w:rFonts w:hint="eastAsia" w:eastAsiaTheme="minorEastAsia"/>
              </w:rPr>
              <w:t>采用防DDOS产品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719" w:type="dxa"/>
            <w:vMerge w:val="restart"/>
            <w:vAlign w:val="center"/>
          </w:tcPr>
          <w:p>
            <w:pPr>
              <w:pStyle w:val="59"/>
              <w:spacing w:line="360" w:lineRule="auto"/>
              <w:ind w:firstLine="0" w:firstLineChars="0"/>
              <w:rPr>
                <w:rFonts w:eastAsiaTheme="minorEastAsia"/>
              </w:rPr>
            </w:pPr>
            <w:r>
              <w:rPr>
                <w:rFonts w:hint="eastAsia" w:eastAsiaTheme="minorEastAsia"/>
              </w:rPr>
              <w:t>主机系统安全策略</w:t>
            </w:r>
          </w:p>
        </w:tc>
        <w:tc>
          <w:tcPr>
            <w:tcW w:w="3058" w:type="dxa"/>
            <w:vAlign w:val="center"/>
          </w:tcPr>
          <w:p>
            <w:pPr>
              <w:pStyle w:val="59"/>
              <w:spacing w:line="360" w:lineRule="auto"/>
              <w:ind w:firstLine="493"/>
              <w:rPr>
                <w:rFonts w:eastAsiaTheme="minorEastAsia"/>
              </w:rPr>
            </w:pPr>
            <w:r>
              <w:rPr>
                <w:rFonts w:hint="eastAsia" w:eastAsiaTheme="minorEastAsia"/>
              </w:rPr>
              <w:t>主机的入侵防护策略、检测主机入侵攻击</w:t>
            </w:r>
          </w:p>
        </w:tc>
        <w:tc>
          <w:tcPr>
            <w:tcW w:w="4277" w:type="dxa"/>
            <w:vAlign w:val="center"/>
          </w:tcPr>
          <w:p>
            <w:pPr>
              <w:pStyle w:val="59"/>
              <w:spacing w:line="360" w:lineRule="auto"/>
              <w:ind w:firstLine="493"/>
              <w:rPr>
                <w:rFonts w:eastAsiaTheme="minorEastAsia"/>
              </w:rPr>
            </w:pPr>
            <w:r>
              <w:rPr>
                <w:rFonts w:hint="eastAsia" w:eastAsiaTheme="minorEastAsia"/>
              </w:rPr>
              <w:t>采用网络防病毒软件的客户端的主动防御功能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719" w:type="dxa"/>
            <w:vMerge w:val="continue"/>
            <w:vAlign w:val="center"/>
          </w:tcPr>
          <w:p>
            <w:pPr>
              <w:pStyle w:val="59"/>
              <w:spacing w:line="360" w:lineRule="auto"/>
              <w:ind w:firstLine="493"/>
              <w:rPr>
                <w:rFonts w:eastAsiaTheme="minorEastAsia"/>
              </w:rPr>
            </w:pPr>
          </w:p>
        </w:tc>
        <w:tc>
          <w:tcPr>
            <w:tcW w:w="3058" w:type="dxa"/>
            <w:vAlign w:val="center"/>
          </w:tcPr>
          <w:p>
            <w:pPr>
              <w:pStyle w:val="59"/>
              <w:spacing w:line="360" w:lineRule="auto"/>
              <w:ind w:firstLine="493"/>
              <w:rPr>
                <w:rFonts w:eastAsiaTheme="minorEastAsia"/>
              </w:rPr>
            </w:pPr>
            <w:r>
              <w:rPr>
                <w:rFonts w:hint="eastAsia" w:eastAsiaTheme="minorEastAsia"/>
              </w:rPr>
              <w:t>加强核心数据库主机的加固和防护</w:t>
            </w:r>
          </w:p>
        </w:tc>
        <w:tc>
          <w:tcPr>
            <w:tcW w:w="4277" w:type="dxa"/>
            <w:vAlign w:val="center"/>
          </w:tcPr>
          <w:p>
            <w:pPr>
              <w:pStyle w:val="59"/>
              <w:spacing w:line="360" w:lineRule="auto"/>
              <w:ind w:firstLine="493"/>
              <w:rPr>
                <w:rFonts w:eastAsiaTheme="minorEastAsia"/>
              </w:rPr>
            </w:pPr>
            <w:r>
              <w:rPr>
                <w:rFonts w:hint="eastAsia" w:eastAsiaTheme="minorEastAsia"/>
              </w:rPr>
              <w:t>采用主机防护产品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719" w:type="dxa"/>
            <w:vMerge w:val="continue"/>
            <w:vAlign w:val="center"/>
          </w:tcPr>
          <w:p>
            <w:pPr>
              <w:pStyle w:val="59"/>
              <w:spacing w:line="360" w:lineRule="auto"/>
              <w:ind w:firstLine="493"/>
              <w:rPr>
                <w:rFonts w:eastAsiaTheme="minorEastAsia"/>
              </w:rPr>
            </w:pPr>
          </w:p>
        </w:tc>
        <w:tc>
          <w:tcPr>
            <w:tcW w:w="3058" w:type="dxa"/>
            <w:vAlign w:val="center"/>
          </w:tcPr>
          <w:p>
            <w:pPr>
              <w:pStyle w:val="59"/>
              <w:spacing w:line="360" w:lineRule="auto"/>
              <w:ind w:firstLine="493"/>
              <w:rPr>
                <w:rFonts w:eastAsiaTheme="minorEastAsia"/>
              </w:rPr>
            </w:pPr>
            <w:r>
              <w:rPr>
                <w:rFonts w:hint="eastAsia" w:eastAsiaTheme="minorEastAsia"/>
              </w:rPr>
              <w:t>加强操作系统和数据自身的安全</w:t>
            </w:r>
          </w:p>
        </w:tc>
        <w:tc>
          <w:tcPr>
            <w:tcW w:w="4277" w:type="dxa"/>
            <w:vAlign w:val="center"/>
          </w:tcPr>
          <w:p>
            <w:pPr>
              <w:pStyle w:val="59"/>
              <w:spacing w:line="360" w:lineRule="auto"/>
              <w:ind w:firstLine="493"/>
              <w:rPr>
                <w:rFonts w:eastAsiaTheme="minorEastAsia"/>
              </w:rPr>
            </w:pPr>
            <w:r>
              <w:rPr>
                <w:rFonts w:hint="eastAsia" w:eastAsiaTheme="minorEastAsia"/>
              </w:rPr>
              <w:t>主机系统加固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719" w:type="dxa"/>
            <w:vMerge w:val="continue"/>
            <w:vAlign w:val="center"/>
          </w:tcPr>
          <w:p>
            <w:pPr>
              <w:pStyle w:val="59"/>
              <w:spacing w:line="360" w:lineRule="auto"/>
              <w:ind w:firstLine="493"/>
              <w:rPr>
                <w:rFonts w:eastAsiaTheme="minorEastAsia"/>
              </w:rPr>
            </w:pPr>
          </w:p>
        </w:tc>
        <w:tc>
          <w:tcPr>
            <w:tcW w:w="3058" w:type="dxa"/>
            <w:vAlign w:val="center"/>
          </w:tcPr>
          <w:p>
            <w:pPr>
              <w:pStyle w:val="59"/>
              <w:spacing w:line="360" w:lineRule="auto"/>
              <w:ind w:firstLine="493"/>
              <w:rPr>
                <w:rFonts w:eastAsiaTheme="minorEastAsia"/>
              </w:rPr>
            </w:pPr>
            <w:r>
              <w:rPr>
                <w:rFonts w:hint="eastAsia" w:eastAsiaTheme="minorEastAsia"/>
              </w:rPr>
              <w:t>对主机系统存在的漏洞查找</w:t>
            </w:r>
          </w:p>
        </w:tc>
        <w:tc>
          <w:tcPr>
            <w:tcW w:w="4277" w:type="dxa"/>
            <w:vAlign w:val="center"/>
          </w:tcPr>
          <w:p>
            <w:pPr>
              <w:pStyle w:val="59"/>
              <w:spacing w:line="360" w:lineRule="auto"/>
              <w:ind w:firstLine="493"/>
              <w:rPr>
                <w:rFonts w:eastAsiaTheme="minorEastAsia"/>
              </w:rPr>
            </w:pPr>
            <w:r>
              <w:rPr>
                <w:rFonts w:hint="eastAsia" w:eastAsiaTheme="minorEastAsia"/>
              </w:rPr>
              <w:t>采用漏洞扫描系统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719" w:type="dxa"/>
            <w:vMerge w:val="continue"/>
            <w:vAlign w:val="center"/>
          </w:tcPr>
          <w:p>
            <w:pPr>
              <w:pStyle w:val="59"/>
              <w:spacing w:line="360" w:lineRule="auto"/>
              <w:ind w:firstLine="493"/>
              <w:rPr>
                <w:rFonts w:eastAsiaTheme="minorEastAsia"/>
              </w:rPr>
            </w:pPr>
          </w:p>
        </w:tc>
        <w:tc>
          <w:tcPr>
            <w:tcW w:w="3058" w:type="dxa"/>
            <w:vAlign w:val="center"/>
          </w:tcPr>
          <w:p>
            <w:pPr>
              <w:pStyle w:val="59"/>
              <w:spacing w:line="360" w:lineRule="auto"/>
              <w:ind w:firstLine="493"/>
              <w:rPr>
                <w:rFonts w:eastAsiaTheme="minorEastAsia"/>
              </w:rPr>
            </w:pPr>
            <w:r>
              <w:rPr>
                <w:rFonts w:hint="eastAsia" w:eastAsiaTheme="minorEastAsia"/>
              </w:rPr>
              <w:t>防止计算机病毒入侵主机</w:t>
            </w:r>
          </w:p>
        </w:tc>
        <w:tc>
          <w:tcPr>
            <w:tcW w:w="4277" w:type="dxa"/>
            <w:vAlign w:val="center"/>
          </w:tcPr>
          <w:p>
            <w:pPr>
              <w:pStyle w:val="59"/>
              <w:spacing w:line="360" w:lineRule="auto"/>
              <w:ind w:firstLine="493"/>
              <w:rPr>
                <w:rFonts w:eastAsiaTheme="minorEastAsia"/>
              </w:rPr>
            </w:pPr>
            <w:r>
              <w:rPr>
                <w:rFonts w:hint="eastAsia" w:eastAsiaTheme="minorEastAsia"/>
              </w:rPr>
              <w:t>采用防病毒系统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719" w:type="dxa"/>
            <w:vMerge w:val="continue"/>
            <w:vAlign w:val="center"/>
          </w:tcPr>
          <w:p>
            <w:pPr>
              <w:pStyle w:val="59"/>
              <w:spacing w:line="360" w:lineRule="auto"/>
              <w:ind w:firstLine="493"/>
              <w:rPr>
                <w:rFonts w:eastAsiaTheme="minorEastAsia"/>
              </w:rPr>
            </w:pPr>
          </w:p>
        </w:tc>
        <w:tc>
          <w:tcPr>
            <w:tcW w:w="3058" w:type="dxa"/>
            <w:vAlign w:val="center"/>
          </w:tcPr>
          <w:p>
            <w:pPr>
              <w:pStyle w:val="59"/>
              <w:spacing w:line="360" w:lineRule="auto"/>
              <w:ind w:firstLine="493"/>
              <w:rPr>
                <w:rFonts w:eastAsiaTheme="minorEastAsia"/>
              </w:rPr>
            </w:pPr>
            <w:r>
              <w:rPr>
                <w:rFonts w:hint="eastAsia" w:eastAsiaTheme="minorEastAsia"/>
              </w:rPr>
              <w:t>对操作系统和数据的日志进行分析，查找非法调用</w:t>
            </w:r>
          </w:p>
        </w:tc>
        <w:tc>
          <w:tcPr>
            <w:tcW w:w="4277" w:type="dxa"/>
            <w:vAlign w:val="center"/>
          </w:tcPr>
          <w:p>
            <w:pPr>
              <w:pStyle w:val="59"/>
              <w:spacing w:line="360" w:lineRule="auto"/>
              <w:ind w:firstLine="493"/>
              <w:rPr>
                <w:rFonts w:eastAsiaTheme="minorEastAsia"/>
              </w:rPr>
            </w:pPr>
            <w:r>
              <w:rPr>
                <w:rFonts w:hint="eastAsia" w:eastAsiaTheme="minorEastAsia"/>
              </w:rPr>
              <w:t>采用主机与数据库综合审计系统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719" w:type="dxa"/>
            <w:vMerge w:val="restart"/>
            <w:vAlign w:val="center"/>
          </w:tcPr>
          <w:p>
            <w:pPr>
              <w:pStyle w:val="59"/>
              <w:spacing w:line="360" w:lineRule="auto"/>
              <w:ind w:firstLine="0" w:firstLineChars="0"/>
              <w:rPr>
                <w:rFonts w:eastAsiaTheme="minorEastAsia"/>
              </w:rPr>
            </w:pPr>
            <w:r>
              <w:rPr>
                <w:rFonts w:hint="eastAsia" w:eastAsiaTheme="minorEastAsia"/>
              </w:rPr>
              <w:t>应用安全策略</w:t>
            </w:r>
          </w:p>
        </w:tc>
        <w:tc>
          <w:tcPr>
            <w:tcW w:w="3058" w:type="dxa"/>
            <w:vAlign w:val="center"/>
          </w:tcPr>
          <w:p>
            <w:pPr>
              <w:pStyle w:val="59"/>
              <w:spacing w:line="360" w:lineRule="auto"/>
              <w:ind w:firstLine="493"/>
              <w:rPr>
                <w:rFonts w:eastAsiaTheme="minorEastAsia"/>
              </w:rPr>
            </w:pPr>
            <w:r>
              <w:rPr>
                <w:rFonts w:hint="eastAsia" w:eastAsiaTheme="minorEastAsia"/>
              </w:rPr>
              <w:t>加强应用系统自身的强壮性</w:t>
            </w:r>
          </w:p>
        </w:tc>
        <w:tc>
          <w:tcPr>
            <w:tcW w:w="4277" w:type="dxa"/>
            <w:vAlign w:val="center"/>
          </w:tcPr>
          <w:p>
            <w:pPr>
              <w:pStyle w:val="59"/>
              <w:spacing w:line="360" w:lineRule="auto"/>
              <w:ind w:firstLine="493"/>
              <w:rPr>
                <w:rFonts w:eastAsiaTheme="minorEastAsia"/>
              </w:rPr>
            </w:pPr>
            <w:r>
              <w:rPr>
                <w:rFonts w:hint="eastAsia" w:eastAsiaTheme="minorEastAsia"/>
              </w:rPr>
              <w:t>开发时对安全需求进行分析、采用安全架构设计、安全编程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719" w:type="dxa"/>
            <w:vMerge w:val="continue"/>
            <w:vAlign w:val="center"/>
          </w:tcPr>
          <w:p>
            <w:pPr>
              <w:pStyle w:val="59"/>
              <w:spacing w:line="360" w:lineRule="auto"/>
              <w:ind w:firstLine="493"/>
              <w:rPr>
                <w:rFonts w:eastAsiaTheme="minorEastAsia"/>
              </w:rPr>
            </w:pPr>
          </w:p>
        </w:tc>
        <w:tc>
          <w:tcPr>
            <w:tcW w:w="3058" w:type="dxa"/>
            <w:vAlign w:val="center"/>
          </w:tcPr>
          <w:p>
            <w:pPr>
              <w:pStyle w:val="59"/>
              <w:spacing w:line="360" w:lineRule="auto"/>
              <w:ind w:firstLine="493"/>
              <w:rPr>
                <w:rFonts w:eastAsiaTheme="minorEastAsia"/>
              </w:rPr>
            </w:pPr>
            <w:r>
              <w:rPr>
                <w:rFonts w:hint="eastAsia" w:eastAsiaTheme="minorEastAsia"/>
              </w:rPr>
              <w:t>对程序的代码进行检测，查找程序漏洞</w:t>
            </w:r>
          </w:p>
        </w:tc>
        <w:tc>
          <w:tcPr>
            <w:tcW w:w="4277" w:type="dxa"/>
            <w:vAlign w:val="center"/>
          </w:tcPr>
          <w:p>
            <w:pPr>
              <w:pStyle w:val="59"/>
              <w:spacing w:line="360" w:lineRule="auto"/>
              <w:ind w:firstLine="493"/>
              <w:rPr>
                <w:rFonts w:eastAsiaTheme="minorEastAsia"/>
              </w:rPr>
            </w:pPr>
            <w:r>
              <w:rPr>
                <w:rFonts w:hint="eastAsia" w:eastAsiaTheme="minorEastAsia"/>
              </w:rPr>
              <w:t>采用应用系统漏洞扫描和代码审计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719" w:type="dxa"/>
            <w:vMerge w:val="continue"/>
            <w:vAlign w:val="center"/>
          </w:tcPr>
          <w:p>
            <w:pPr>
              <w:pStyle w:val="59"/>
              <w:spacing w:line="360" w:lineRule="auto"/>
              <w:ind w:firstLine="493"/>
              <w:rPr>
                <w:rFonts w:eastAsiaTheme="minorEastAsia"/>
              </w:rPr>
            </w:pPr>
          </w:p>
        </w:tc>
        <w:tc>
          <w:tcPr>
            <w:tcW w:w="3058" w:type="dxa"/>
            <w:vAlign w:val="center"/>
          </w:tcPr>
          <w:p>
            <w:pPr>
              <w:pStyle w:val="59"/>
              <w:spacing w:line="360" w:lineRule="auto"/>
              <w:ind w:firstLine="493"/>
              <w:rPr>
                <w:rFonts w:eastAsiaTheme="minorEastAsia"/>
              </w:rPr>
            </w:pPr>
            <w:r>
              <w:rPr>
                <w:rFonts w:hint="eastAsia" w:eastAsiaTheme="minorEastAsia"/>
              </w:rPr>
              <w:t>对核心应用系统进行双因子认证</w:t>
            </w:r>
          </w:p>
        </w:tc>
        <w:tc>
          <w:tcPr>
            <w:tcW w:w="4277" w:type="dxa"/>
            <w:vAlign w:val="center"/>
          </w:tcPr>
          <w:p>
            <w:pPr>
              <w:pStyle w:val="59"/>
              <w:spacing w:line="360" w:lineRule="auto"/>
              <w:ind w:firstLine="493"/>
              <w:rPr>
                <w:rFonts w:eastAsiaTheme="minorEastAsia"/>
              </w:rPr>
            </w:pPr>
            <w:r>
              <w:rPr>
                <w:rFonts w:hint="eastAsia" w:eastAsiaTheme="minorEastAsia"/>
              </w:rPr>
              <w:t>采用PKI身份认证体系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719" w:type="dxa"/>
            <w:vMerge w:val="restart"/>
            <w:vAlign w:val="center"/>
          </w:tcPr>
          <w:p>
            <w:pPr>
              <w:pStyle w:val="59"/>
              <w:spacing w:line="360" w:lineRule="auto"/>
              <w:ind w:firstLine="0" w:firstLineChars="0"/>
              <w:rPr>
                <w:rFonts w:eastAsiaTheme="minorEastAsia"/>
              </w:rPr>
            </w:pPr>
            <w:r>
              <w:rPr>
                <w:rFonts w:hint="eastAsia" w:eastAsiaTheme="minorEastAsia"/>
              </w:rPr>
              <w:t>数据安全策略</w:t>
            </w:r>
          </w:p>
        </w:tc>
        <w:tc>
          <w:tcPr>
            <w:tcW w:w="3058" w:type="dxa"/>
            <w:vAlign w:val="center"/>
          </w:tcPr>
          <w:p>
            <w:pPr>
              <w:pStyle w:val="59"/>
              <w:spacing w:line="360" w:lineRule="auto"/>
              <w:ind w:firstLine="493"/>
              <w:rPr>
                <w:rFonts w:eastAsiaTheme="minorEastAsia"/>
              </w:rPr>
            </w:pPr>
            <w:r>
              <w:rPr>
                <w:rFonts w:hint="eastAsia" w:eastAsiaTheme="minorEastAsia"/>
              </w:rPr>
              <w:t>防止数据丢失、错误和非法篡改</w:t>
            </w:r>
          </w:p>
        </w:tc>
        <w:tc>
          <w:tcPr>
            <w:tcW w:w="4277" w:type="dxa"/>
            <w:vAlign w:val="center"/>
          </w:tcPr>
          <w:p>
            <w:pPr>
              <w:pStyle w:val="59"/>
              <w:spacing w:line="360" w:lineRule="auto"/>
              <w:ind w:firstLine="493"/>
              <w:rPr>
                <w:rFonts w:eastAsiaTheme="minorEastAsia"/>
              </w:rPr>
            </w:pPr>
            <w:r>
              <w:rPr>
                <w:rFonts w:hint="eastAsia" w:eastAsiaTheme="minorEastAsia"/>
              </w:rPr>
              <w:t>采用数据备份与恢复体系和相关技术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719" w:type="dxa"/>
            <w:vMerge w:val="continue"/>
            <w:vAlign w:val="center"/>
          </w:tcPr>
          <w:p>
            <w:pPr>
              <w:pStyle w:val="59"/>
              <w:spacing w:line="360" w:lineRule="auto"/>
              <w:ind w:firstLine="493"/>
              <w:rPr>
                <w:rFonts w:eastAsiaTheme="minorEastAsia"/>
              </w:rPr>
            </w:pPr>
          </w:p>
        </w:tc>
        <w:tc>
          <w:tcPr>
            <w:tcW w:w="3058" w:type="dxa"/>
            <w:vAlign w:val="center"/>
          </w:tcPr>
          <w:p>
            <w:pPr>
              <w:pStyle w:val="59"/>
              <w:spacing w:line="360" w:lineRule="auto"/>
              <w:ind w:firstLine="493"/>
              <w:rPr>
                <w:rFonts w:eastAsiaTheme="minorEastAsia"/>
              </w:rPr>
            </w:pPr>
            <w:r>
              <w:rPr>
                <w:rFonts w:hint="eastAsia" w:eastAsiaTheme="minorEastAsia"/>
              </w:rPr>
              <w:t>保障关键业务数据的传输安全</w:t>
            </w:r>
          </w:p>
        </w:tc>
        <w:tc>
          <w:tcPr>
            <w:tcW w:w="4277" w:type="dxa"/>
            <w:vAlign w:val="center"/>
          </w:tcPr>
          <w:p>
            <w:pPr>
              <w:pStyle w:val="59"/>
              <w:spacing w:line="360" w:lineRule="auto"/>
              <w:ind w:firstLine="493"/>
              <w:rPr>
                <w:rFonts w:eastAsiaTheme="minorEastAsia"/>
              </w:rPr>
            </w:pPr>
            <w:r>
              <w:rPr>
                <w:rFonts w:hint="eastAsia" w:eastAsiaTheme="minorEastAsia"/>
              </w:rPr>
              <w:t>采用服务器密码机对核心业务数据进行加密传输和数字签名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719" w:type="dxa"/>
            <w:vMerge w:val="continue"/>
            <w:vAlign w:val="center"/>
          </w:tcPr>
          <w:p>
            <w:pPr>
              <w:pStyle w:val="59"/>
              <w:spacing w:line="360" w:lineRule="auto"/>
              <w:ind w:firstLine="493"/>
              <w:rPr>
                <w:rFonts w:eastAsiaTheme="minorEastAsia"/>
              </w:rPr>
            </w:pPr>
          </w:p>
        </w:tc>
        <w:tc>
          <w:tcPr>
            <w:tcW w:w="3058" w:type="dxa"/>
            <w:vAlign w:val="center"/>
          </w:tcPr>
          <w:p>
            <w:pPr>
              <w:pStyle w:val="59"/>
              <w:spacing w:line="360" w:lineRule="auto"/>
              <w:ind w:firstLine="493"/>
              <w:rPr>
                <w:rFonts w:eastAsiaTheme="minorEastAsia"/>
              </w:rPr>
            </w:pPr>
            <w:r>
              <w:rPr>
                <w:rFonts w:hint="eastAsia" w:eastAsiaTheme="minorEastAsia"/>
              </w:rPr>
              <w:t>总部和</w:t>
            </w:r>
            <w:r>
              <w:rPr>
                <w:rFonts w:hint="eastAsia" w:eastAsiaTheme="minorEastAsia"/>
                <w:lang w:val="en-US" w:eastAsia="zh-CN"/>
              </w:rPr>
              <w:t>分公司</w:t>
            </w:r>
            <w:r>
              <w:rPr>
                <w:rFonts w:hint="eastAsia" w:eastAsiaTheme="minorEastAsia"/>
              </w:rPr>
              <w:t>之间批量数据传输的安全</w:t>
            </w:r>
          </w:p>
        </w:tc>
        <w:tc>
          <w:tcPr>
            <w:tcW w:w="4277" w:type="dxa"/>
            <w:vAlign w:val="center"/>
          </w:tcPr>
          <w:p>
            <w:pPr>
              <w:pStyle w:val="59"/>
              <w:spacing w:line="360" w:lineRule="auto"/>
              <w:ind w:firstLine="493"/>
              <w:rPr>
                <w:rFonts w:eastAsiaTheme="minorEastAsia"/>
              </w:rPr>
            </w:pPr>
            <w:r>
              <w:rPr>
                <w:rFonts w:hint="eastAsia" w:eastAsiaTheme="minorEastAsia"/>
              </w:rPr>
              <w:t>采用网络加密机（只在传输批量数据时使用）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719" w:type="dxa"/>
            <w:vMerge w:val="continue"/>
            <w:vAlign w:val="center"/>
          </w:tcPr>
          <w:p>
            <w:pPr>
              <w:pStyle w:val="59"/>
              <w:spacing w:line="360" w:lineRule="auto"/>
              <w:ind w:firstLine="493"/>
              <w:rPr>
                <w:rFonts w:eastAsiaTheme="minorEastAsia"/>
              </w:rPr>
            </w:pPr>
          </w:p>
        </w:tc>
        <w:tc>
          <w:tcPr>
            <w:tcW w:w="3058" w:type="dxa"/>
            <w:vAlign w:val="center"/>
          </w:tcPr>
          <w:p>
            <w:pPr>
              <w:pStyle w:val="59"/>
              <w:spacing w:line="360" w:lineRule="auto"/>
              <w:ind w:firstLine="493"/>
              <w:rPr>
                <w:rFonts w:eastAsiaTheme="minorEastAsia"/>
              </w:rPr>
            </w:pPr>
            <w:r>
              <w:rPr>
                <w:rFonts w:hint="eastAsia" w:eastAsiaTheme="minorEastAsia"/>
              </w:rPr>
              <w:t>局域网内服务器和服务器之间的数据传输安全</w:t>
            </w:r>
          </w:p>
        </w:tc>
        <w:tc>
          <w:tcPr>
            <w:tcW w:w="4277" w:type="dxa"/>
            <w:vAlign w:val="center"/>
          </w:tcPr>
          <w:p>
            <w:pPr>
              <w:pStyle w:val="59"/>
              <w:spacing w:line="360" w:lineRule="auto"/>
              <w:ind w:firstLine="493"/>
              <w:rPr>
                <w:rFonts w:eastAsiaTheme="minorEastAsia"/>
              </w:rPr>
            </w:pPr>
            <w:r>
              <w:rPr>
                <w:rFonts w:hint="eastAsia" w:eastAsiaTheme="minorEastAsia"/>
              </w:rPr>
              <w:t>采用SSH协议进行安全传输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719" w:type="dxa"/>
            <w:vMerge w:val="restart"/>
            <w:vAlign w:val="center"/>
          </w:tcPr>
          <w:p>
            <w:pPr>
              <w:pStyle w:val="59"/>
              <w:spacing w:line="360" w:lineRule="auto"/>
              <w:ind w:firstLine="0" w:firstLineChars="0"/>
              <w:rPr>
                <w:rFonts w:eastAsiaTheme="minorEastAsia"/>
              </w:rPr>
            </w:pPr>
            <w:r>
              <w:rPr>
                <w:rFonts w:hint="eastAsia" w:eastAsiaTheme="minorEastAsia"/>
              </w:rPr>
              <w:t>终端安全策略</w:t>
            </w:r>
          </w:p>
        </w:tc>
        <w:tc>
          <w:tcPr>
            <w:tcW w:w="3058" w:type="dxa"/>
            <w:vAlign w:val="center"/>
          </w:tcPr>
          <w:p>
            <w:pPr>
              <w:pStyle w:val="59"/>
              <w:spacing w:line="360" w:lineRule="auto"/>
              <w:ind w:firstLine="493"/>
              <w:rPr>
                <w:rFonts w:eastAsiaTheme="minorEastAsia"/>
              </w:rPr>
            </w:pPr>
            <w:r>
              <w:rPr>
                <w:rFonts w:hint="eastAsia" w:eastAsiaTheme="minorEastAsia"/>
              </w:rPr>
              <w:t>对进入内网的终端进行控制</w:t>
            </w:r>
          </w:p>
        </w:tc>
        <w:tc>
          <w:tcPr>
            <w:tcW w:w="4277" w:type="dxa"/>
            <w:vAlign w:val="center"/>
          </w:tcPr>
          <w:p>
            <w:pPr>
              <w:pStyle w:val="59"/>
              <w:spacing w:line="360" w:lineRule="auto"/>
              <w:ind w:firstLine="493"/>
              <w:rPr>
                <w:rFonts w:eastAsiaTheme="minorEastAsia"/>
              </w:rPr>
            </w:pPr>
            <w:r>
              <w:rPr>
                <w:rFonts w:hint="eastAsia" w:eastAsiaTheme="minorEastAsia"/>
              </w:rPr>
              <w:t>采用内网管理系统的准入控制模块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719" w:type="dxa"/>
            <w:vMerge w:val="continue"/>
            <w:vAlign w:val="center"/>
          </w:tcPr>
          <w:p>
            <w:pPr>
              <w:pStyle w:val="59"/>
              <w:spacing w:line="360" w:lineRule="auto"/>
              <w:ind w:firstLine="493"/>
              <w:rPr>
                <w:rFonts w:eastAsiaTheme="minorEastAsia"/>
              </w:rPr>
            </w:pPr>
          </w:p>
        </w:tc>
        <w:tc>
          <w:tcPr>
            <w:tcW w:w="3058" w:type="dxa"/>
            <w:vAlign w:val="center"/>
          </w:tcPr>
          <w:p>
            <w:pPr>
              <w:pStyle w:val="59"/>
              <w:spacing w:line="360" w:lineRule="auto"/>
              <w:ind w:firstLine="493"/>
              <w:rPr>
                <w:rFonts w:eastAsiaTheme="minorEastAsia"/>
              </w:rPr>
            </w:pPr>
            <w:r>
              <w:rPr>
                <w:rFonts w:hint="eastAsia" w:eastAsiaTheme="minorEastAsia"/>
              </w:rPr>
              <w:t>防止计算机病毒进入对终端入侵</w:t>
            </w:r>
          </w:p>
        </w:tc>
        <w:tc>
          <w:tcPr>
            <w:tcW w:w="4277" w:type="dxa"/>
            <w:vAlign w:val="center"/>
          </w:tcPr>
          <w:p>
            <w:pPr>
              <w:pStyle w:val="59"/>
              <w:spacing w:line="360" w:lineRule="auto"/>
              <w:ind w:firstLine="493"/>
              <w:rPr>
                <w:rFonts w:eastAsiaTheme="minorEastAsia"/>
              </w:rPr>
            </w:pPr>
            <w:r>
              <w:rPr>
                <w:rFonts w:hint="eastAsia" w:eastAsiaTheme="minorEastAsia"/>
              </w:rPr>
              <w:t>安装防病毒客户端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719" w:type="dxa"/>
            <w:vMerge w:val="continue"/>
            <w:vAlign w:val="center"/>
          </w:tcPr>
          <w:p>
            <w:pPr>
              <w:pStyle w:val="59"/>
              <w:spacing w:line="360" w:lineRule="auto"/>
              <w:ind w:firstLine="493"/>
              <w:rPr>
                <w:rFonts w:eastAsiaTheme="minorEastAsia"/>
              </w:rPr>
            </w:pPr>
          </w:p>
        </w:tc>
        <w:tc>
          <w:tcPr>
            <w:tcW w:w="3058" w:type="dxa"/>
            <w:vAlign w:val="center"/>
          </w:tcPr>
          <w:p>
            <w:pPr>
              <w:pStyle w:val="59"/>
              <w:spacing w:line="360" w:lineRule="auto"/>
              <w:ind w:firstLine="493"/>
              <w:rPr>
                <w:rFonts w:eastAsiaTheme="minorEastAsia"/>
              </w:rPr>
            </w:pPr>
            <w:r>
              <w:rPr>
                <w:rFonts w:hint="eastAsia" w:eastAsiaTheme="minorEastAsia"/>
              </w:rPr>
              <w:t>防止网络入侵</w:t>
            </w:r>
          </w:p>
        </w:tc>
        <w:tc>
          <w:tcPr>
            <w:tcW w:w="4277" w:type="dxa"/>
            <w:vAlign w:val="center"/>
          </w:tcPr>
          <w:p>
            <w:pPr>
              <w:pStyle w:val="59"/>
              <w:spacing w:line="360" w:lineRule="auto"/>
              <w:ind w:firstLine="493"/>
              <w:rPr>
                <w:rFonts w:eastAsiaTheme="minorEastAsia"/>
              </w:rPr>
            </w:pPr>
            <w:r>
              <w:rPr>
                <w:rFonts w:hint="eastAsia" w:eastAsiaTheme="minorEastAsia"/>
              </w:rPr>
              <w:t>安装桌面防火墙</w:t>
            </w:r>
          </w:p>
        </w:tc>
      </w:tr>
    </w:tbl>
    <w:p>
      <w:pPr>
        <w:snapToGrid w:val="0"/>
        <w:spacing w:line="360" w:lineRule="auto"/>
        <w:ind w:firstLine="420" w:firstLineChars="200"/>
        <w:rPr>
          <w:rFonts w:asciiTheme="minorEastAsia" w:hAnsiTheme="minorEastAsia"/>
          <w:kern w:val="0"/>
          <w:szCs w:val="21"/>
        </w:rPr>
      </w:pPr>
    </w:p>
    <w:p>
      <w:pPr>
        <w:pStyle w:val="4"/>
        <w:numPr>
          <w:ilvl w:val="2"/>
          <w:numId w:val="3"/>
        </w:numPr>
        <w:spacing w:before="0" w:after="0" w:line="360" w:lineRule="auto"/>
        <w:ind w:left="0" w:leftChars="0" w:firstLine="402" w:firstLineChars="0"/>
      </w:pPr>
      <w:bookmarkStart w:id="184" w:name="_Toc14288"/>
      <w:bookmarkStart w:id="185" w:name="_Toc260987121"/>
      <w:r>
        <w:rPr>
          <w:rFonts w:hint="eastAsia"/>
        </w:rPr>
        <w:t>安全架构与总体架构的关系</w:t>
      </w:r>
      <w:bookmarkEnd w:id="184"/>
      <w:bookmarkEnd w:id="185"/>
    </w:p>
    <w:p>
      <w:pPr>
        <w:snapToGrid w:val="0"/>
        <w:spacing w:line="360" w:lineRule="auto"/>
        <w:ind w:firstLine="480" w:firstLineChars="200"/>
        <w:rPr>
          <w:rFonts w:asciiTheme="minorEastAsia" w:hAnsiTheme="minorEastAsia"/>
          <w:kern w:val="0"/>
          <w:sz w:val="24"/>
          <w:szCs w:val="24"/>
        </w:rPr>
      </w:pPr>
      <w:r>
        <w:rPr>
          <w:rFonts w:hint="eastAsia" w:asciiTheme="minorEastAsia" w:hAnsiTheme="minorEastAsia"/>
          <w:kern w:val="0"/>
          <w:sz w:val="24"/>
          <w:szCs w:val="24"/>
        </w:rPr>
        <w:t>针对增值税升级版和电子发票系统IT的具体特点，信息安全首先要符合</w:t>
      </w:r>
      <w:r>
        <w:rPr>
          <w:rFonts w:hint="eastAsia" w:asciiTheme="minorEastAsia" w:hAnsiTheme="minorEastAsia"/>
          <w:kern w:val="0"/>
          <w:sz w:val="24"/>
          <w:szCs w:val="24"/>
          <w:lang w:val="en-US" w:eastAsia="zh-CN"/>
        </w:rPr>
        <w:t>xx交通</w:t>
      </w:r>
      <w:r>
        <w:rPr>
          <w:rFonts w:hint="eastAsia" w:asciiTheme="minorEastAsia" w:hAnsiTheme="minorEastAsia"/>
          <w:kern w:val="0"/>
          <w:sz w:val="24"/>
          <w:szCs w:val="24"/>
        </w:rPr>
        <w:t>的安全管控及业务组织结构，其次，信息安全要符合</w:t>
      </w:r>
      <w:r>
        <w:rPr>
          <w:rFonts w:hint="eastAsia" w:asciiTheme="minorEastAsia" w:hAnsiTheme="minorEastAsia"/>
          <w:kern w:val="0"/>
          <w:sz w:val="24"/>
          <w:szCs w:val="24"/>
          <w:lang w:val="en-US" w:eastAsia="zh-CN"/>
        </w:rPr>
        <w:t>xx交通</w:t>
      </w:r>
      <w:r>
        <w:rPr>
          <w:rFonts w:hint="eastAsia" w:asciiTheme="minorEastAsia" w:hAnsiTheme="minorEastAsia"/>
          <w:kern w:val="0"/>
          <w:sz w:val="24"/>
          <w:szCs w:val="24"/>
        </w:rPr>
        <w:t>增值税发票系统升级版及电子发票系统的开发、建设以及生产业务开展的架构需要。</w:t>
      </w:r>
    </w:p>
    <w:p>
      <w:pPr>
        <w:numPr>
          <w:ilvl w:val="0"/>
          <w:numId w:val="25"/>
        </w:numPr>
        <w:spacing w:line="360" w:lineRule="auto"/>
        <w:rPr>
          <w:rFonts w:asciiTheme="minorEastAsia" w:hAnsiTheme="minorEastAsia"/>
          <w:sz w:val="24"/>
          <w:szCs w:val="24"/>
        </w:rPr>
      </w:pPr>
      <w:r>
        <w:rPr>
          <w:rFonts w:hint="eastAsia" w:asciiTheme="minorEastAsia" w:hAnsiTheme="minorEastAsia"/>
          <w:sz w:val="24"/>
          <w:szCs w:val="24"/>
        </w:rPr>
        <w:t>信息系统的安全保障作为特定的质量体系应当是全过程的，在业务系统的策略制订、结构设计、详细设计、实施、采购、集成、文档、测试、安装、管理、使用、维护整个生存期内进行保障。</w:t>
      </w:r>
    </w:p>
    <w:p>
      <w:pPr>
        <w:numPr>
          <w:ilvl w:val="0"/>
          <w:numId w:val="25"/>
        </w:numPr>
        <w:spacing w:line="360" w:lineRule="auto"/>
        <w:rPr>
          <w:rFonts w:asciiTheme="minorEastAsia" w:hAnsiTheme="minorEastAsia"/>
          <w:szCs w:val="21"/>
        </w:rPr>
      </w:pPr>
      <w:r>
        <w:rPr>
          <w:rFonts w:hint="eastAsia" w:asciiTheme="minorEastAsia" w:hAnsiTheme="minorEastAsia"/>
          <w:sz w:val="24"/>
          <w:szCs w:val="24"/>
        </w:rPr>
        <w:t>由于信息系统安全的风险具有层次化、多范畴等特性，因此需要系统信息安全与其自身的组织和业务架构相适应。</w:t>
      </w:r>
    </w:p>
    <w:p>
      <w:pPr>
        <w:pStyle w:val="4"/>
        <w:numPr>
          <w:ilvl w:val="2"/>
          <w:numId w:val="3"/>
        </w:numPr>
        <w:spacing w:before="0" w:after="0" w:line="360" w:lineRule="auto"/>
        <w:ind w:left="0" w:leftChars="0" w:firstLine="402" w:firstLineChars="0"/>
      </w:pPr>
      <w:bookmarkStart w:id="186" w:name="_Toc21332"/>
      <w:bookmarkStart w:id="187" w:name="_Toc260987122"/>
      <w:r>
        <w:rPr>
          <w:rFonts w:hint="eastAsia"/>
        </w:rPr>
        <w:t>安全架构与信息安全系统的关系</w:t>
      </w:r>
      <w:bookmarkEnd w:id="186"/>
      <w:bookmarkEnd w:id="187"/>
    </w:p>
    <w:p>
      <w:pPr>
        <w:snapToGrid w:val="0"/>
        <w:spacing w:line="360" w:lineRule="auto"/>
        <w:ind w:firstLine="480" w:firstLineChars="200"/>
        <w:rPr>
          <w:rFonts w:asciiTheme="minorEastAsia" w:hAnsiTheme="minorEastAsia"/>
          <w:kern w:val="0"/>
          <w:sz w:val="24"/>
          <w:szCs w:val="24"/>
        </w:rPr>
      </w:pPr>
      <w:r>
        <w:rPr>
          <w:rFonts w:hint="eastAsia" w:asciiTheme="minorEastAsia" w:hAnsiTheme="minorEastAsia"/>
          <w:kern w:val="0"/>
          <w:sz w:val="24"/>
          <w:szCs w:val="24"/>
          <w:lang w:eastAsia="zh-CN"/>
        </w:rPr>
        <w:t>xx交通</w:t>
      </w:r>
      <w:r>
        <w:rPr>
          <w:rFonts w:hint="eastAsia" w:asciiTheme="minorEastAsia" w:hAnsiTheme="minorEastAsia"/>
          <w:kern w:val="0"/>
          <w:sz w:val="24"/>
          <w:szCs w:val="24"/>
        </w:rPr>
        <w:t>增值税发票系统升级版及电子发票系统提供的信息安全体系架构，该架构能够：</w:t>
      </w:r>
    </w:p>
    <w:p>
      <w:pPr>
        <w:numPr>
          <w:ilvl w:val="0"/>
          <w:numId w:val="25"/>
        </w:numPr>
        <w:spacing w:line="360" w:lineRule="auto"/>
        <w:rPr>
          <w:rFonts w:asciiTheme="minorEastAsia" w:hAnsiTheme="minorEastAsia"/>
          <w:sz w:val="24"/>
          <w:szCs w:val="24"/>
        </w:rPr>
      </w:pPr>
      <w:r>
        <w:rPr>
          <w:rFonts w:hint="eastAsia" w:asciiTheme="minorEastAsia" w:hAnsiTheme="minorEastAsia"/>
          <w:sz w:val="24"/>
          <w:szCs w:val="24"/>
        </w:rPr>
        <w:t>作为对整个发票系统安全修改、扩充、增强进行规划、实施和评估工具，以适应各种业务和环境等的变化；</w:t>
      </w:r>
    </w:p>
    <w:p>
      <w:pPr>
        <w:numPr>
          <w:ilvl w:val="0"/>
          <w:numId w:val="25"/>
        </w:numPr>
        <w:spacing w:line="360" w:lineRule="auto"/>
        <w:rPr>
          <w:rFonts w:asciiTheme="minorEastAsia" w:hAnsiTheme="minorEastAsia"/>
          <w:sz w:val="24"/>
          <w:szCs w:val="24"/>
        </w:rPr>
      </w:pPr>
      <w:r>
        <w:rPr>
          <w:rFonts w:hint="eastAsia" w:asciiTheme="minorEastAsia" w:hAnsiTheme="minorEastAsia"/>
          <w:sz w:val="24"/>
          <w:szCs w:val="24"/>
        </w:rPr>
        <w:t>作为整个系统安全部件(Component)集成的工具。在该体系架构下，安全部件有序的组织起来并相互支撑，形成可管理的有效安全体系；</w:t>
      </w:r>
    </w:p>
    <w:p>
      <w:pPr>
        <w:numPr>
          <w:ilvl w:val="0"/>
          <w:numId w:val="25"/>
        </w:numPr>
        <w:spacing w:line="360" w:lineRule="auto"/>
        <w:rPr>
          <w:rFonts w:asciiTheme="minorEastAsia" w:hAnsiTheme="minorEastAsia"/>
          <w:sz w:val="24"/>
          <w:szCs w:val="24"/>
        </w:rPr>
      </w:pPr>
      <w:r>
        <w:rPr>
          <w:rFonts w:hint="eastAsia" w:asciiTheme="minorEastAsia" w:hAnsiTheme="minorEastAsia"/>
          <w:sz w:val="24"/>
          <w:szCs w:val="24"/>
        </w:rPr>
        <w:t>提供统一的安全视图，通过该视图可以建立、评估整个电子发票管理和查验信息系统的安全基线；</w:t>
      </w:r>
    </w:p>
    <w:p>
      <w:pPr>
        <w:numPr>
          <w:ilvl w:val="0"/>
          <w:numId w:val="25"/>
        </w:numPr>
        <w:spacing w:line="360" w:lineRule="auto"/>
        <w:rPr>
          <w:rFonts w:asciiTheme="minorEastAsia" w:hAnsiTheme="minorEastAsia"/>
          <w:sz w:val="24"/>
          <w:szCs w:val="24"/>
        </w:rPr>
      </w:pPr>
      <w:r>
        <w:rPr>
          <w:rFonts w:hint="eastAsia" w:asciiTheme="minorEastAsia" w:hAnsiTheme="minorEastAsia"/>
          <w:sz w:val="24"/>
          <w:szCs w:val="24"/>
        </w:rPr>
        <w:t>为电子发票系统的安全认证奠定可靠的基础。</w:t>
      </w:r>
    </w:p>
    <w:p>
      <w:pPr>
        <w:pStyle w:val="4"/>
        <w:numPr>
          <w:ilvl w:val="2"/>
          <w:numId w:val="3"/>
        </w:numPr>
        <w:spacing w:before="0" w:after="0" w:line="360" w:lineRule="auto"/>
        <w:ind w:left="0" w:leftChars="0" w:firstLine="402" w:firstLineChars="0"/>
      </w:pPr>
      <w:bookmarkStart w:id="188" w:name="_Toc10814"/>
      <w:r>
        <w:rPr>
          <w:rFonts w:hint="eastAsia"/>
        </w:rPr>
        <w:t>安全体系架构</w:t>
      </w:r>
      <w:bookmarkEnd w:id="188"/>
    </w:p>
    <w:p>
      <w:pPr>
        <w:snapToGrid w:val="0"/>
        <w:spacing w:line="360" w:lineRule="auto"/>
        <w:ind w:firstLine="480" w:firstLineChars="200"/>
        <w:rPr>
          <w:rFonts w:asciiTheme="minorEastAsia" w:hAnsiTheme="minorEastAsia"/>
          <w:kern w:val="0"/>
          <w:sz w:val="24"/>
          <w:szCs w:val="24"/>
        </w:rPr>
      </w:pPr>
      <w:r>
        <w:rPr>
          <w:rFonts w:hint="eastAsia" w:asciiTheme="minorEastAsia" w:hAnsiTheme="minorEastAsia"/>
          <w:kern w:val="0"/>
          <w:sz w:val="24"/>
          <w:szCs w:val="24"/>
        </w:rPr>
        <w:t>发票系统的安全体系架构如下图所示：</w:t>
      </w:r>
    </w:p>
    <w:p>
      <w:pPr>
        <w:spacing w:line="360" w:lineRule="auto"/>
        <w:rPr>
          <w:rFonts w:hint="eastAsia" w:asciiTheme="minorEastAsia" w:hAnsiTheme="minorEastAsia" w:eastAsiaTheme="minorEastAsia"/>
          <w:szCs w:val="21"/>
          <w:lang w:eastAsia="zh-CN"/>
        </w:rPr>
      </w:pPr>
      <w:r>
        <w:rPr>
          <w:rFonts w:hint="eastAsia" w:asciiTheme="minorEastAsia" w:hAnsiTheme="minorEastAsia" w:eastAsiaTheme="minorEastAsia"/>
          <w:szCs w:val="21"/>
          <w:lang w:eastAsia="zh-CN"/>
        </w:rPr>
        <w:drawing>
          <wp:inline distT="0" distB="0" distL="114300" distR="114300">
            <wp:extent cx="5273675" cy="3668395"/>
            <wp:effectExtent l="0" t="0" r="14605" b="4445"/>
            <wp:docPr id="13" name="图片 13" descr="齐鲁系统架构图-安全架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齐鲁系统架构图-安全架构"/>
                    <pic:cNvPicPr>
                      <a:picLocks noChangeAspect="1"/>
                    </pic:cNvPicPr>
                  </pic:nvPicPr>
                  <pic:blipFill>
                    <a:blip r:embed="rId12"/>
                    <a:stretch>
                      <a:fillRect/>
                    </a:stretch>
                  </pic:blipFill>
                  <pic:spPr>
                    <a:xfrm>
                      <a:off x="0" y="0"/>
                      <a:ext cx="5273675" cy="3668395"/>
                    </a:xfrm>
                    <a:prstGeom prst="rect">
                      <a:avLst/>
                    </a:prstGeom>
                  </pic:spPr>
                </pic:pic>
              </a:graphicData>
            </a:graphic>
          </wp:inline>
        </w:drawing>
      </w:r>
    </w:p>
    <w:p>
      <w:pPr>
        <w:spacing w:line="360" w:lineRule="auto"/>
        <w:jc w:val="center"/>
        <w:rPr>
          <w:rFonts w:asciiTheme="minorEastAsia" w:hAnsiTheme="minorEastAsia"/>
          <w:szCs w:val="21"/>
        </w:rPr>
      </w:pPr>
      <w:r>
        <w:rPr>
          <w:rFonts w:hint="eastAsia" w:asciiTheme="minorEastAsia" w:hAnsiTheme="minorEastAsia"/>
          <w:szCs w:val="21"/>
        </w:rPr>
        <w:t>安全架构图</w:t>
      </w:r>
    </w:p>
    <w:p>
      <w:pPr>
        <w:snapToGrid w:val="0"/>
        <w:spacing w:line="360" w:lineRule="auto"/>
        <w:ind w:firstLine="480" w:firstLineChars="200"/>
        <w:rPr>
          <w:rFonts w:asciiTheme="minorEastAsia" w:hAnsiTheme="minorEastAsia"/>
          <w:kern w:val="0"/>
          <w:szCs w:val="21"/>
        </w:rPr>
      </w:pPr>
      <w:r>
        <w:rPr>
          <w:rFonts w:hint="eastAsia" w:asciiTheme="minorEastAsia" w:hAnsiTheme="minorEastAsia"/>
          <w:kern w:val="0"/>
          <w:sz w:val="24"/>
          <w:szCs w:val="24"/>
        </w:rPr>
        <w:t>发票系统安全体系架构中有些部分是采用组织与行政管理形式实现；有些部分是采用技术与产品形式实现；有些部分是通过技术手段来贯彻行政管理策略实现，因此，整个安全体系的概念是将技术体系和管理体系贯穿与融合。安全体系架构中各个部件及相互关系描述如下：</w:t>
      </w:r>
    </w:p>
    <w:tbl>
      <w:tblPr>
        <w:tblStyle w:val="34"/>
        <w:tblW w:w="9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457"/>
        <w:gridCol w:w="3402"/>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2" w:type="dxa"/>
            <w:shd w:val="clear" w:color="auto" w:fill="E0E0E0"/>
            <w:vAlign w:val="center"/>
          </w:tcPr>
          <w:p>
            <w:pPr>
              <w:spacing w:line="360" w:lineRule="auto"/>
            </w:pPr>
            <w:r>
              <w:rPr>
                <w:rFonts w:hint="eastAsia"/>
              </w:rPr>
              <w:t>项目</w:t>
            </w:r>
          </w:p>
        </w:tc>
        <w:tc>
          <w:tcPr>
            <w:tcW w:w="1457" w:type="dxa"/>
            <w:shd w:val="clear" w:color="auto" w:fill="E0E0E0"/>
            <w:vAlign w:val="center"/>
          </w:tcPr>
          <w:p>
            <w:pPr>
              <w:spacing w:line="360" w:lineRule="auto"/>
            </w:pPr>
            <w:r>
              <w:rPr>
                <w:rFonts w:hint="eastAsia"/>
              </w:rPr>
              <w:t>内容</w:t>
            </w:r>
          </w:p>
        </w:tc>
        <w:tc>
          <w:tcPr>
            <w:tcW w:w="3402" w:type="dxa"/>
            <w:shd w:val="clear" w:color="auto" w:fill="E0E0E0"/>
            <w:vAlign w:val="center"/>
          </w:tcPr>
          <w:p>
            <w:pPr>
              <w:spacing w:line="360" w:lineRule="auto"/>
            </w:pPr>
            <w:r>
              <w:rPr>
                <w:rFonts w:hint="eastAsia"/>
              </w:rPr>
              <w:t>定义</w:t>
            </w:r>
          </w:p>
        </w:tc>
        <w:tc>
          <w:tcPr>
            <w:tcW w:w="3402" w:type="dxa"/>
            <w:shd w:val="clear" w:color="auto" w:fill="E0E0E0"/>
            <w:vAlign w:val="center"/>
          </w:tcPr>
          <w:p>
            <w:pPr>
              <w:spacing w:line="360" w:lineRule="auto"/>
            </w:pPr>
            <w:r>
              <w:rPr>
                <w:rFonts w:hint="eastAsia"/>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72" w:type="dxa"/>
            <w:vMerge w:val="restart"/>
            <w:vAlign w:val="center"/>
          </w:tcPr>
          <w:p>
            <w:pPr>
              <w:spacing w:line="360" w:lineRule="auto"/>
            </w:pPr>
            <w:r>
              <w:rPr>
                <w:rFonts w:hint="eastAsia"/>
              </w:rPr>
              <w:t>安全策略</w:t>
            </w:r>
          </w:p>
        </w:tc>
        <w:tc>
          <w:tcPr>
            <w:tcW w:w="1457" w:type="dxa"/>
            <w:vAlign w:val="center"/>
          </w:tcPr>
          <w:p>
            <w:pPr>
              <w:spacing w:line="360" w:lineRule="auto"/>
            </w:pPr>
            <w:r>
              <w:rPr>
                <w:rFonts w:hint="eastAsia"/>
              </w:rPr>
              <w:t>安全方针</w:t>
            </w:r>
          </w:p>
        </w:tc>
        <w:tc>
          <w:tcPr>
            <w:tcW w:w="3402" w:type="dxa"/>
            <w:vAlign w:val="center"/>
          </w:tcPr>
          <w:p>
            <w:pPr>
              <w:spacing w:line="360" w:lineRule="auto"/>
            </w:pPr>
            <w:r>
              <w:rPr>
                <w:rFonts w:cs="宋体"/>
                <w:kern w:val="0"/>
              </w:rPr>
              <w:t>组织的信息安全委员会或管理当局制定的一个高层文件，用于指导组织如何对资产，包括敏感性信息进行管理、保护和分配的规则和指示。</w:t>
            </w:r>
          </w:p>
        </w:tc>
        <w:tc>
          <w:tcPr>
            <w:tcW w:w="3402" w:type="dxa"/>
            <w:vAlign w:val="center"/>
          </w:tcPr>
          <w:p>
            <w:pPr>
              <w:spacing w:line="360" w:lineRule="auto"/>
              <w:rPr>
                <w:color w:val="000000"/>
              </w:rPr>
            </w:pPr>
            <w:r>
              <w:rPr>
                <w:rFonts w:cs="宋体"/>
                <w:kern w:val="0"/>
              </w:rPr>
              <w:t>信息安全方针主要是为组织提供清晰的策略方向，表明信息安全管理和技术的原则，为</w:t>
            </w:r>
            <w:r>
              <w:rPr>
                <w:rFonts w:hint="eastAsia" w:cs="宋体"/>
                <w:kern w:val="0"/>
              </w:rPr>
              <w:t>信息安全</w:t>
            </w:r>
            <w:r>
              <w:rPr>
                <w:rFonts w:cs="宋体"/>
                <w:kern w:val="0"/>
              </w:rPr>
              <w:t>工作提供指引和支持，是一个比较高层的、指导性的文档</w:t>
            </w:r>
            <w:r>
              <w:rPr>
                <w:rFonts w:hint="eastAsia" w:cs="宋体"/>
                <w:kern w:val="0"/>
              </w:rPr>
              <w:t>。其他安全策略部件</w:t>
            </w:r>
            <w:r>
              <w:rPr>
                <w:rFonts w:hint="eastAsia"/>
                <w:color w:val="000000"/>
              </w:rPr>
              <w:t>都从安全方针引申出来，并遵照安全方针，不与之发生违背和抵触。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872" w:type="dxa"/>
            <w:vMerge w:val="continue"/>
            <w:vAlign w:val="center"/>
          </w:tcPr>
          <w:p>
            <w:pPr>
              <w:spacing w:line="360" w:lineRule="auto"/>
            </w:pPr>
          </w:p>
        </w:tc>
        <w:tc>
          <w:tcPr>
            <w:tcW w:w="1457" w:type="dxa"/>
            <w:vAlign w:val="center"/>
          </w:tcPr>
          <w:p>
            <w:pPr>
              <w:spacing w:line="360" w:lineRule="auto"/>
            </w:pPr>
            <w:r>
              <w:rPr>
                <w:rFonts w:hint="eastAsia"/>
              </w:rPr>
              <w:t>管理策略</w:t>
            </w:r>
          </w:p>
        </w:tc>
        <w:tc>
          <w:tcPr>
            <w:tcW w:w="3402" w:type="dxa"/>
            <w:vAlign w:val="center"/>
          </w:tcPr>
          <w:p>
            <w:pPr>
              <w:spacing w:line="360" w:lineRule="auto"/>
              <w:rPr>
                <w:rFonts w:cs="宋体"/>
                <w:kern w:val="0"/>
              </w:rPr>
            </w:pPr>
            <w:r>
              <w:rPr>
                <w:rFonts w:cs="宋体"/>
                <w:kern w:val="0"/>
              </w:rPr>
              <w:t>安全管理策略需要根据单位中不同部门的具体情况，演变为一种具体的安全管理制度</w:t>
            </w:r>
            <w:r>
              <w:rPr>
                <w:rFonts w:hint="eastAsia" w:cs="宋体"/>
                <w:kern w:val="0"/>
              </w:rPr>
              <w:t>职责</w:t>
            </w:r>
            <w:r>
              <w:rPr>
                <w:rFonts w:cs="宋体"/>
                <w:kern w:val="0"/>
              </w:rPr>
              <w:t>，落实到相应的部门和人员</w:t>
            </w:r>
            <w:r>
              <w:rPr>
                <w:rFonts w:hint="eastAsia" w:cs="宋体"/>
                <w:kern w:val="0"/>
              </w:rPr>
              <w:t>。</w:t>
            </w:r>
          </w:p>
        </w:tc>
        <w:tc>
          <w:tcPr>
            <w:tcW w:w="3402" w:type="dxa"/>
            <w:vAlign w:val="center"/>
          </w:tcPr>
          <w:p>
            <w:pPr>
              <w:spacing w:line="360" w:lineRule="auto"/>
            </w:pPr>
            <w:r>
              <w:rPr>
                <w:kern w:val="0"/>
              </w:rPr>
              <w:t>根据</w:t>
            </w:r>
            <w:r>
              <w:rPr>
                <w:rFonts w:hint="eastAsia"/>
                <w:kern w:val="0"/>
              </w:rPr>
              <w:t>安全方针</w:t>
            </w:r>
            <w:r>
              <w:rPr>
                <w:kern w:val="0"/>
              </w:rPr>
              <w:t>的要求制订</w:t>
            </w:r>
            <w:r>
              <w:rPr>
                <w:rFonts w:hint="eastAsia"/>
                <w:kern w:val="0"/>
              </w:rPr>
              <w:t>相应的安全管理策略</w:t>
            </w:r>
            <w:r>
              <w:rPr>
                <w:kern w:val="0"/>
              </w:rPr>
              <w:t>，</w:t>
            </w:r>
            <w:r>
              <w:rPr>
                <w:rFonts w:hint="eastAsia"/>
                <w:kern w:val="0"/>
              </w:rPr>
              <w:t>安全管理策略是安全管理体系的建设的主要依据之一。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872" w:type="dxa"/>
            <w:vMerge w:val="continue"/>
            <w:vAlign w:val="center"/>
          </w:tcPr>
          <w:p>
            <w:pPr>
              <w:spacing w:line="360" w:lineRule="auto"/>
            </w:pPr>
          </w:p>
        </w:tc>
        <w:tc>
          <w:tcPr>
            <w:tcW w:w="1457" w:type="dxa"/>
            <w:vAlign w:val="center"/>
          </w:tcPr>
          <w:p>
            <w:pPr>
              <w:spacing w:line="360" w:lineRule="auto"/>
            </w:pPr>
            <w:r>
              <w:rPr>
                <w:rFonts w:hint="eastAsia"/>
              </w:rPr>
              <w:t>技术策略</w:t>
            </w:r>
          </w:p>
        </w:tc>
        <w:tc>
          <w:tcPr>
            <w:tcW w:w="3402" w:type="dxa"/>
            <w:vAlign w:val="center"/>
          </w:tcPr>
          <w:p>
            <w:pPr>
              <w:spacing w:line="360" w:lineRule="auto"/>
            </w:pPr>
            <w:r>
              <w:rPr>
                <w:rFonts w:cs="宋体"/>
                <w:kern w:val="0"/>
              </w:rPr>
              <w:t>安全技术策略需要集合相应的安全技术或安全设备，演变为安全技术规则，配发到相应的系统或安全设备上</w:t>
            </w:r>
            <w:r>
              <w:rPr>
                <w:rFonts w:hint="eastAsia" w:cs="宋体"/>
                <w:kern w:val="0"/>
              </w:rPr>
              <w:t>。</w:t>
            </w:r>
          </w:p>
        </w:tc>
        <w:tc>
          <w:tcPr>
            <w:tcW w:w="3402" w:type="dxa"/>
            <w:vAlign w:val="center"/>
          </w:tcPr>
          <w:p>
            <w:pPr>
              <w:spacing w:line="360" w:lineRule="auto"/>
            </w:pPr>
            <w:r>
              <w:rPr>
                <w:rFonts w:hint="eastAsia"/>
                <w:color w:val="000000"/>
              </w:rPr>
              <w:t>向上遵照最高方针，向内延伸出安全技术规范和操作流程。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872" w:type="dxa"/>
            <w:vMerge w:val="continue"/>
            <w:vAlign w:val="center"/>
          </w:tcPr>
          <w:p>
            <w:pPr>
              <w:spacing w:line="360" w:lineRule="auto"/>
            </w:pPr>
          </w:p>
        </w:tc>
        <w:tc>
          <w:tcPr>
            <w:tcW w:w="1457" w:type="dxa"/>
            <w:vAlign w:val="center"/>
          </w:tcPr>
          <w:p>
            <w:pPr>
              <w:spacing w:line="360" w:lineRule="auto"/>
            </w:pPr>
            <w:r>
              <w:rPr>
                <w:rFonts w:hint="eastAsia"/>
              </w:rPr>
              <w:t>外部标准</w:t>
            </w:r>
          </w:p>
        </w:tc>
        <w:tc>
          <w:tcPr>
            <w:tcW w:w="3402" w:type="dxa"/>
            <w:vAlign w:val="center"/>
          </w:tcPr>
          <w:p>
            <w:pPr>
              <w:spacing w:line="360" w:lineRule="auto"/>
            </w:pPr>
            <w:r>
              <w:rPr>
                <w:rFonts w:hint="eastAsia" w:cs="宋体"/>
              </w:rPr>
              <w:t>是税务系统进行信息系统规划、建设、运维、废弃的工程中所遵循或者参考的</w:t>
            </w:r>
            <w:r>
              <w:rPr>
                <w:rFonts w:hint="eastAsia"/>
                <w:color w:val="000000"/>
              </w:rPr>
              <w:t>国家标准、行业标准、技术规范以及相应的国际标准。</w:t>
            </w:r>
          </w:p>
        </w:tc>
        <w:tc>
          <w:tcPr>
            <w:tcW w:w="3402" w:type="dxa"/>
            <w:vAlign w:val="center"/>
          </w:tcPr>
          <w:p>
            <w:pPr>
              <w:spacing w:line="360" w:lineRule="auto"/>
            </w:pPr>
            <w:r>
              <w:rPr>
                <w:rFonts w:hint="eastAsia"/>
              </w:rPr>
              <w:t>可作为其他策略部件的依据和参考。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2" w:type="dxa"/>
            <w:vMerge w:val="restart"/>
            <w:vAlign w:val="center"/>
          </w:tcPr>
          <w:p>
            <w:pPr>
              <w:spacing w:line="360" w:lineRule="auto"/>
            </w:pPr>
            <w:r>
              <w:rPr>
                <w:rFonts w:hint="eastAsia"/>
              </w:rPr>
              <w:t>安全管理</w:t>
            </w:r>
          </w:p>
        </w:tc>
        <w:tc>
          <w:tcPr>
            <w:tcW w:w="1457" w:type="dxa"/>
            <w:vAlign w:val="center"/>
          </w:tcPr>
          <w:p>
            <w:pPr>
              <w:spacing w:line="360" w:lineRule="auto"/>
            </w:pPr>
            <w:r>
              <w:rPr>
                <w:rFonts w:hint="eastAsia"/>
              </w:rPr>
              <w:t>安全组织机构</w:t>
            </w:r>
          </w:p>
        </w:tc>
        <w:tc>
          <w:tcPr>
            <w:tcW w:w="3402" w:type="dxa"/>
            <w:vAlign w:val="center"/>
          </w:tcPr>
          <w:p>
            <w:pPr>
              <w:spacing w:line="360" w:lineRule="auto"/>
            </w:pPr>
            <w:r>
              <w:rPr>
                <w:rFonts w:hint="eastAsia"/>
              </w:rPr>
              <w:t>也称安全管理机构，是指在总部系统设立对信息安全进行管理的专门的组织机构</w:t>
            </w:r>
          </w:p>
        </w:tc>
        <w:tc>
          <w:tcPr>
            <w:tcW w:w="3402" w:type="dxa"/>
            <w:vAlign w:val="center"/>
          </w:tcPr>
          <w:p>
            <w:pPr>
              <w:spacing w:line="360" w:lineRule="auto"/>
            </w:pPr>
            <w:r>
              <w:rPr>
                <w:rFonts w:hint="eastAsia"/>
                <w:color w:val="000000"/>
              </w:rPr>
              <w:t>在安全组织机构中要求明确各级领导和管理人员的职责，明确安全管理人员的配置，实现对人员、系统、安全设备、物理环境和系统运行的安全管理。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2" w:type="dxa"/>
            <w:vMerge w:val="continue"/>
            <w:vAlign w:val="center"/>
          </w:tcPr>
          <w:p>
            <w:pPr>
              <w:spacing w:line="360" w:lineRule="auto"/>
            </w:pPr>
          </w:p>
        </w:tc>
        <w:tc>
          <w:tcPr>
            <w:tcW w:w="1457" w:type="dxa"/>
            <w:vAlign w:val="center"/>
          </w:tcPr>
          <w:p>
            <w:pPr>
              <w:spacing w:line="360" w:lineRule="auto"/>
            </w:pPr>
            <w:r>
              <w:rPr>
                <w:rFonts w:hint="eastAsia"/>
              </w:rPr>
              <w:t>人员安全管理</w:t>
            </w:r>
          </w:p>
        </w:tc>
        <w:tc>
          <w:tcPr>
            <w:tcW w:w="3402" w:type="dxa"/>
            <w:vAlign w:val="center"/>
          </w:tcPr>
          <w:p>
            <w:pPr>
              <w:spacing w:line="360" w:lineRule="auto"/>
              <w:rPr>
                <w:rFonts w:cs="宋体"/>
                <w:kern w:val="0"/>
              </w:rPr>
            </w:pPr>
            <w:r>
              <w:rPr>
                <w:rFonts w:hint="eastAsia"/>
              </w:rPr>
              <w:t>对内部人员、承包方人员、第三方人员进行管理。</w:t>
            </w:r>
          </w:p>
        </w:tc>
        <w:tc>
          <w:tcPr>
            <w:tcW w:w="3402" w:type="dxa"/>
            <w:vAlign w:val="center"/>
          </w:tcPr>
          <w:p>
            <w:pPr>
              <w:spacing w:line="360" w:lineRule="auto"/>
            </w:pPr>
            <w:r>
              <w:rPr>
                <w:rFonts w:hint="eastAsia"/>
              </w:rPr>
              <w:t>确保其理解各自的职责、并承担相应的责任，以降低设施被窃、欺诈和误用的风险。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2" w:type="dxa"/>
            <w:vMerge w:val="continue"/>
            <w:vAlign w:val="center"/>
          </w:tcPr>
          <w:p>
            <w:pPr>
              <w:spacing w:line="360" w:lineRule="auto"/>
            </w:pPr>
          </w:p>
        </w:tc>
        <w:tc>
          <w:tcPr>
            <w:tcW w:w="1457" w:type="dxa"/>
            <w:vAlign w:val="center"/>
          </w:tcPr>
          <w:p>
            <w:pPr>
              <w:spacing w:line="360" w:lineRule="auto"/>
            </w:pPr>
            <w:r>
              <w:rPr>
                <w:rFonts w:hint="eastAsia"/>
              </w:rPr>
              <w:t>安全管理制度</w:t>
            </w:r>
          </w:p>
        </w:tc>
        <w:tc>
          <w:tcPr>
            <w:tcW w:w="3402" w:type="dxa"/>
            <w:vAlign w:val="center"/>
          </w:tcPr>
          <w:p>
            <w:pPr>
              <w:spacing w:line="360" w:lineRule="auto"/>
            </w:pPr>
            <w:r>
              <w:rPr>
                <w:rFonts w:hint="eastAsia"/>
              </w:rPr>
              <w:t>用来规范人员行为，明确任务责任的相关文件。</w:t>
            </w:r>
          </w:p>
        </w:tc>
        <w:tc>
          <w:tcPr>
            <w:tcW w:w="3402" w:type="dxa"/>
            <w:vAlign w:val="center"/>
          </w:tcPr>
          <w:p>
            <w:pPr>
              <w:spacing w:line="360" w:lineRule="auto"/>
            </w:pPr>
            <w:r>
              <w:rPr>
                <w:rFonts w:hint="eastAsia"/>
              </w:rPr>
              <w:t>制度文件汇编成固定有效的版本并发布之后，将在信息系统日常运行、管理、使用方面起到规范、指导等基础性作用。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2" w:type="dxa"/>
            <w:vMerge w:val="continue"/>
            <w:vAlign w:val="center"/>
          </w:tcPr>
          <w:p>
            <w:pPr>
              <w:spacing w:line="360" w:lineRule="auto"/>
            </w:pPr>
          </w:p>
        </w:tc>
        <w:tc>
          <w:tcPr>
            <w:tcW w:w="1457" w:type="dxa"/>
            <w:vAlign w:val="center"/>
          </w:tcPr>
          <w:p>
            <w:pPr>
              <w:spacing w:line="360" w:lineRule="auto"/>
            </w:pPr>
            <w:r>
              <w:rPr>
                <w:rFonts w:hint="eastAsia"/>
              </w:rPr>
              <w:t>系统生命周期安全管理</w:t>
            </w:r>
          </w:p>
        </w:tc>
        <w:tc>
          <w:tcPr>
            <w:tcW w:w="3402" w:type="dxa"/>
            <w:vAlign w:val="center"/>
          </w:tcPr>
          <w:p>
            <w:pPr>
              <w:spacing w:line="360" w:lineRule="auto"/>
            </w:pPr>
            <w:r>
              <w:rPr>
                <w:rFonts w:hint="eastAsia"/>
              </w:rPr>
              <w:t>将信息安全管理同信息系统生命周期相结合，在信息系统生命周期的不同阶段进行不同的信息系统安全保障管理。</w:t>
            </w:r>
          </w:p>
        </w:tc>
        <w:tc>
          <w:tcPr>
            <w:tcW w:w="3402" w:type="dxa"/>
            <w:vAlign w:val="center"/>
          </w:tcPr>
          <w:p>
            <w:pPr>
              <w:spacing w:line="360" w:lineRule="auto"/>
            </w:pPr>
            <w:r>
              <w:rPr>
                <w:rFonts w:hint="eastAsia"/>
              </w:rPr>
              <w:t>信息系统安全管理保障通过深入至信息系统生命周期的每一个阶段从而保证信息的保密性、完整性和可用性来实现信息系统的安全。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0" w:hRule="atLeast"/>
        </w:trPr>
        <w:tc>
          <w:tcPr>
            <w:tcW w:w="872" w:type="dxa"/>
            <w:vMerge w:val="continue"/>
            <w:vAlign w:val="center"/>
          </w:tcPr>
          <w:p>
            <w:pPr>
              <w:spacing w:line="360" w:lineRule="auto"/>
            </w:pPr>
          </w:p>
        </w:tc>
        <w:tc>
          <w:tcPr>
            <w:tcW w:w="1457" w:type="dxa"/>
            <w:vAlign w:val="center"/>
          </w:tcPr>
          <w:p>
            <w:pPr>
              <w:spacing w:line="360" w:lineRule="auto"/>
            </w:pPr>
            <w:r>
              <w:rPr>
                <w:rFonts w:hint="eastAsia"/>
              </w:rPr>
              <w:t>信息生命周期安全管理</w:t>
            </w:r>
          </w:p>
        </w:tc>
        <w:tc>
          <w:tcPr>
            <w:tcW w:w="3402" w:type="dxa"/>
            <w:vAlign w:val="center"/>
          </w:tcPr>
          <w:p>
            <w:pPr>
              <w:spacing w:line="360" w:lineRule="auto"/>
            </w:pPr>
            <w:r>
              <w:t>对信息进行贯穿其整个生命的</w:t>
            </w:r>
            <w:r>
              <w:rPr>
                <w:rFonts w:hint="eastAsia"/>
              </w:rPr>
              <w:t>安全</w:t>
            </w:r>
            <w:r>
              <w:t>管理需要相应的策略和技术实现手段</w:t>
            </w:r>
            <w:r>
              <w:rPr>
                <w:rFonts w:hint="eastAsia"/>
              </w:rPr>
              <w:t>。</w:t>
            </w:r>
          </w:p>
        </w:tc>
        <w:tc>
          <w:tcPr>
            <w:tcW w:w="3402" w:type="dxa"/>
            <w:vAlign w:val="center"/>
          </w:tcPr>
          <w:p>
            <w:pPr>
              <w:spacing w:line="360" w:lineRule="auto"/>
            </w:pPr>
            <w:r>
              <w:t>信息生命周期</w:t>
            </w:r>
            <w:r>
              <w:rPr>
                <w:rFonts w:hint="eastAsia"/>
              </w:rPr>
              <w:t>安全</w:t>
            </w:r>
            <w:r>
              <w:t>管理的目的在于帮助</w:t>
            </w:r>
            <w:r>
              <w:rPr>
                <w:rFonts w:hint="eastAsia"/>
              </w:rPr>
              <w:t>税务系统</w:t>
            </w:r>
            <w:r>
              <w:t>在信息生命周期的各个阶段以最低的成本获得最大的价值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872" w:type="dxa"/>
            <w:vMerge w:val="restart"/>
            <w:vAlign w:val="center"/>
          </w:tcPr>
          <w:p>
            <w:pPr>
              <w:spacing w:line="360" w:lineRule="auto"/>
            </w:pPr>
            <w:r>
              <w:rPr>
                <w:rFonts w:hint="eastAsia"/>
              </w:rPr>
              <w:t>安全技术</w:t>
            </w:r>
          </w:p>
        </w:tc>
        <w:tc>
          <w:tcPr>
            <w:tcW w:w="1457" w:type="dxa"/>
            <w:vAlign w:val="center"/>
          </w:tcPr>
          <w:p>
            <w:pPr>
              <w:spacing w:line="360" w:lineRule="auto"/>
            </w:pPr>
            <w:r>
              <w:rPr>
                <w:rFonts w:hint="eastAsia"/>
              </w:rPr>
              <w:t>物理安全</w:t>
            </w:r>
          </w:p>
        </w:tc>
        <w:tc>
          <w:tcPr>
            <w:tcW w:w="3402" w:type="dxa"/>
            <w:vAlign w:val="center"/>
          </w:tcPr>
          <w:p>
            <w:pPr>
              <w:spacing w:line="360" w:lineRule="auto"/>
            </w:pPr>
            <w:r>
              <w:rPr>
                <w:rFonts w:hint="eastAsia"/>
              </w:rPr>
              <w:t>物理安全是要保证计算机系统有一个安全的物理环境以及对接触信息系统的人员有一套完善的技术控制手段</w:t>
            </w:r>
          </w:p>
        </w:tc>
        <w:tc>
          <w:tcPr>
            <w:tcW w:w="3402" w:type="dxa"/>
            <w:vAlign w:val="center"/>
          </w:tcPr>
          <w:p>
            <w:pPr>
              <w:spacing w:line="360" w:lineRule="auto"/>
            </w:pPr>
            <w:r>
              <w:rPr>
                <w:rFonts w:hint="eastAsia"/>
              </w:rPr>
              <w:t>在信息系统安全中，物理安全是基础。如果物理安全得不到保证，如计算机设备遭到破坏或被人非法接触，那么其他的一切安全措施就都只是空中楼阁。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8" w:hRule="atLeast"/>
        </w:trPr>
        <w:tc>
          <w:tcPr>
            <w:tcW w:w="872" w:type="dxa"/>
            <w:vMerge w:val="continue"/>
            <w:vAlign w:val="center"/>
          </w:tcPr>
          <w:p>
            <w:pPr>
              <w:spacing w:line="360" w:lineRule="auto"/>
            </w:pPr>
          </w:p>
        </w:tc>
        <w:tc>
          <w:tcPr>
            <w:tcW w:w="1457" w:type="dxa"/>
            <w:vAlign w:val="center"/>
          </w:tcPr>
          <w:p>
            <w:pPr>
              <w:spacing w:line="360" w:lineRule="auto"/>
            </w:pPr>
            <w:r>
              <w:rPr>
                <w:rFonts w:hint="eastAsia"/>
              </w:rPr>
              <w:t>网络安全</w:t>
            </w:r>
          </w:p>
        </w:tc>
        <w:tc>
          <w:tcPr>
            <w:tcW w:w="3402" w:type="dxa"/>
            <w:vAlign w:val="center"/>
          </w:tcPr>
          <w:p>
            <w:pPr>
              <w:spacing w:line="360" w:lineRule="auto"/>
            </w:pPr>
            <w:r>
              <w:rPr>
                <w:rFonts w:hint="eastAsia"/>
              </w:rPr>
              <w:t>网络安全是指信息系统广域网以及局域网网络架构、网络协议和网络设备的安全。</w:t>
            </w:r>
          </w:p>
        </w:tc>
        <w:tc>
          <w:tcPr>
            <w:tcW w:w="3402" w:type="dxa"/>
            <w:vAlign w:val="center"/>
          </w:tcPr>
          <w:p>
            <w:pPr>
              <w:spacing w:line="360" w:lineRule="auto"/>
            </w:pPr>
            <w:r>
              <w:rPr>
                <w:rFonts w:hint="eastAsia"/>
                <w:color w:val="000000"/>
              </w:rPr>
              <w:t>税务信息化很大程度上依赖网络系统保障，建设包含网络安全在内的体系信息系统安全的首要问题。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872" w:type="dxa"/>
            <w:vMerge w:val="continue"/>
            <w:vAlign w:val="center"/>
          </w:tcPr>
          <w:p>
            <w:pPr>
              <w:spacing w:line="360" w:lineRule="auto"/>
            </w:pPr>
          </w:p>
        </w:tc>
        <w:tc>
          <w:tcPr>
            <w:tcW w:w="1457" w:type="dxa"/>
            <w:vAlign w:val="center"/>
          </w:tcPr>
          <w:p>
            <w:pPr>
              <w:spacing w:line="360" w:lineRule="auto"/>
            </w:pPr>
            <w:r>
              <w:rPr>
                <w:rFonts w:hint="eastAsia"/>
              </w:rPr>
              <w:t>系统安全</w:t>
            </w:r>
          </w:p>
        </w:tc>
        <w:tc>
          <w:tcPr>
            <w:tcW w:w="3402" w:type="dxa"/>
            <w:vAlign w:val="center"/>
          </w:tcPr>
          <w:p>
            <w:pPr>
              <w:spacing w:line="360" w:lineRule="auto"/>
            </w:pPr>
            <w:r>
              <w:rPr>
                <w:rFonts w:hint="eastAsia"/>
              </w:rPr>
              <w:t>也称主机安全，在主机运行的操作系统和数据库上采用相应措施，在采集、加工、存储、传输、检索时提供安全环境</w:t>
            </w:r>
          </w:p>
        </w:tc>
        <w:tc>
          <w:tcPr>
            <w:tcW w:w="3402" w:type="dxa"/>
            <w:vAlign w:val="center"/>
          </w:tcPr>
          <w:p>
            <w:pPr>
              <w:spacing w:line="360" w:lineRule="auto"/>
            </w:pPr>
            <w:r>
              <w:rPr>
                <w:rFonts w:hint="eastAsia"/>
              </w:rPr>
              <w:t>主要是指保护操作系统和数据库安全。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872" w:type="dxa"/>
            <w:vMerge w:val="continue"/>
            <w:vAlign w:val="center"/>
          </w:tcPr>
          <w:p>
            <w:pPr>
              <w:spacing w:line="360" w:lineRule="auto"/>
            </w:pPr>
          </w:p>
        </w:tc>
        <w:tc>
          <w:tcPr>
            <w:tcW w:w="1457" w:type="dxa"/>
            <w:vAlign w:val="center"/>
          </w:tcPr>
          <w:p>
            <w:pPr>
              <w:spacing w:line="360" w:lineRule="auto"/>
            </w:pPr>
            <w:r>
              <w:rPr>
                <w:rFonts w:hint="eastAsia"/>
              </w:rPr>
              <w:t>应用安全</w:t>
            </w:r>
          </w:p>
        </w:tc>
        <w:tc>
          <w:tcPr>
            <w:tcW w:w="3402" w:type="dxa"/>
            <w:vAlign w:val="center"/>
          </w:tcPr>
          <w:p>
            <w:pPr>
              <w:spacing w:line="360" w:lineRule="auto"/>
            </w:pPr>
            <w:r>
              <w:rPr>
                <w:rFonts w:hint="eastAsia"/>
              </w:rPr>
              <w:t>应用安全是指通用应用程序，例如业务系统、中间件以及专有软件的安全。</w:t>
            </w:r>
          </w:p>
          <w:p>
            <w:pPr>
              <w:spacing w:line="360" w:lineRule="auto"/>
            </w:pPr>
          </w:p>
        </w:tc>
        <w:tc>
          <w:tcPr>
            <w:tcW w:w="3402" w:type="dxa"/>
            <w:vAlign w:val="center"/>
          </w:tcPr>
          <w:p>
            <w:pPr>
              <w:spacing w:line="360" w:lineRule="auto"/>
            </w:pPr>
            <w:r>
              <w:t>应用安全，针对应用程序或工具在使用过程中可能出现计算、传输数据的泄露和失窃，通过其他安全工具或策略来消除隐患</w:t>
            </w:r>
            <w:r>
              <w:rPr>
                <w:rFonts w:hint="eastAsia"/>
              </w:rPr>
              <w:t>应用安全和数据安全直接相关。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72" w:type="dxa"/>
            <w:vMerge w:val="continue"/>
            <w:vAlign w:val="center"/>
          </w:tcPr>
          <w:p>
            <w:pPr>
              <w:spacing w:line="360" w:lineRule="auto"/>
            </w:pPr>
          </w:p>
        </w:tc>
        <w:tc>
          <w:tcPr>
            <w:tcW w:w="1457" w:type="dxa"/>
            <w:vAlign w:val="center"/>
          </w:tcPr>
          <w:p>
            <w:pPr>
              <w:spacing w:line="360" w:lineRule="auto"/>
            </w:pPr>
            <w:r>
              <w:rPr>
                <w:rFonts w:hint="eastAsia"/>
              </w:rPr>
              <w:t>数据安全</w:t>
            </w:r>
          </w:p>
        </w:tc>
        <w:tc>
          <w:tcPr>
            <w:tcW w:w="3402" w:type="dxa"/>
            <w:vAlign w:val="center"/>
          </w:tcPr>
          <w:p>
            <w:pPr>
              <w:spacing w:line="360" w:lineRule="auto"/>
            </w:pPr>
            <w:r>
              <w:rPr>
                <w:rFonts w:hint="eastAsia"/>
              </w:rPr>
              <w:t>数据安全主要是数据的传输安全和存储安全。</w:t>
            </w:r>
          </w:p>
        </w:tc>
        <w:tc>
          <w:tcPr>
            <w:tcW w:w="3402" w:type="dxa"/>
            <w:vAlign w:val="center"/>
          </w:tcPr>
          <w:p>
            <w:pPr>
              <w:spacing w:line="360" w:lineRule="auto"/>
            </w:pPr>
            <w:r>
              <w:rPr>
                <w:rFonts w:hint="eastAsia"/>
              </w:rPr>
              <w:t>这些数据可能处于</w:t>
            </w:r>
            <w:r>
              <w:t>传输</w:t>
            </w:r>
            <w:r>
              <w:rPr>
                <w:rFonts w:hint="eastAsia"/>
              </w:rPr>
              <w:t>和</w:t>
            </w:r>
            <w:r>
              <w:t>处理</w:t>
            </w:r>
            <w:r>
              <w:rPr>
                <w:rFonts w:hint="eastAsia"/>
              </w:rPr>
              <w:t>过程中，也可能处于存储状态。对于传输和处理过程中的数据，一般有机密性和完整性的安全要求，而对于存储中的数据，还需要有备份恢复的安全要求。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41" w:hRule="atLeast"/>
        </w:trPr>
        <w:tc>
          <w:tcPr>
            <w:tcW w:w="872" w:type="dxa"/>
            <w:vMerge w:val="continue"/>
            <w:vAlign w:val="center"/>
          </w:tcPr>
          <w:p>
            <w:pPr>
              <w:spacing w:line="360" w:lineRule="auto"/>
            </w:pPr>
          </w:p>
        </w:tc>
        <w:tc>
          <w:tcPr>
            <w:tcW w:w="1457" w:type="dxa"/>
            <w:vAlign w:val="center"/>
          </w:tcPr>
          <w:p>
            <w:pPr>
              <w:spacing w:line="360" w:lineRule="auto"/>
            </w:pPr>
            <w:r>
              <w:rPr>
                <w:rFonts w:hint="eastAsia"/>
              </w:rPr>
              <w:t>终端安全</w:t>
            </w:r>
          </w:p>
        </w:tc>
        <w:tc>
          <w:tcPr>
            <w:tcW w:w="3402" w:type="dxa"/>
            <w:vAlign w:val="center"/>
          </w:tcPr>
          <w:p>
            <w:pPr>
              <w:spacing w:line="360" w:lineRule="auto"/>
            </w:pPr>
            <w:r>
              <w:t>终端（桌面）安全</w:t>
            </w:r>
            <w:r>
              <w:rPr>
                <w:rFonts w:hint="eastAsia"/>
              </w:rPr>
              <w:t>是</w:t>
            </w:r>
            <w:r>
              <w:t>基于终端状态行为监测及桌面控管理念，</w:t>
            </w:r>
            <w:r>
              <w:rPr>
                <w:rFonts w:hint="eastAsia"/>
              </w:rPr>
              <w:t>实现对终端计算机的安全管理和防护。</w:t>
            </w:r>
          </w:p>
        </w:tc>
        <w:tc>
          <w:tcPr>
            <w:tcW w:w="3402" w:type="dxa"/>
            <w:vAlign w:val="center"/>
          </w:tcPr>
          <w:p>
            <w:pPr>
              <w:spacing w:line="360" w:lineRule="auto"/>
            </w:pPr>
            <w:r>
              <w:rPr>
                <w:rFonts w:hint="eastAsia"/>
              </w:rPr>
              <w:t>终端安全主要</w:t>
            </w:r>
            <w:r>
              <w:t>对网络中所有终端的可能性安全威胁进行监控或记录，并能够提供对网络计算机终端的行为、状态等方面的点对点控管。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0" w:hRule="atLeast"/>
        </w:trPr>
        <w:tc>
          <w:tcPr>
            <w:tcW w:w="872" w:type="dxa"/>
            <w:vMerge w:val="restart"/>
            <w:vAlign w:val="center"/>
          </w:tcPr>
          <w:p>
            <w:pPr>
              <w:spacing w:line="360" w:lineRule="auto"/>
            </w:pPr>
            <w:r>
              <w:rPr>
                <w:rFonts w:hint="eastAsia"/>
              </w:rPr>
              <w:t>安全基础防御体系</w:t>
            </w:r>
          </w:p>
        </w:tc>
        <w:tc>
          <w:tcPr>
            <w:tcW w:w="1457" w:type="dxa"/>
            <w:vAlign w:val="center"/>
          </w:tcPr>
          <w:p>
            <w:pPr>
              <w:spacing w:line="360" w:lineRule="auto"/>
            </w:pPr>
            <w:r>
              <w:rPr>
                <w:rFonts w:hint="eastAsia"/>
              </w:rPr>
              <w:t>网络信任体系</w:t>
            </w:r>
          </w:p>
        </w:tc>
        <w:tc>
          <w:tcPr>
            <w:tcW w:w="3402" w:type="dxa"/>
            <w:vAlign w:val="center"/>
          </w:tcPr>
          <w:p>
            <w:pPr>
              <w:spacing w:line="360" w:lineRule="auto"/>
            </w:pPr>
            <w:r>
              <w:t>网络信任体系是以密码技术为基础，以法律法规、技术标准和基础设施为主要内容，以解决网络应用中身份认证、授权管理和责任认定等为目的的可信体系</w:t>
            </w:r>
            <w:r>
              <w:rPr>
                <w:rFonts w:hint="eastAsia"/>
              </w:rPr>
              <w:t>。</w:t>
            </w:r>
          </w:p>
        </w:tc>
        <w:tc>
          <w:tcPr>
            <w:tcW w:w="3402" w:type="dxa"/>
            <w:vAlign w:val="center"/>
          </w:tcPr>
          <w:p>
            <w:pPr>
              <w:spacing w:line="360" w:lineRule="auto"/>
            </w:pPr>
            <w:r>
              <w:t>基于网络信任体系，可以确定网络活动参与者“是谁？能做什么？做了什么？”。</w:t>
            </w:r>
            <w:r>
              <w:rPr>
                <w:rFonts w:hint="eastAsia"/>
              </w:rPr>
              <w:t>密码服务是网络信任体系的基础和总要组成部分</w:t>
            </w:r>
          </w:p>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0" w:hRule="atLeast"/>
        </w:trPr>
        <w:tc>
          <w:tcPr>
            <w:tcW w:w="872" w:type="dxa"/>
            <w:vMerge w:val="continue"/>
            <w:vAlign w:val="center"/>
          </w:tcPr>
          <w:p>
            <w:pPr>
              <w:spacing w:line="360" w:lineRule="auto"/>
            </w:pPr>
          </w:p>
        </w:tc>
        <w:tc>
          <w:tcPr>
            <w:tcW w:w="1457" w:type="dxa"/>
            <w:vAlign w:val="center"/>
          </w:tcPr>
          <w:p>
            <w:pPr>
              <w:spacing w:line="360" w:lineRule="auto"/>
            </w:pPr>
            <w:r>
              <w:rPr>
                <w:rFonts w:hint="eastAsia"/>
              </w:rPr>
              <w:t>安全监控与应急响应体系</w:t>
            </w:r>
          </w:p>
        </w:tc>
        <w:tc>
          <w:tcPr>
            <w:tcW w:w="3402" w:type="dxa"/>
            <w:vAlign w:val="center"/>
          </w:tcPr>
          <w:p>
            <w:pPr>
              <w:spacing w:line="360" w:lineRule="auto"/>
            </w:pPr>
            <w:r>
              <w:rPr>
                <w:rFonts w:hint="eastAsia"/>
              </w:rPr>
              <w:t>安全监控是指对信息系统的运行情况进行安全监控；应急响应是指当安全事件发生后迅速采取的措施和行动。二者结合互动，并配备相应的管理机构和制度形成的一个综合体系。</w:t>
            </w:r>
          </w:p>
        </w:tc>
        <w:tc>
          <w:tcPr>
            <w:tcW w:w="3402" w:type="dxa"/>
            <w:vAlign w:val="center"/>
          </w:tcPr>
          <w:p>
            <w:pPr>
              <w:spacing w:line="360" w:lineRule="auto"/>
            </w:pPr>
            <w:r>
              <w:rPr>
                <w:rFonts w:hint="eastAsia"/>
                <w:color w:val="000000"/>
              </w:rPr>
              <w:t>其作用为对网络及信息系统的运行状态进行监控，一旦发生安全事件能够有效协调各方资源进行及时响应和恢复。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0" w:hRule="atLeast"/>
        </w:trPr>
        <w:tc>
          <w:tcPr>
            <w:tcW w:w="872" w:type="dxa"/>
            <w:vMerge w:val="continue"/>
            <w:vAlign w:val="center"/>
          </w:tcPr>
          <w:p>
            <w:pPr>
              <w:spacing w:line="360" w:lineRule="auto"/>
            </w:pPr>
          </w:p>
        </w:tc>
        <w:tc>
          <w:tcPr>
            <w:tcW w:w="1457" w:type="dxa"/>
            <w:vAlign w:val="center"/>
          </w:tcPr>
          <w:p>
            <w:pPr>
              <w:spacing w:line="360" w:lineRule="auto"/>
            </w:pPr>
            <w:r>
              <w:rPr>
                <w:rFonts w:hint="eastAsia"/>
              </w:rPr>
              <w:t>灾备恢复体系</w:t>
            </w:r>
          </w:p>
        </w:tc>
        <w:tc>
          <w:tcPr>
            <w:tcW w:w="3402" w:type="dxa"/>
            <w:vAlign w:val="center"/>
          </w:tcPr>
          <w:p>
            <w:pPr>
              <w:spacing w:line="360" w:lineRule="auto"/>
            </w:pPr>
            <w:r>
              <w:t>灾</w:t>
            </w:r>
            <w:r>
              <w:rPr>
                <w:rFonts w:hint="eastAsia"/>
              </w:rPr>
              <w:t>备</w:t>
            </w:r>
            <w:r>
              <w:t>恢复，指自然或人为灾害后，重新启用信息系统的数据、硬件及软件设备，恢复正常商业运作的过程。</w:t>
            </w:r>
          </w:p>
        </w:tc>
        <w:tc>
          <w:tcPr>
            <w:tcW w:w="3402" w:type="dxa"/>
            <w:vAlign w:val="center"/>
          </w:tcPr>
          <w:p>
            <w:pPr>
              <w:spacing w:line="360" w:lineRule="auto"/>
            </w:pPr>
            <w:r>
              <w:t>当无法预计的各种</w:t>
            </w:r>
            <w:r>
              <w:rPr>
                <w:rFonts w:hint="eastAsia"/>
              </w:rPr>
              <w:t>事故</w:t>
            </w:r>
            <w:r>
              <w:t>或灾难导致数据丢失时候，及时采取灾难恢复措施，可以将企业或组织的损失降低到最低</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872" w:type="dxa"/>
            <w:vMerge w:val="continue"/>
            <w:vAlign w:val="center"/>
          </w:tcPr>
          <w:p>
            <w:pPr>
              <w:spacing w:line="360" w:lineRule="auto"/>
            </w:pPr>
          </w:p>
        </w:tc>
        <w:tc>
          <w:tcPr>
            <w:tcW w:w="1457" w:type="dxa"/>
            <w:vAlign w:val="center"/>
          </w:tcPr>
          <w:p>
            <w:pPr>
              <w:spacing w:line="360" w:lineRule="auto"/>
            </w:pPr>
            <w:r>
              <w:rPr>
                <w:rFonts w:hint="eastAsia"/>
              </w:rPr>
              <w:t>等级保护和风险评估体系</w:t>
            </w:r>
          </w:p>
        </w:tc>
        <w:tc>
          <w:tcPr>
            <w:tcW w:w="3402" w:type="dxa"/>
            <w:vAlign w:val="center"/>
          </w:tcPr>
          <w:p>
            <w:pPr>
              <w:spacing w:line="360" w:lineRule="auto"/>
            </w:pPr>
            <w:r>
              <w:rPr>
                <w:rFonts w:hint="eastAsia"/>
              </w:rPr>
              <w:t>等级保护是指对信息安全实行等级化保护和等级化管理；风险评估是</w:t>
            </w:r>
            <w:r>
              <w:t>对信息资产所面临的威胁、存在的弱点、造成的影响，以及三者综合作用所带来风险的可能性的评估。</w:t>
            </w:r>
          </w:p>
        </w:tc>
        <w:tc>
          <w:tcPr>
            <w:tcW w:w="3402" w:type="dxa"/>
            <w:vAlign w:val="center"/>
          </w:tcPr>
          <w:p>
            <w:pPr>
              <w:spacing w:line="360" w:lineRule="auto"/>
            </w:pPr>
            <w:r>
              <w:rPr>
                <w:rFonts w:hint="eastAsia"/>
              </w:rPr>
              <w:t>通过风险评估可以识别系统的类别和安全级别，从而落实“等级保护”这一国家政策。在该架构中主要指风险评估的具体应用和等级保护制度采用某种方式的落实。</w:t>
            </w:r>
          </w:p>
        </w:tc>
      </w:tr>
    </w:tbl>
    <w:p>
      <w:pPr>
        <w:pStyle w:val="4"/>
        <w:numPr>
          <w:ilvl w:val="2"/>
          <w:numId w:val="3"/>
        </w:numPr>
        <w:spacing w:before="0" w:after="0" w:line="360" w:lineRule="auto"/>
        <w:ind w:left="0" w:leftChars="0" w:firstLine="402" w:firstLineChars="0"/>
      </w:pPr>
      <w:bookmarkStart w:id="189" w:name="_Toc15691"/>
      <w:r>
        <w:rPr>
          <w:rFonts w:hint="eastAsia"/>
        </w:rPr>
        <w:t>信息安全方针</w:t>
      </w:r>
      <w:bookmarkEnd w:id="189"/>
    </w:p>
    <w:p>
      <w:pPr>
        <w:snapToGrid w:val="0"/>
        <w:spacing w:line="360" w:lineRule="auto"/>
        <w:ind w:firstLine="480" w:firstLineChars="200"/>
        <w:rPr>
          <w:rFonts w:asciiTheme="minorEastAsia" w:hAnsiTheme="minorEastAsia"/>
          <w:kern w:val="0"/>
          <w:sz w:val="24"/>
          <w:szCs w:val="24"/>
        </w:rPr>
      </w:pPr>
      <w:r>
        <w:rPr>
          <w:rFonts w:hint="eastAsia" w:asciiTheme="minorEastAsia" w:hAnsiTheme="minorEastAsia"/>
          <w:kern w:val="0"/>
          <w:sz w:val="24"/>
          <w:szCs w:val="24"/>
        </w:rPr>
        <w:t>安全方针属于高层管理文件，简要陈述信息安全宏观需求及管理承诺，应该篇幅短小，内容明确。信息安全方针应当简明、扼要，便于理解，至少应包括以下内容：</w:t>
      </w:r>
    </w:p>
    <w:p>
      <w:pPr>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（一）</w:t>
      </w:r>
      <w:r>
        <w:rPr>
          <w:rFonts w:cs="宋体" w:asciiTheme="minorEastAsia" w:hAnsiTheme="minorEastAsia"/>
          <w:kern w:val="0"/>
          <w:sz w:val="24"/>
          <w:szCs w:val="24"/>
        </w:rPr>
        <w:t>信息安全的定义，总体目标、范围，安全对信息共享的重要性</w:t>
      </w:r>
    </w:p>
    <w:p>
      <w:pPr>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（二）</w:t>
      </w:r>
      <w:r>
        <w:rPr>
          <w:rFonts w:cs="宋体" w:asciiTheme="minorEastAsia" w:hAnsiTheme="minorEastAsia"/>
          <w:kern w:val="0"/>
          <w:sz w:val="24"/>
          <w:szCs w:val="24"/>
        </w:rPr>
        <w:t>管理层意图、支持目标和信息安全原则的阐述。</w:t>
      </w:r>
    </w:p>
    <w:p>
      <w:pPr>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（三）</w:t>
      </w:r>
      <w:r>
        <w:rPr>
          <w:rFonts w:cs="宋体" w:asciiTheme="minorEastAsia" w:hAnsiTheme="minorEastAsia"/>
          <w:kern w:val="0"/>
          <w:sz w:val="24"/>
          <w:szCs w:val="24"/>
        </w:rPr>
        <w:t>信息安全控制的简要说明，以及依从法律、法规要求对组织的重要性</w:t>
      </w:r>
      <w:r>
        <w:rPr>
          <w:rFonts w:hint="eastAsia" w:cs="宋体" w:asciiTheme="minorEastAsia" w:hAnsiTheme="minorEastAsia"/>
          <w:kern w:val="0"/>
          <w:sz w:val="24"/>
          <w:szCs w:val="24"/>
        </w:rPr>
        <w:t>。</w:t>
      </w:r>
    </w:p>
    <w:p>
      <w:pPr>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（四）税务机关各级部分在信息安全中的分工和职责。</w:t>
      </w:r>
    </w:p>
    <w:p>
      <w:pPr>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（五）</w:t>
      </w:r>
      <w:r>
        <w:rPr>
          <w:rFonts w:cs="宋体" w:asciiTheme="minorEastAsia" w:hAnsiTheme="minorEastAsia"/>
          <w:kern w:val="0"/>
          <w:sz w:val="24"/>
          <w:szCs w:val="24"/>
        </w:rPr>
        <w:t>信息安全管理的一般和具体责任定义，包括报告安全事故。</w:t>
      </w:r>
    </w:p>
    <w:p>
      <w:pPr>
        <w:pStyle w:val="4"/>
        <w:numPr>
          <w:ilvl w:val="2"/>
          <w:numId w:val="3"/>
        </w:numPr>
        <w:spacing w:before="0" w:after="0" w:line="360" w:lineRule="auto"/>
        <w:ind w:left="0" w:leftChars="0" w:firstLine="402" w:firstLineChars="0"/>
      </w:pPr>
      <w:bookmarkStart w:id="190" w:name="_Toc16439"/>
      <w:r>
        <w:rPr>
          <w:rFonts w:hint="eastAsia"/>
        </w:rPr>
        <w:t>安全技术策略</w:t>
      </w:r>
      <w:bookmarkEnd w:id="190"/>
    </w:p>
    <w:p>
      <w:pPr>
        <w:snapToGrid w:val="0"/>
        <w:spacing w:line="360" w:lineRule="auto"/>
        <w:ind w:firstLine="480" w:firstLineChars="200"/>
        <w:rPr>
          <w:rFonts w:asciiTheme="minorEastAsia" w:hAnsiTheme="minorEastAsia"/>
          <w:kern w:val="0"/>
          <w:sz w:val="24"/>
          <w:szCs w:val="24"/>
        </w:rPr>
      </w:pPr>
      <w:r>
        <w:rPr>
          <w:rFonts w:hint="eastAsia" w:asciiTheme="minorEastAsia" w:hAnsiTheme="minorEastAsia"/>
          <w:kern w:val="0"/>
          <w:sz w:val="24"/>
          <w:szCs w:val="24"/>
        </w:rPr>
        <w:t>在遵循部局电子发票相关业务规范及安全技术规范的同时，也要严格遵循</w:t>
      </w:r>
      <w:r>
        <w:rPr>
          <w:rFonts w:hint="eastAsia" w:asciiTheme="minorEastAsia" w:hAnsiTheme="minorEastAsia"/>
          <w:kern w:val="0"/>
          <w:sz w:val="24"/>
          <w:szCs w:val="24"/>
          <w:lang w:eastAsia="zh-CN"/>
        </w:rPr>
        <w:t>xx交通</w:t>
      </w:r>
      <w:r>
        <w:rPr>
          <w:rFonts w:hint="eastAsia" w:asciiTheme="minorEastAsia" w:hAnsiTheme="minorEastAsia"/>
          <w:kern w:val="0"/>
          <w:sz w:val="24"/>
          <w:szCs w:val="24"/>
        </w:rPr>
        <w:t>集团安全管控及相关安全标准，该安全技术规范包括各个网络设备、主机操作系统和主要应用程序的应遵守的安全配置和管理的技术标准和规范。安全技术规范将作为各个网络设备、主机操作系统和应用程序的安装、配置、采购、项目评审、日常安全管理和维护时必须遵照的标准，不允许发生违背和冲突。</w:t>
      </w:r>
    </w:p>
    <w:p>
      <w:pPr>
        <w:pStyle w:val="4"/>
        <w:numPr>
          <w:ilvl w:val="2"/>
          <w:numId w:val="3"/>
        </w:numPr>
        <w:spacing w:before="0" w:after="0" w:line="360" w:lineRule="auto"/>
        <w:ind w:left="0" w:leftChars="0" w:firstLine="402" w:firstLineChars="0"/>
      </w:pPr>
      <w:bookmarkStart w:id="191" w:name="_Toc14574"/>
      <w:r>
        <w:rPr>
          <w:rFonts w:hint="eastAsia"/>
        </w:rPr>
        <w:t>安全管理策略</w:t>
      </w:r>
      <w:bookmarkEnd w:id="191"/>
    </w:p>
    <w:p>
      <w:pPr>
        <w:snapToGrid w:val="0"/>
        <w:spacing w:line="360" w:lineRule="auto"/>
        <w:ind w:firstLine="480" w:firstLineChars="200"/>
        <w:rPr>
          <w:rFonts w:asciiTheme="minorEastAsia" w:hAnsiTheme="minorEastAsia"/>
          <w:kern w:val="0"/>
          <w:sz w:val="24"/>
          <w:szCs w:val="24"/>
        </w:rPr>
      </w:pPr>
      <w:r>
        <w:rPr>
          <w:rFonts w:hint="eastAsia" w:asciiTheme="minorEastAsia" w:hAnsiTheme="minorEastAsia"/>
          <w:kern w:val="0"/>
          <w:sz w:val="24"/>
          <w:szCs w:val="24"/>
        </w:rPr>
        <w:t>策略一直在复杂系统的管理中扮演着一个重要的角色，可以用来指导信息和系统的管理。基于策略的管理方法是近年来被广泛认可的、管理复杂系统的一个有效解决方案，其核心思想是使用策略来驱动管理过程，把管理策略和管理系统分离开来，安全管理策略是安全管理体系的建设的主要依据之一。</w:t>
      </w:r>
    </w:p>
    <w:p>
      <w:pPr>
        <w:snapToGrid w:val="0"/>
        <w:spacing w:line="360" w:lineRule="auto"/>
        <w:ind w:firstLine="480" w:firstLineChars="200"/>
        <w:rPr>
          <w:rFonts w:asciiTheme="minorEastAsia" w:hAnsiTheme="minorEastAsia"/>
          <w:kern w:val="0"/>
          <w:szCs w:val="21"/>
        </w:rPr>
      </w:pPr>
      <w:r>
        <w:rPr>
          <w:rFonts w:hint="eastAsia" w:asciiTheme="minorEastAsia" w:hAnsiTheme="minorEastAsia"/>
          <w:kern w:val="0"/>
          <w:sz w:val="24"/>
          <w:szCs w:val="24"/>
        </w:rPr>
        <w:t>系统信息安全管理策略是为信息系统能够有效安全地管理信息资源而制定的一组管理法规和原则。主要内容包括系统信息资源管理制度、使用规则、系统管理人员权限、责任等原则规定。管理策略由安全领导小组依据有关法规、文件和标准制定。</w:t>
      </w:r>
    </w:p>
    <w:p>
      <w:pPr>
        <w:pStyle w:val="3"/>
        <w:numPr>
          <w:ilvl w:val="1"/>
          <w:numId w:val="3"/>
        </w:numPr>
        <w:spacing w:before="0" w:after="0" w:line="360" w:lineRule="auto"/>
        <w:ind w:left="0" w:leftChars="0" w:firstLine="402" w:firstLineChars="0"/>
      </w:pPr>
      <w:bookmarkStart w:id="192" w:name="_Toc26950"/>
      <w:r>
        <w:rPr>
          <w:rFonts w:hint="eastAsia"/>
        </w:rPr>
        <w:t>安全技术整体设计</w:t>
      </w:r>
      <w:bookmarkEnd w:id="177"/>
      <w:bookmarkEnd w:id="178"/>
      <w:bookmarkEnd w:id="179"/>
      <w:bookmarkEnd w:id="180"/>
      <w:bookmarkEnd w:id="192"/>
    </w:p>
    <w:p>
      <w:pPr>
        <w:pStyle w:val="4"/>
        <w:numPr>
          <w:ilvl w:val="2"/>
          <w:numId w:val="3"/>
        </w:numPr>
        <w:spacing w:before="0" w:after="0" w:line="360" w:lineRule="auto"/>
        <w:ind w:left="0" w:leftChars="0" w:firstLine="402" w:firstLineChars="0"/>
      </w:pPr>
      <w:bookmarkStart w:id="193" w:name="_Toc27633"/>
      <w:r>
        <w:rPr>
          <w:rFonts w:hint="eastAsia"/>
        </w:rPr>
        <w:t>安全技术架构</w:t>
      </w:r>
      <w:bookmarkEnd w:id="193"/>
    </w:p>
    <w:p>
      <w:pPr>
        <w:snapToGrid w:val="0"/>
        <w:spacing w:line="360" w:lineRule="auto"/>
        <w:ind w:firstLine="480" w:firstLineChars="200"/>
        <w:rPr>
          <w:rFonts w:asciiTheme="minorEastAsia" w:hAnsiTheme="minorEastAsia"/>
          <w:szCs w:val="21"/>
        </w:rPr>
      </w:pPr>
      <w:r>
        <w:rPr>
          <w:rFonts w:hint="eastAsia" w:asciiTheme="minorEastAsia" w:hAnsiTheme="minorEastAsia"/>
          <w:kern w:val="0"/>
          <w:sz w:val="24"/>
          <w:szCs w:val="24"/>
        </w:rPr>
        <w:t>为了保证发票系统的机密性、完整性、可用性、可控性和可审查性，在对系统进行充分安全风险评估和安全需求分析的基础上，确定了系统的安全策略，并且在应用安全、数据安全、终端安全、系统安全、网络安全和物理安全方面采用相应的安全措施来保障，具体措施如下图所示：</w:t>
      </w:r>
    </w:p>
    <w:p>
      <w:pPr>
        <w:pStyle w:val="19"/>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5283200" cy="386905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83200" cy="3869055"/>
                    </a:xfrm>
                    <a:prstGeom prst="rect">
                      <a:avLst/>
                    </a:prstGeom>
                    <a:noFill/>
                    <a:ln>
                      <a:noFill/>
                    </a:ln>
                  </pic:spPr>
                </pic:pic>
              </a:graphicData>
            </a:graphic>
          </wp:inline>
        </w:drawing>
      </w:r>
    </w:p>
    <w:p>
      <w:pPr>
        <w:pStyle w:val="12"/>
        <w:ind w:left="5250"/>
        <w:rPr>
          <w:rFonts w:asciiTheme="minorEastAsia" w:hAnsiTheme="minorEastAsia" w:eastAsiaTheme="minorEastAsia"/>
          <w:b w:val="0"/>
        </w:rPr>
      </w:pPr>
      <w:r>
        <w:rPr>
          <w:rFonts w:hint="eastAsia" w:asciiTheme="minorEastAsia" w:hAnsiTheme="minorEastAsia" w:eastAsiaTheme="minorEastAsia"/>
        </w:rPr>
        <w:t>安全技术架构图</w:t>
      </w:r>
    </w:p>
    <w:p>
      <w:pPr>
        <w:spacing w:line="360" w:lineRule="auto"/>
        <w:ind w:firstLine="480"/>
        <w:rPr>
          <w:rFonts w:asciiTheme="minorEastAsia" w:hAnsiTheme="minorEastAsia"/>
          <w:sz w:val="24"/>
          <w:szCs w:val="24"/>
        </w:rPr>
      </w:pPr>
      <w:r>
        <w:rPr>
          <w:rFonts w:hint="eastAsia" w:asciiTheme="minorEastAsia" w:hAnsiTheme="minorEastAsia"/>
          <w:sz w:val="24"/>
          <w:szCs w:val="24"/>
        </w:rPr>
        <w:t>技术层面的安全控制包括许多种类，安全控制的采用需要符合总体的技术策略、需要在投资和保护对象价值间加以平衡、需要确定将相关的安全服务作为专有服务还是作为基础设施服务，因此安全技术架构的设计任务包括：</w:t>
      </w:r>
    </w:p>
    <w:p>
      <w:pPr>
        <w:pStyle w:val="43"/>
        <w:numPr>
          <w:ilvl w:val="0"/>
          <w:numId w:val="26"/>
        </w:numPr>
        <w:spacing w:line="360" w:lineRule="auto"/>
        <w:ind w:firstLineChars="0"/>
        <w:rPr>
          <w:rFonts w:asciiTheme="minorEastAsia" w:hAnsiTheme="minorEastAsia"/>
          <w:sz w:val="24"/>
          <w:szCs w:val="24"/>
        </w:rPr>
      </w:pPr>
      <w:r>
        <w:rPr>
          <w:rFonts w:hint="eastAsia" w:asciiTheme="minorEastAsia" w:hAnsiTheme="minorEastAsia"/>
          <w:sz w:val="24"/>
          <w:szCs w:val="24"/>
        </w:rPr>
        <w:t>技术安全体系策略的设计。技术安全体系策略需要确定如何应用一个适当的安全模型，例如ICE模式(隔离、限制和消除)。</w:t>
      </w:r>
    </w:p>
    <w:p>
      <w:pPr>
        <w:pStyle w:val="43"/>
        <w:numPr>
          <w:ilvl w:val="0"/>
          <w:numId w:val="26"/>
        </w:numPr>
        <w:spacing w:line="360" w:lineRule="auto"/>
        <w:ind w:firstLineChars="0"/>
        <w:rPr>
          <w:rFonts w:asciiTheme="minorEastAsia" w:hAnsiTheme="minorEastAsia"/>
          <w:sz w:val="24"/>
          <w:szCs w:val="24"/>
        </w:rPr>
      </w:pPr>
      <w:r>
        <w:rPr>
          <w:rFonts w:hint="eastAsia" w:asciiTheme="minorEastAsia" w:hAnsiTheme="minorEastAsia"/>
          <w:sz w:val="24"/>
          <w:szCs w:val="24"/>
        </w:rPr>
        <w:t>定义专项安全技术服务的架构。根据安全技术服务架构，分层分域采用相应安全技术，进行深度防御。</w:t>
      </w:r>
    </w:p>
    <w:p>
      <w:pPr>
        <w:spacing w:line="360" w:lineRule="auto"/>
        <w:ind w:firstLine="480"/>
        <w:rPr>
          <w:rFonts w:asciiTheme="minorEastAsia" w:hAnsiTheme="minorEastAsia"/>
          <w:kern w:val="0"/>
          <w:sz w:val="24"/>
          <w:szCs w:val="24"/>
        </w:rPr>
      </w:pPr>
      <w:r>
        <w:rPr>
          <w:rFonts w:asciiTheme="minorEastAsia" w:hAnsiTheme="minorEastAsia"/>
          <w:sz w:val="24"/>
          <w:szCs w:val="24"/>
        </w:rPr>
        <w:t>依据安全架构模型，结合</w:t>
      </w:r>
      <w:r>
        <w:rPr>
          <w:rFonts w:hint="eastAsia" w:asciiTheme="minorEastAsia" w:hAnsiTheme="minorEastAsia"/>
          <w:sz w:val="24"/>
          <w:szCs w:val="24"/>
        </w:rPr>
        <w:t>税务系统</w:t>
      </w:r>
      <w:r>
        <w:rPr>
          <w:rFonts w:asciiTheme="minorEastAsia" w:hAnsiTheme="minorEastAsia"/>
          <w:sz w:val="24"/>
          <w:szCs w:val="24"/>
        </w:rPr>
        <w:t>的业务需求，我们将从应用安全、</w:t>
      </w:r>
      <w:r>
        <w:rPr>
          <w:rFonts w:hint="eastAsia" w:asciiTheme="minorEastAsia" w:hAnsiTheme="minorEastAsia"/>
          <w:sz w:val="24"/>
          <w:szCs w:val="24"/>
        </w:rPr>
        <w:t>数据安全、</w:t>
      </w:r>
      <w:r>
        <w:rPr>
          <w:rFonts w:asciiTheme="minorEastAsia" w:hAnsiTheme="minorEastAsia"/>
          <w:sz w:val="24"/>
          <w:szCs w:val="24"/>
        </w:rPr>
        <w:t>终端安全</w:t>
      </w:r>
      <w:r>
        <w:rPr>
          <w:rFonts w:hint="eastAsia" w:asciiTheme="minorEastAsia" w:hAnsiTheme="minorEastAsia"/>
          <w:sz w:val="24"/>
          <w:szCs w:val="24"/>
        </w:rPr>
        <w:t>、系统</w:t>
      </w:r>
      <w:r>
        <w:rPr>
          <w:rFonts w:asciiTheme="minorEastAsia" w:hAnsiTheme="minorEastAsia"/>
          <w:sz w:val="24"/>
          <w:szCs w:val="24"/>
        </w:rPr>
        <w:t>安全、</w:t>
      </w:r>
      <w:r>
        <w:rPr>
          <w:rFonts w:hint="eastAsia" w:asciiTheme="minorEastAsia" w:hAnsiTheme="minorEastAsia"/>
          <w:sz w:val="24"/>
          <w:szCs w:val="24"/>
        </w:rPr>
        <w:t>网络安全、</w:t>
      </w:r>
      <w:r>
        <w:rPr>
          <w:rFonts w:asciiTheme="minorEastAsia" w:hAnsiTheme="minorEastAsia"/>
          <w:sz w:val="24"/>
          <w:szCs w:val="24"/>
        </w:rPr>
        <w:t>物理安全等层面来进行安全技术体系建设。</w:t>
      </w:r>
      <w:r>
        <w:rPr>
          <w:rFonts w:hint="eastAsia" w:asciiTheme="minorEastAsia" w:hAnsiTheme="minorEastAsia"/>
          <w:sz w:val="24"/>
          <w:szCs w:val="24"/>
        </w:rPr>
        <w:t>各层安全均有各自的特点，都是业务连续性这一最终目标的基础。</w:t>
      </w:r>
    </w:p>
    <w:p>
      <w:pPr>
        <w:pStyle w:val="4"/>
        <w:numPr>
          <w:ilvl w:val="2"/>
          <w:numId w:val="3"/>
        </w:numPr>
        <w:spacing w:before="0" w:after="0" w:line="360" w:lineRule="auto"/>
        <w:ind w:left="0" w:leftChars="0" w:firstLine="402" w:firstLineChars="0"/>
      </w:pPr>
      <w:bookmarkStart w:id="194" w:name="_Toc16201"/>
      <w:r>
        <w:rPr>
          <w:rFonts w:hint="eastAsia"/>
        </w:rPr>
        <w:t>应用层安全</w:t>
      </w:r>
      <w:bookmarkEnd w:id="194"/>
    </w:p>
    <w:p>
      <w:pPr>
        <w:pStyle w:val="59"/>
        <w:spacing w:line="360" w:lineRule="auto"/>
        <w:ind w:firstLine="493"/>
        <w:rPr>
          <w:rFonts w:asciiTheme="minorEastAsia" w:hAnsiTheme="minorEastAsia" w:eastAsiaTheme="minorEastAsia"/>
          <w:sz w:val="24"/>
          <w:szCs w:val="24"/>
        </w:rPr>
      </w:pPr>
      <w:bookmarkStart w:id="195" w:name="_Toc340506591"/>
      <w:r>
        <w:rPr>
          <w:rFonts w:hint="eastAsia" w:asciiTheme="minorEastAsia" w:hAnsiTheme="minorEastAsia" w:eastAsiaTheme="minorEastAsia"/>
          <w:sz w:val="24"/>
          <w:szCs w:val="24"/>
        </w:rPr>
        <w:t>（一）应用系统安全</w:t>
      </w:r>
      <w:bookmarkEnd w:id="195"/>
    </w:p>
    <w:p>
      <w:pPr>
        <w:pStyle w:val="57"/>
        <w:ind w:firstLine="720" w:firstLineChars="300"/>
        <w:rPr>
          <w:rFonts w:asciiTheme="minorEastAsia" w:hAnsiTheme="minorEastAsia" w:eastAsiaTheme="minorEastAsia"/>
          <w:sz w:val="24"/>
          <w:szCs w:val="24"/>
        </w:rPr>
      </w:pPr>
      <w:bookmarkStart w:id="196" w:name="_Toc340506592"/>
      <w:r>
        <w:rPr>
          <w:rFonts w:hint="eastAsia" w:asciiTheme="minorEastAsia" w:hAnsiTheme="minorEastAsia" w:eastAsiaTheme="minorEastAsia"/>
          <w:sz w:val="24"/>
          <w:szCs w:val="24"/>
        </w:rPr>
        <w:t>（1）认证与授权服务</w:t>
      </w:r>
      <w:bookmarkEnd w:id="196"/>
    </w:p>
    <w:p>
      <w:pPr>
        <w:pStyle w:val="57"/>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必须有单独的登录控制模块对登录用户进行身份标识和鉴别；需要支持多种的身份认证方式，如CA证书方式，用户名密码方式和其它多因子认证方式。</w:t>
      </w:r>
    </w:p>
    <w:p>
      <w:pPr>
        <w:pStyle w:val="59"/>
        <w:spacing w:line="360" w:lineRule="auto"/>
        <w:ind w:firstLine="493"/>
        <w:rPr>
          <w:rFonts w:asciiTheme="minorEastAsia" w:hAnsiTheme="minorEastAsia" w:eastAsiaTheme="minorEastAsia"/>
          <w:sz w:val="24"/>
          <w:szCs w:val="24"/>
        </w:rPr>
      </w:pPr>
      <w:bookmarkStart w:id="197" w:name="_Toc340506593"/>
      <w:r>
        <w:rPr>
          <w:rFonts w:hint="eastAsia" w:asciiTheme="minorEastAsia" w:hAnsiTheme="minorEastAsia" w:eastAsiaTheme="minorEastAsia"/>
          <w:sz w:val="24"/>
          <w:szCs w:val="24"/>
        </w:rPr>
        <w:t>程序资源访问控制安全：</w:t>
      </w:r>
      <w:bookmarkEnd w:id="197"/>
    </w:p>
    <w:p>
      <w:pPr>
        <w:pStyle w:val="57"/>
        <w:numPr>
          <w:ilvl w:val="0"/>
          <w:numId w:val="27"/>
        </w:numPr>
        <w:ind w:left="902"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根据用户的身份和对系统的使用情况将用户分成不同的用户组；</w:t>
      </w:r>
    </w:p>
    <w:p>
      <w:pPr>
        <w:pStyle w:val="57"/>
        <w:numPr>
          <w:ilvl w:val="0"/>
          <w:numId w:val="27"/>
        </w:numPr>
        <w:ind w:left="902"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为不同的用户或用户组分配不同的系统资源（如对象、数据等）访问权限；</w:t>
      </w:r>
    </w:p>
    <w:p>
      <w:pPr>
        <w:pStyle w:val="57"/>
        <w:numPr>
          <w:ilvl w:val="0"/>
          <w:numId w:val="27"/>
        </w:numPr>
        <w:ind w:left="902"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用户只能访问到自己有权限访问的系统资源（如对象、数据等）。</w:t>
      </w:r>
    </w:p>
    <w:p>
      <w:pPr>
        <w:pStyle w:val="57"/>
        <w:ind w:firstLine="720" w:firstLineChars="300"/>
        <w:rPr>
          <w:rFonts w:asciiTheme="minorEastAsia" w:hAnsiTheme="minorEastAsia" w:eastAsiaTheme="minorEastAsia"/>
          <w:sz w:val="24"/>
          <w:szCs w:val="24"/>
        </w:rPr>
      </w:pPr>
      <w:bookmarkStart w:id="198" w:name="_Toc340506594"/>
      <w:r>
        <w:rPr>
          <w:rFonts w:hint="eastAsia" w:asciiTheme="minorEastAsia" w:hAnsiTheme="minorEastAsia" w:eastAsiaTheme="minorEastAsia"/>
          <w:sz w:val="24"/>
          <w:szCs w:val="24"/>
        </w:rPr>
        <w:t>（2）功能性安全</w:t>
      </w:r>
      <w:bookmarkEnd w:id="198"/>
    </w:p>
    <w:p>
      <w:pPr>
        <w:pStyle w:val="57"/>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明确各个功能的流程上的安全措施， 如是否需要审核，文件上传最大限制等。</w:t>
      </w:r>
    </w:p>
    <w:p>
      <w:pPr>
        <w:pStyle w:val="57"/>
        <w:ind w:firstLine="720" w:firstLineChars="300"/>
        <w:rPr>
          <w:rFonts w:asciiTheme="minorEastAsia" w:hAnsiTheme="minorEastAsia" w:eastAsiaTheme="minorEastAsia"/>
          <w:sz w:val="24"/>
          <w:szCs w:val="24"/>
        </w:rPr>
      </w:pPr>
      <w:bookmarkStart w:id="199" w:name="_Toc340506595"/>
      <w:r>
        <w:rPr>
          <w:rFonts w:hint="eastAsia" w:asciiTheme="minorEastAsia" w:hAnsiTheme="minorEastAsia" w:eastAsiaTheme="minorEastAsia"/>
          <w:sz w:val="24"/>
          <w:szCs w:val="24"/>
        </w:rPr>
        <w:t>（3）数据域安全</w:t>
      </w:r>
      <w:bookmarkEnd w:id="199"/>
    </w:p>
    <w:p>
      <w:pPr>
        <w:pStyle w:val="57"/>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数据域安全包括两个层次，其一是行级数据域安全，即用户可以访问哪些业务记录，一般以用户所在单位为条件进行过滤；其二是字段级数据域安全，即用户可以访问业务记录的哪些字段。</w:t>
      </w:r>
    </w:p>
    <w:p>
      <w:pPr>
        <w:pStyle w:val="57"/>
        <w:ind w:firstLine="720" w:firstLineChars="300"/>
        <w:rPr>
          <w:rFonts w:asciiTheme="minorEastAsia" w:hAnsiTheme="minorEastAsia" w:eastAsiaTheme="minorEastAsia"/>
          <w:sz w:val="24"/>
          <w:szCs w:val="24"/>
        </w:rPr>
      </w:pPr>
      <w:bookmarkStart w:id="200" w:name="_Toc340506596"/>
      <w:r>
        <w:rPr>
          <w:rFonts w:hint="eastAsia" w:asciiTheme="minorEastAsia" w:hAnsiTheme="minorEastAsia" w:eastAsiaTheme="minorEastAsia"/>
          <w:sz w:val="24"/>
          <w:szCs w:val="24"/>
        </w:rPr>
        <w:t>（4）应用日志与审计</w:t>
      </w:r>
      <w:bookmarkEnd w:id="200"/>
    </w:p>
    <w:p>
      <w:pPr>
        <w:pStyle w:val="57"/>
        <w:numPr>
          <w:ilvl w:val="0"/>
          <w:numId w:val="27"/>
        </w:numPr>
        <w:ind w:left="902"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为关键的系统流程设计日志审计功能；</w:t>
      </w:r>
    </w:p>
    <w:p>
      <w:pPr>
        <w:pStyle w:val="57"/>
        <w:numPr>
          <w:ilvl w:val="0"/>
          <w:numId w:val="27"/>
        </w:numPr>
        <w:ind w:left="902"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日志记录用户对系统敏感资源（如保密数据或文件等）的访问情况；</w:t>
      </w:r>
    </w:p>
    <w:p>
      <w:pPr>
        <w:pStyle w:val="57"/>
        <w:numPr>
          <w:ilvl w:val="0"/>
          <w:numId w:val="27"/>
        </w:numPr>
        <w:ind w:left="902"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对过期的日志进行备份；</w:t>
      </w:r>
    </w:p>
    <w:p>
      <w:pPr>
        <w:pStyle w:val="57"/>
        <w:numPr>
          <w:ilvl w:val="0"/>
          <w:numId w:val="27"/>
        </w:numPr>
        <w:ind w:left="902"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日志具有查阅的功能，但不可以修改。</w:t>
      </w:r>
    </w:p>
    <w:p>
      <w:pPr>
        <w:pStyle w:val="59"/>
        <w:spacing w:line="360" w:lineRule="auto"/>
        <w:ind w:firstLine="493"/>
        <w:rPr>
          <w:rFonts w:asciiTheme="minorEastAsia" w:hAnsiTheme="minorEastAsia" w:eastAsiaTheme="minorEastAsia"/>
          <w:sz w:val="24"/>
          <w:szCs w:val="24"/>
        </w:rPr>
      </w:pPr>
      <w:bookmarkStart w:id="201" w:name="_Toc340506597"/>
      <w:r>
        <w:rPr>
          <w:rFonts w:hint="eastAsia" w:asciiTheme="minorEastAsia" w:hAnsiTheme="minorEastAsia" w:eastAsiaTheme="minorEastAsia"/>
          <w:sz w:val="24"/>
          <w:szCs w:val="24"/>
        </w:rPr>
        <w:t>（二）应用开发安全</w:t>
      </w:r>
      <w:bookmarkEnd w:id="201"/>
    </w:p>
    <w:p>
      <w:pPr>
        <w:pStyle w:val="57"/>
        <w:ind w:firstLine="720" w:firstLineChars="300"/>
        <w:rPr>
          <w:rFonts w:asciiTheme="minorEastAsia" w:hAnsiTheme="minorEastAsia" w:eastAsiaTheme="minorEastAsia"/>
          <w:sz w:val="24"/>
          <w:szCs w:val="24"/>
        </w:rPr>
      </w:pPr>
      <w:bookmarkStart w:id="202" w:name="_Toc340506598"/>
      <w:r>
        <w:rPr>
          <w:rFonts w:hint="eastAsia" w:asciiTheme="minorEastAsia" w:hAnsiTheme="minorEastAsia" w:eastAsiaTheme="minorEastAsia"/>
          <w:sz w:val="24"/>
          <w:szCs w:val="24"/>
        </w:rPr>
        <w:t>（1）安全编程</w:t>
      </w:r>
      <w:bookmarkEnd w:id="202"/>
    </w:p>
    <w:p>
      <w:pPr>
        <w:pStyle w:val="57"/>
        <w:numPr>
          <w:ilvl w:val="0"/>
          <w:numId w:val="27"/>
        </w:numPr>
        <w:ind w:left="902"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对于总局有标准和指定工具的，要采用总局标准和工具进行开发；</w:t>
      </w:r>
    </w:p>
    <w:p>
      <w:pPr>
        <w:pStyle w:val="57"/>
        <w:numPr>
          <w:ilvl w:val="0"/>
          <w:numId w:val="27"/>
        </w:numPr>
        <w:ind w:left="902"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对于总局未指定的，需要对采用的标准和工具进行安全性评估。</w:t>
      </w:r>
    </w:p>
    <w:p>
      <w:pPr>
        <w:pStyle w:val="57"/>
        <w:ind w:firstLine="720" w:firstLineChars="300"/>
        <w:rPr>
          <w:rFonts w:asciiTheme="minorEastAsia" w:hAnsiTheme="minorEastAsia" w:eastAsiaTheme="minorEastAsia"/>
          <w:sz w:val="24"/>
          <w:szCs w:val="24"/>
        </w:rPr>
      </w:pPr>
      <w:bookmarkStart w:id="203" w:name="_Toc340506599"/>
      <w:r>
        <w:rPr>
          <w:rFonts w:hint="eastAsia" w:asciiTheme="minorEastAsia" w:hAnsiTheme="minorEastAsia" w:eastAsiaTheme="minorEastAsia"/>
          <w:sz w:val="24"/>
          <w:szCs w:val="24"/>
        </w:rPr>
        <w:t>（2）接口安全</w:t>
      </w:r>
      <w:bookmarkEnd w:id="203"/>
    </w:p>
    <w:p>
      <w:pPr>
        <w:pStyle w:val="57"/>
        <w:ind w:left="420"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接口要遵循总局的业务接口标准规范。</w:t>
      </w:r>
    </w:p>
    <w:p>
      <w:pPr>
        <w:pStyle w:val="57"/>
        <w:ind w:firstLine="720" w:firstLineChars="300"/>
        <w:rPr>
          <w:rFonts w:asciiTheme="minorEastAsia" w:hAnsiTheme="minorEastAsia" w:eastAsiaTheme="minorEastAsia"/>
          <w:sz w:val="24"/>
          <w:szCs w:val="24"/>
        </w:rPr>
      </w:pPr>
      <w:bookmarkStart w:id="204" w:name="_Toc340506600"/>
      <w:r>
        <w:rPr>
          <w:rFonts w:hint="eastAsia" w:asciiTheme="minorEastAsia" w:hAnsiTheme="minorEastAsia" w:eastAsiaTheme="minorEastAsia"/>
          <w:sz w:val="24"/>
          <w:szCs w:val="24"/>
        </w:rPr>
        <w:t>（3）数据传输的机密性</w:t>
      </w:r>
      <w:bookmarkEnd w:id="204"/>
    </w:p>
    <w:p>
      <w:pPr>
        <w:pStyle w:val="57"/>
        <w:ind w:firstLine="720" w:firstLineChars="300"/>
        <w:rPr>
          <w:rFonts w:asciiTheme="minorEastAsia" w:hAnsiTheme="minorEastAsia" w:eastAsiaTheme="minorEastAsia"/>
          <w:sz w:val="24"/>
          <w:szCs w:val="24"/>
        </w:rPr>
      </w:pPr>
      <w:r>
        <w:rPr>
          <w:rFonts w:hint="eastAsia" w:asciiTheme="minorEastAsia" w:hAnsiTheme="minorEastAsia" w:eastAsiaTheme="minorEastAsia"/>
          <w:sz w:val="24"/>
          <w:szCs w:val="24"/>
        </w:rPr>
        <w:t>对敏感数据要采用加密传输技术。必要时要采用二次认证方式，实现对数据的保护。</w:t>
      </w:r>
    </w:p>
    <w:p>
      <w:pPr>
        <w:pStyle w:val="57"/>
        <w:ind w:firstLine="720" w:firstLineChars="300"/>
        <w:rPr>
          <w:rFonts w:asciiTheme="minorEastAsia" w:hAnsiTheme="minorEastAsia" w:eastAsiaTheme="minorEastAsia"/>
          <w:sz w:val="24"/>
          <w:szCs w:val="24"/>
        </w:rPr>
      </w:pPr>
      <w:bookmarkStart w:id="205" w:name="_Toc340506601"/>
      <w:r>
        <w:rPr>
          <w:rFonts w:hint="eastAsia" w:asciiTheme="minorEastAsia" w:hAnsiTheme="minorEastAsia" w:eastAsiaTheme="minorEastAsia"/>
          <w:sz w:val="24"/>
          <w:szCs w:val="24"/>
        </w:rPr>
        <w:t>（4）安全审计</w:t>
      </w:r>
      <w:bookmarkEnd w:id="205"/>
    </w:p>
    <w:p>
      <w:pPr>
        <w:pStyle w:val="57"/>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系统要支持审计，审计模块至少包括以下内容：事件的日期、时间、发起者信息、类型、描述和结果等内容，审计记录的内容应当尽可能保证详细以便于事后问题的最终和审计检查。</w:t>
      </w:r>
    </w:p>
    <w:p>
      <w:pPr>
        <w:pStyle w:val="57"/>
        <w:ind w:firstLine="720" w:firstLineChars="300"/>
        <w:rPr>
          <w:rFonts w:asciiTheme="minorEastAsia" w:hAnsiTheme="minorEastAsia" w:eastAsiaTheme="minorEastAsia"/>
          <w:sz w:val="24"/>
          <w:szCs w:val="24"/>
        </w:rPr>
      </w:pPr>
      <w:bookmarkStart w:id="206" w:name="_Toc340506602"/>
      <w:r>
        <w:rPr>
          <w:rFonts w:hint="eastAsia" w:asciiTheme="minorEastAsia" w:hAnsiTheme="minorEastAsia" w:eastAsiaTheme="minorEastAsia"/>
          <w:sz w:val="24"/>
          <w:szCs w:val="24"/>
        </w:rPr>
        <w:t>（5）安全测试</w:t>
      </w:r>
      <w:bookmarkEnd w:id="206"/>
    </w:p>
    <w:p>
      <w:pPr>
        <w:pStyle w:val="57"/>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系统上线前要进行安全测试和评估。</w:t>
      </w:r>
    </w:p>
    <w:p>
      <w:pPr>
        <w:pStyle w:val="59"/>
        <w:spacing w:line="360" w:lineRule="auto"/>
        <w:ind w:firstLine="493"/>
        <w:rPr>
          <w:rFonts w:asciiTheme="minorEastAsia" w:hAnsiTheme="minorEastAsia" w:eastAsiaTheme="minorEastAsia"/>
          <w:sz w:val="24"/>
          <w:szCs w:val="24"/>
        </w:rPr>
      </w:pPr>
      <w:bookmarkStart w:id="207" w:name="_Toc340506604"/>
      <w:r>
        <w:rPr>
          <w:rFonts w:hint="eastAsia" w:asciiTheme="minorEastAsia" w:hAnsiTheme="minorEastAsia" w:eastAsiaTheme="minorEastAsia"/>
          <w:sz w:val="24"/>
          <w:szCs w:val="24"/>
        </w:rPr>
        <w:t>（三）</w:t>
      </w:r>
      <w:r>
        <w:rPr>
          <w:rFonts w:asciiTheme="minorEastAsia" w:hAnsiTheme="minorEastAsia" w:eastAsiaTheme="minorEastAsia"/>
          <w:sz w:val="24"/>
          <w:szCs w:val="24"/>
        </w:rPr>
        <w:t>W</w:t>
      </w:r>
      <w:r>
        <w:rPr>
          <w:rFonts w:hint="eastAsia" w:asciiTheme="minorEastAsia" w:hAnsiTheme="minorEastAsia" w:eastAsiaTheme="minorEastAsia"/>
          <w:sz w:val="24"/>
          <w:szCs w:val="24"/>
        </w:rPr>
        <w:t>eb安全防护</w:t>
      </w:r>
      <w:bookmarkEnd w:id="207"/>
    </w:p>
    <w:p>
      <w:pPr>
        <w:spacing w:line="360" w:lineRule="auto"/>
        <w:ind w:firstLine="480"/>
        <w:rPr>
          <w:rFonts w:asciiTheme="minorEastAsia" w:hAnsiTheme="minorEastAsia"/>
          <w:sz w:val="24"/>
          <w:szCs w:val="24"/>
        </w:rPr>
      </w:pPr>
      <w:r>
        <w:rPr>
          <w:rFonts w:hint="eastAsia" w:asciiTheme="minorEastAsia" w:hAnsiTheme="minorEastAsia"/>
          <w:sz w:val="24"/>
          <w:szCs w:val="24"/>
        </w:rPr>
        <w:t>对web我们建议采用以下三种措施进行防范：</w:t>
      </w:r>
    </w:p>
    <w:p>
      <w:pPr>
        <w:pStyle w:val="57"/>
        <w:numPr>
          <w:ilvl w:val="0"/>
          <w:numId w:val="28"/>
        </w:numPr>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利用IDS对SQL注入和跨站攻击进行实时监控，并通知防火墙进行阻断；</w:t>
      </w:r>
    </w:p>
    <w:p>
      <w:pPr>
        <w:pStyle w:val="57"/>
        <w:numPr>
          <w:ilvl w:val="0"/>
          <w:numId w:val="28"/>
        </w:numPr>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在WEB服务器前部署两台</w:t>
      </w:r>
      <w:r>
        <w:rPr>
          <w:rFonts w:asciiTheme="minorEastAsia" w:hAnsiTheme="minorEastAsia" w:eastAsiaTheme="minorEastAsia"/>
          <w:sz w:val="24"/>
          <w:szCs w:val="24"/>
        </w:rPr>
        <w:t>Web</w:t>
      </w:r>
      <w:r>
        <w:rPr>
          <w:rFonts w:hint="eastAsia" w:asciiTheme="minorEastAsia" w:hAnsiTheme="minorEastAsia" w:eastAsiaTheme="minorEastAsia"/>
          <w:sz w:val="24"/>
          <w:szCs w:val="24"/>
        </w:rPr>
        <w:t>应用防火墙，来防范来自应用层的风险；</w:t>
      </w:r>
    </w:p>
    <w:p>
      <w:pPr>
        <w:pStyle w:val="57"/>
        <w:numPr>
          <w:ilvl w:val="0"/>
          <w:numId w:val="28"/>
        </w:numPr>
        <w:ind w:firstLineChars="0"/>
        <w:rPr>
          <w:rFonts w:asciiTheme="minorEastAsia" w:hAnsiTheme="minorEastAsia" w:eastAsiaTheme="minorEastAsia"/>
          <w:szCs w:val="21"/>
        </w:rPr>
      </w:pPr>
      <w:r>
        <w:rPr>
          <w:rFonts w:hint="eastAsia" w:asciiTheme="minorEastAsia" w:hAnsiTheme="minorEastAsia" w:eastAsiaTheme="minorEastAsia"/>
          <w:sz w:val="24"/>
          <w:szCs w:val="24"/>
        </w:rPr>
        <w:t>通过在重要WEB服务器安装网站防篡改软件，实现对网站页面的保护。</w:t>
      </w:r>
    </w:p>
    <w:p>
      <w:pPr>
        <w:pStyle w:val="4"/>
        <w:numPr>
          <w:ilvl w:val="2"/>
          <w:numId w:val="3"/>
        </w:numPr>
        <w:spacing w:before="0" w:after="0" w:line="360" w:lineRule="auto"/>
        <w:ind w:left="0" w:leftChars="0" w:firstLine="402" w:firstLineChars="0"/>
      </w:pPr>
      <w:bookmarkStart w:id="208" w:name="_Toc12265"/>
      <w:bookmarkStart w:id="209" w:name="_Toc340506605"/>
      <w:r>
        <w:rPr>
          <w:rFonts w:hint="eastAsia"/>
        </w:rPr>
        <w:t>数据层安全</w:t>
      </w:r>
      <w:bookmarkEnd w:id="208"/>
      <w:bookmarkEnd w:id="209"/>
    </w:p>
    <w:p>
      <w:pPr>
        <w:pStyle w:val="57"/>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利用https协议为使用</w:t>
      </w:r>
      <w:r>
        <w:rPr>
          <w:rFonts w:hint="eastAsia" w:asciiTheme="minorEastAsia" w:hAnsiTheme="minorEastAsia" w:eastAsiaTheme="minorEastAsia"/>
          <w:sz w:val="24"/>
          <w:szCs w:val="24"/>
          <w:lang w:eastAsia="zh-CN"/>
        </w:rPr>
        <w:t>xx交通</w:t>
      </w:r>
      <w:r>
        <w:rPr>
          <w:rFonts w:hint="eastAsia" w:asciiTheme="minorEastAsia" w:hAnsiTheme="minorEastAsia" w:eastAsiaTheme="minorEastAsia"/>
          <w:sz w:val="24"/>
          <w:szCs w:val="24"/>
        </w:rPr>
        <w:t>增值税发票系统升级版及电子发票系统的用户提供数据传输加密，以保护纳税人的隐私信息和敏感数据。通常的做法是将SSL 运算放在提供发票服务的主机上，由于SSL 运算极耗资源，即使是功能最强大的服务器也无法达到很高的速度。这样，在上网的高峰时刻，等待时间会越来越长，有时一些交易根本无法完成，这种情况下，需要部署SSL加速器，来实现SSL加速。</w:t>
      </w:r>
    </w:p>
    <w:p>
      <w:pPr>
        <w:pStyle w:val="4"/>
        <w:numPr>
          <w:ilvl w:val="2"/>
          <w:numId w:val="3"/>
        </w:numPr>
        <w:spacing w:before="0" w:after="0" w:line="360" w:lineRule="auto"/>
        <w:ind w:left="0" w:leftChars="0" w:firstLine="402" w:firstLineChars="0"/>
      </w:pPr>
      <w:bookmarkStart w:id="210" w:name="_Toc340506606"/>
      <w:bookmarkStart w:id="211" w:name="_Toc26621"/>
      <w:r>
        <w:rPr>
          <w:rFonts w:hint="eastAsia"/>
        </w:rPr>
        <w:t>终端安全</w:t>
      </w:r>
      <w:bookmarkEnd w:id="210"/>
      <w:bookmarkEnd w:id="211"/>
    </w:p>
    <w:p>
      <w:pPr>
        <w:pStyle w:val="57"/>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在内部终端台式机和笔记本电脑是实现大部分业务操作的工具。事实上，终端很可能就是安全防线最薄弱的环节，电脑终端面对安全威胁显得越来越脆弱，这些安全威胁包括钓鱼攻击，垃圾邮件，病毒，蠕虫，根工具包，按键记录程序和其它恶意软件。针对总局的内网终端主要从以下几个方面进行防护：安全准入策略管理，桌面维护系统，双因子身份认证、强审计系统，防病毒系统。</w:t>
      </w:r>
    </w:p>
    <w:p>
      <w:pPr>
        <w:pStyle w:val="4"/>
        <w:numPr>
          <w:ilvl w:val="2"/>
          <w:numId w:val="3"/>
        </w:numPr>
        <w:spacing w:before="0" w:after="0" w:line="360" w:lineRule="auto"/>
        <w:ind w:left="0" w:leftChars="0" w:firstLine="402" w:firstLineChars="0"/>
      </w:pPr>
      <w:bookmarkStart w:id="212" w:name="_Toc340506607"/>
      <w:bookmarkStart w:id="213" w:name="_Toc1047"/>
      <w:r>
        <w:rPr>
          <w:rFonts w:hint="eastAsia"/>
        </w:rPr>
        <w:t>系统层安全策略</w:t>
      </w:r>
      <w:bookmarkEnd w:id="212"/>
      <w:bookmarkEnd w:id="213"/>
    </w:p>
    <w:p>
      <w:pPr>
        <w:pStyle w:val="57"/>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总局</w:t>
      </w:r>
      <w:r>
        <w:rPr>
          <w:rFonts w:asciiTheme="minorEastAsia" w:hAnsiTheme="minorEastAsia" w:eastAsiaTheme="minorEastAsia"/>
          <w:sz w:val="24"/>
          <w:szCs w:val="24"/>
        </w:rPr>
        <w:t>主机的安全设计主要从操作系统和数据库和等两个方面来考虑。</w:t>
      </w:r>
    </w:p>
    <w:p>
      <w:pPr>
        <w:pStyle w:val="57"/>
        <w:numPr>
          <w:ilvl w:val="1"/>
          <w:numId w:val="29"/>
        </w:numPr>
        <w:ind w:left="902" w:firstLineChars="0"/>
        <w:rPr>
          <w:rFonts w:asciiTheme="minorEastAsia" w:hAnsiTheme="minorEastAsia" w:eastAsiaTheme="minorEastAsia"/>
          <w:sz w:val="24"/>
          <w:szCs w:val="24"/>
        </w:rPr>
      </w:pPr>
      <w:bookmarkStart w:id="214" w:name="_Toc340506608"/>
      <w:r>
        <w:rPr>
          <w:rFonts w:asciiTheme="minorEastAsia" w:hAnsiTheme="minorEastAsia" w:eastAsiaTheme="minorEastAsia"/>
          <w:sz w:val="24"/>
          <w:szCs w:val="24"/>
        </w:rPr>
        <w:t>身份鉴别</w:t>
      </w:r>
      <w:bookmarkEnd w:id="214"/>
    </w:p>
    <w:p>
      <w:pPr>
        <w:pStyle w:val="57"/>
        <w:ind w:firstLine="420"/>
        <w:rPr>
          <w:rFonts w:asciiTheme="minorEastAsia" w:hAnsiTheme="minorEastAsia" w:eastAsiaTheme="minorEastAsia"/>
          <w:sz w:val="24"/>
          <w:szCs w:val="24"/>
        </w:rPr>
      </w:pPr>
      <w:r>
        <w:rPr>
          <w:rFonts w:asciiTheme="minorEastAsia" w:hAnsiTheme="minorEastAsia" w:eastAsiaTheme="minorEastAsia"/>
          <w:sz w:val="24"/>
          <w:szCs w:val="24"/>
        </w:rPr>
        <w:t>对登录操作系统和数据库系统的用户进行身份标识和鉴别，杜绝默认帐号，不合规则的帐号登录访问；操作系统和数据库系统管理用户身份标识应具有不易被冒用的特点，口令应有复杂度要求并定期更换；启用登录失败处理功能，可采取结束会话、限制非法登录次数和自动退出等措施，三次登录失败帐号会被锁定。为操作系统和数据库系统的不同用户分配不同的用户名，确保用户名具有唯一性。</w:t>
      </w:r>
    </w:p>
    <w:p>
      <w:pPr>
        <w:pStyle w:val="57"/>
        <w:ind w:firstLine="420"/>
        <w:rPr>
          <w:rFonts w:asciiTheme="minorEastAsia" w:hAnsiTheme="minorEastAsia" w:eastAsiaTheme="minorEastAsia"/>
          <w:sz w:val="24"/>
          <w:szCs w:val="24"/>
        </w:rPr>
      </w:pPr>
      <w:r>
        <w:rPr>
          <w:rFonts w:asciiTheme="minorEastAsia" w:hAnsiTheme="minorEastAsia" w:eastAsiaTheme="minorEastAsia"/>
          <w:sz w:val="24"/>
          <w:szCs w:val="24"/>
        </w:rPr>
        <w:t>对服务器进行远程管理需要采用安全的模式，针对系统管理员除用户名和密码外，还需要采用数字证书或者UKEY等其他身份鉴别手段。</w:t>
      </w:r>
    </w:p>
    <w:p>
      <w:pPr>
        <w:pStyle w:val="57"/>
        <w:numPr>
          <w:ilvl w:val="1"/>
          <w:numId w:val="29"/>
        </w:numPr>
        <w:ind w:left="902" w:firstLineChars="0"/>
        <w:rPr>
          <w:rFonts w:asciiTheme="minorEastAsia" w:hAnsiTheme="minorEastAsia" w:eastAsiaTheme="minorEastAsia"/>
          <w:sz w:val="24"/>
          <w:szCs w:val="24"/>
        </w:rPr>
      </w:pPr>
      <w:bookmarkStart w:id="215" w:name="_Toc340506609"/>
      <w:r>
        <w:rPr>
          <w:rFonts w:asciiTheme="minorEastAsia" w:hAnsiTheme="minorEastAsia" w:eastAsiaTheme="minorEastAsia"/>
          <w:sz w:val="24"/>
          <w:szCs w:val="24"/>
        </w:rPr>
        <w:t>访问控制</w:t>
      </w:r>
      <w:bookmarkEnd w:id="215"/>
    </w:p>
    <w:p>
      <w:pPr>
        <w:pStyle w:val="57"/>
        <w:ind w:firstLine="420"/>
        <w:rPr>
          <w:rFonts w:asciiTheme="minorEastAsia" w:hAnsiTheme="minorEastAsia" w:eastAsiaTheme="minorEastAsia"/>
          <w:sz w:val="24"/>
          <w:szCs w:val="24"/>
        </w:rPr>
      </w:pPr>
      <w:r>
        <w:rPr>
          <w:rFonts w:asciiTheme="minorEastAsia" w:hAnsiTheme="minorEastAsia" w:eastAsiaTheme="minorEastAsia"/>
          <w:sz w:val="24"/>
          <w:szCs w:val="24"/>
        </w:rPr>
        <w:t>建立标记规则，在服务器等实体资产上粘贴属性标签，文档介质类粘贴或打印密级等标记，对于电子数据使用文件名或文件注释进行标记。建立访问控制策略，依据最小原则授予用户权限，操作系统和数据库系统要使用不同的特权用户，对用户权限分配应当定期检查。</w:t>
      </w:r>
    </w:p>
    <w:p>
      <w:pPr>
        <w:pStyle w:val="57"/>
        <w:ind w:firstLine="420"/>
        <w:rPr>
          <w:rFonts w:asciiTheme="minorEastAsia" w:hAnsiTheme="minorEastAsia" w:eastAsiaTheme="minorEastAsia"/>
          <w:sz w:val="24"/>
          <w:szCs w:val="24"/>
        </w:rPr>
      </w:pPr>
      <w:r>
        <w:rPr>
          <w:rFonts w:asciiTheme="minorEastAsia" w:hAnsiTheme="minorEastAsia" w:eastAsiaTheme="minorEastAsia"/>
          <w:sz w:val="24"/>
          <w:szCs w:val="24"/>
        </w:rPr>
        <w:t>严格限制默认帐户的访问权限，重命名系统默认帐户，修改这些帐户的默认口令；及时删除多余的、过期的帐户，避免共享帐户的存在。</w:t>
      </w:r>
    </w:p>
    <w:p>
      <w:pPr>
        <w:pStyle w:val="57"/>
        <w:numPr>
          <w:ilvl w:val="1"/>
          <w:numId w:val="29"/>
        </w:numPr>
        <w:ind w:left="902" w:firstLineChars="0"/>
        <w:rPr>
          <w:rFonts w:asciiTheme="minorEastAsia" w:hAnsiTheme="minorEastAsia" w:eastAsiaTheme="minorEastAsia"/>
          <w:sz w:val="24"/>
          <w:szCs w:val="24"/>
        </w:rPr>
      </w:pPr>
      <w:bookmarkStart w:id="216" w:name="_Toc340506610"/>
      <w:r>
        <w:rPr>
          <w:rFonts w:asciiTheme="minorEastAsia" w:hAnsiTheme="minorEastAsia" w:eastAsiaTheme="minorEastAsia"/>
          <w:sz w:val="24"/>
          <w:szCs w:val="24"/>
        </w:rPr>
        <w:t>安全审计</w:t>
      </w:r>
      <w:bookmarkEnd w:id="216"/>
    </w:p>
    <w:p>
      <w:pPr>
        <w:pStyle w:val="57"/>
        <w:ind w:firstLine="42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由于</w:t>
      </w:r>
      <w:r>
        <w:rPr>
          <w:rFonts w:asciiTheme="minorEastAsia" w:hAnsiTheme="minorEastAsia" w:eastAsiaTheme="minorEastAsia"/>
          <w:kern w:val="0"/>
          <w:sz w:val="24"/>
          <w:szCs w:val="24"/>
        </w:rPr>
        <w:t>开启操作系统和数据库的审计功能</w:t>
      </w:r>
      <w:r>
        <w:rPr>
          <w:rFonts w:hint="eastAsia" w:asciiTheme="minorEastAsia" w:hAnsiTheme="minorEastAsia" w:eastAsiaTheme="minorEastAsia"/>
          <w:kern w:val="0"/>
          <w:sz w:val="24"/>
          <w:szCs w:val="24"/>
        </w:rPr>
        <w:t>会影响系统的性能</w:t>
      </w:r>
      <w:r>
        <w:rPr>
          <w:rFonts w:asciiTheme="minorEastAsia" w:hAnsiTheme="minorEastAsia" w:eastAsiaTheme="minorEastAsia"/>
          <w:kern w:val="0"/>
          <w:sz w:val="24"/>
          <w:szCs w:val="24"/>
        </w:rPr>
        <w:t>，</w:t>
      </w:r>
      <w:r>
        <w:rPr>
          <w:rFonts w:hint="eastAsia" w:asciiTheme="minorEastAsia" w:hAnsiTheme="minorEastAsia" w:eastAsiaTheme="minorEastAsia"/>
          <w:kern w:val="0"/>
          <w:sz w:val="24"/>
          <w:szCs w:val="24"/>
        </w:rPr>
        <w:t>建议在核心交换安全域配置主机数据库综合审计系统对主机和数据库信息进行审计。</w:t>
      </w:r>
    </w:p>
    <w:p>
      <w:pPr>
        <w:pStyle w:val="57"/>
        <w:numPr>
          <w:ilvl w:val="1"/>
          <w:numId w:val="29"/>
        </w:numPr>
        <w:ind w:left="902" w:firstLineChars="0"/>
        <w:rPr>
          <w:rFonts w:asciiTheme="minorEastAsia" w:hAnsiTheme="minorEastAsia" w:eastAsiaTheme="minorEastAsia"/>
          <w:sz w:val="24"/>
          <w:szCs w:val="24"/>
        </w:rPr>
      </w:pPr>
      <w:bookmarkStart w:id="217" w:name="_Toc340506611"/>
      <w:r>
        <w:rPr>
          <w:rFonts w:asciiTheme="minorEastAsia" w:hAnsiTheme="minorEastAsia" w:eastAsiaTheme="minorEastAsia"/>
          <w:sz w:val="24"/>
          <w:szCs w:val="24"/>
        </w:rPr>
        <w:t>入侵防范</w:t>
      </w:r>
      <w:bookmarkEnd w:id="217"/>
    </w:p>
    <w:p>
      <w:pPr>
        <w:pStyle w:val="57"/>
        <w:ind w:firstLine="420"/>
        <w:rPr>
          <w:rFonts w:asciiTheme="minorEastAsia" w:hAnsiTheme="minorEastAsia" w:eastAsiaTheme="minorEastAsia"/>
          <w:kern w:val="0"/>
          <w:sz w:val="24"/>
          <w:szCs w:val="24"/>
        </w:rPr>
      </w:pPr>
      <w:r>
        <w:rPr>
          <w:rFonts w:asciiTheme="minorEastAsia" w:hAnsiTheme="minorEastAsia" w:eastAsiaTheme="minorEastAsia"/>
          <w:kern w:val="0"/>
          <w:sz w:val="24"/>
          <w:szCs w:val="24"/>
        </w:rPr>
        <w:t>通过部署主机防火墙设备或者主机</w:t>
      </w:r>
      <w:r>
        <w:rPr>
          <w:rFonts w:hint="eastAsia" w:asciiTheme="minorEastAsia" w:hAnsiTheme="minorEastAsia" w:eastAsiaTheme="minorEastAsia"/>
          <w:kern w:val="0"/>
          <w:sz w:val="24"/>
          <w:szCs w:val="24"/>
        </w:rPr>
        <w:t>防病毒软件中的入侵检测模块</w:t>
      </w:r>
      <w:r>
        <w:rPr>
          <w:rFonts w:asciiTheme="minorEastAsia" w:hAnsiTheme="minorEastAsia" w:eastAsiaTheme="minorEastAsia"/>
          <w:kern w:val="0"/>
          <w:sz w:val="24"/>
          <w:szCs w:val="24"/>
        </w:rPr>
        <w:t>监视外来的入侵行为并记录，定期进行系统升级和安全加固。</w:t>
      </w:r>
    </w:p>
    <w:p>
      <w:pPr>
        <w:pStyle w:val="57"/>
        <w:numPr>
          <w:ilvl w:val="1"/>
          <w:numId w:val="29"/>
        </w:numPr>
        <w:ind w:left="902" w:firstLineChars="0"/>
        <w:rPr>
          <w:rFonts w:asciiTheme="minorEastAsia" w:hAnsiTheme="minorEastAsia" w:eastAsiaTheme="minorEastAsia"/>
          <w:sz w:val="24"/>
          <w:szCs w:val="24"/>
        </w:rPr>
      </w:pPr>
      <w:bookmarkStart w:id="218" w:name="_Toc340506612"/>
      <w:r>
        <w:rPr>
          <w:rFonts w:asciiTheme="minorEastAsia" w:hAnsiTheme="minorEastAsia" w:eastAsiaTheme="minorEastAsia"/>
          <w:sz w:val="24"/>
          <w:szCs w:val="24"/>
        </w:rPr>
        <w:t>恶意代码防范</w:t>
      </w:r>
      <w:bookmarkEnd w:id="218"/>
    </w:p>
    <w:p>
      <w:pPr>
        <w:pStyle w:val="57"/>
        <w:ind w:firstLine="420"/>
        <w:rPr>
          <w:rFonts w:asciiTheme="minorEastAsia" w:hAnsiTheme="minorEastAsia" w:eastAsiaTheme="minorEastAsia"/>
          <w:kern w:val="0"/>
          <w:sz w:val="24"/>
          <w:szCs w:val="24"/>
        </w:rPr>
      </w:pPr>
      <w:r>
        <w:rPr>
          <w:rFonts w:asciiTheme="minorEastAsia" w:hAnsiTheme="minorEastAsia" w:eastAsiaTheme="minorEastAsia"/>
          <w:kern w:val="0"/>
          <w:sz w:val="24"/>
          <w:szCs w:val="24"/>
        </w:rPr>
        <w:t>在主机上安装防病毒产品。</w:t>
      </w:r>
    </w:p>
    <w:p>
      <w:pPr>
        <w:pStyle w:val="57"/>
        <w:numPr>
          <w:ilvl w:val="1"/>
          <w:numId w:val="29"/>
        </w:numPr>
        <w:ind w:left="902" w:firstLineChars="0"/>
        <w:rPr>
          <w:rFonts w:asciiTheme="minorEastAsia" w:hAnsiTheme="minorEastAsia" w:eastAsiaTheme="minorEastAsia"/>
          <w:sz w:val="24"/>
          <w:szCs w:val="24"/>
        </w:rPr>
      </w:pPr>
      <w:bookmarkStart w:id="219" w:name="_Toc340506613"/>
      <w:r>
        <w:rPr>
          <w:rFonts w:asciiTheme="minorEastAsia" w:hAnsiTheme="minorEastAsia" w:eastAsiaTheme="minorEastAsia"/>
          <w:sz w:val="24"/>
          <w:szCs w:val="24"/>
        </w:rPr>
        <w:t>资源控制</w:t>
      </w:r>
      <w:bookmarkEnd w:id="219"/>
    </w:p>
    <w:p>
      <w:pPr>
        <w:snapToGrid w:val="0"/>
        <w:spacing w:line="360" w:lineRule="auto"/>
        <w:ind w:firstLine="480" w:firstLineChars="200"/>
        <w:rPr>
          <w:rFonts w:asciiTheme="minorEastAsia" w:hAnsiTheme="minorEastAsia"/>
          <w:kern w:val="0"/>
          <w:sz w:val="24"/>
          <w:szCs w:val="24"/>
        </w:rPr>
      </w:pPr>
      <w:r>
        <w:rPr>
          <w:rFonts w:hint="eastAsia" w:asciiTheme="minorEastAsia" w:hAnsiTheme="minorEastAsia"/>
          <w:kern w:val="0"/>
          <w:sz w:val="24"/>
          <w:szCs w:val="24"/>
        </w:rPr>
        <w:t>Windows系统通过本地安全策略限制登录IP，Unix系统可通过TCP Wrapper工具进行访问IP限制。使用监控管理软件对服务器的CPU、硬盘、内存、网络等资源的使用情况进行监视，设置系统资源过低报警的门限值。</w:t>
      </w:r>
    </w:p>
    <w:p>
      <w:pPr>
        <w:pStyle w:val="4"/>
        <w:numPr>
          <w:ilvl w:val="2"/>
          <w:numId w:val="3"/>
        </w:numPr>
        <w:spacing w:before="0" w:after="0" w:line="360" w:lineRule="auto"/>
        <w:ind w:left="0" w:leftChars="0" w:firstLine="402" w:firstLineChars="0"/>
      </w:pPr>
      <w:bookmarkStart w:id="220" w:name="_Toc31795"/>
      <w:bookmarkStart w:id="221" w:name="_Toc340506614"/>
      <w:r>
        <w:rPr>
          <w:rFonts w:hint="eastAsia"/>
        </w:rPr>
        <w:t>网络层安全策略</w:t>
      </w:r>
      <w:bookmarkEnd w:id="220"/>
      <w:bookmarkEnd w:id="221"/>
    </w:p>
    <w:p>
      <w:pPr>
        <w:spacing w:line="360" w:lineRule="auto"/>
        <w:rPr>
          <w:sz w:val="24"/>
          <w:szCs w:val="24"/>
        </w:rPr>
      </w:pPr>
      <w:bookmarkStart w:id="222" w:name="_Toc340506615"/>
      <w:r>
        <w:rPr>
          <w:rFonts w:hint="eastAsia"/>
          <w:sz w:val="24"/>
          <w:szCs w:val="24"/>
        </w:rPr>
        <w:t>(1)</w:t>
      </w:r>
      <w:r>
        <w:rPr>
          <w:sz w:val="24"/>
          <w:szCs w:val="24"/>
        </w:rPr>
        <w:t>网络结构安全</w:t>
      </w:r>
      <w:bookmarkEnd w:id="222"/>
    </w:p>
    <w:p>
      <w:pPr>
        <w:snapToGrid w:val="0"/>
        <w:spacing w:line="360" w:lineRule="auto"/>
        <w:ind w:firstLine="480" w:firstLineChars="200"/>
        <w:rPr>
          <w:rFonts w:asciiTheme="minorEastAsia" w:hAnsiTheme="minorEastAsia"/>
          <w:kern w:val="0"/>
          <w:sz w:val="24"/>
          <w:szCs w:val="24"/>
        </w:rPr>
      </w:pPr>
      <w:r>
        <w:rPr>
          <w:rFonts w:hint="eastAsia" w:asciiTheme="minorEastAsia" w:hAnsiTheme="minorEastAsia"/>
          <w:kern w:val="0"/>
          <w:sz w:val="24"/>
          <w:szCs w:val="24"/>
        </w:rPr>
        <w:t>网络架构的安全性具体表现在：</w:t>
      </w:r>
    </w:p>
    <w:p>
      <w:pPr>
        <w:snapToGrid w:val="0"/>
        <w:spacing w:line="360" w:lineRule="auto"/>
        <w:ind w:firstLine="480" w:firstLineChars="200"/>
        <w:rPr>
          <w:rFonts w:asciiTheme="minorEastAsia" w:hAnsiTheme="minorEastAsia"/>
          <w:kern w:val="0"/>
          <w:sz w:val="24"/>
          <w:szCs w:val="24"/>
        </w:rPr>
      </w:pPr>
      <w:r>
        <w:rPr>
          <w:rFonts w:hint="eastAsia" w:asciiTheme="minorEastAsia" w:hAnsiTheme="minorEastAsia"/>
          <w:kern w:val="0"/>
          <w:sz w:val="24"/>
          <w:szCs w:val="24"/>
        </w:rPr>
        <w:t>设计采用高安全级别的设计理念，按照生产平台的管理和服务等功能定位，依照业务种类、服务对象和安全性要求不同，划分不同区域层次，每个区域和层次相对独立，相互不干扰。不同分区边缘部署防火墙，区域内部实现统一的安全策略，完成2到7层的安全立体防护体系。</w:t>
      </w:r>
    </w:p>
    <w:p>
      <w:pPr>
        <w:spacing w:line="360" w:lineRule="auto"/>
        <w:rPr>
          <w:sz w:val="24"/>
          <w:szCs w:val="24"/>
        </w:rPr>
      </w:pPr>
      <w:bookmarkStart w:id="223" w:name="_Toc340506616"/>
      <w:r>
        <w:rPr>
          <w:rFonts w:hint="eastAsia"/>
          <w:sz w:val="24"/>
          <w:szCs w:val="24"/>
        </w:rPr>
        <w:t>(2)划分子安全域</w:t>
      </w:r>
      <w:bookmarkEnd w:id="223"/>
    </w:p>
    <w:p>
      <w:pPr>
        <w:snapToGrid w:val="0"/>
        <w:spacing w:line="360" w:lineRule="auto"/>
        <w:ind w:firstLine="480" w:firstLineChars="200"/>
        <w:rPr>
          <w:rFonts w:asciiTheme="minorEastAsia" w:hAnsiTheme="minorEastAsia"/>
          <w:kern w:val="0"/>
          <w:sz w:val="24"/>
          <w:szCs w:val="24"/>
        </w:rPr>
      </w:pPr>
      <w:bookmarkStart w:id="224" w:name="_Toc340506617"/>
      <w:r>
        <w:rPr>
          <w:rFonts w:hint="eastAsia" w:asciiTheme="minorEastAsia" w:hAnsiTheme="minorEastAsia"/>
          <w:kern w:val="0"/>
          <w:sz w:val="24"/>
          <w:szCs w:val="24"/>
        </w:rPr>
        <w:t>本次工程建设将发票服务平台网络划分成多个具备不同安全等级的区域，对安全区域划分和定级的建议如下：</w:t>
      </w:r>
    </w:p>
    <w:tbl>
      <w:tblPr>
        <w:tblStyle w:val="34"/>
        <w:tblW w:w="70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5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16" w:type="dxa"/>
            <w:vAlign w:val="center"/>
          </w:tcPr>
          <w:p>
            <w:pPr>
              <w:spacing w:line="360" w:lineRule="auto"/>
              <w:rPr>
                <w:sz w:val="24"/>
                <w:szCs w:val="24"/>
              </w:rPr>
            </w:pPr>
            <w:r>
              <w:rPr>
                <w:rFonts w:hint="eastAsia"/>
                <w:sz w:val="24"/>
                <w:szCs w:val="24"/>
              </w:rPr>
              <w:t>安全区域</w:t>
            </w:r>
          </w:p>
        </w:tc>
        <w:tc>
          <w:tcPr>
            <w:tcW w:w="5639" w:type="dxa"/>
            <w:vAlign w:val="center"/>
          </w:tcPr>
          <w:p>
            <w:pPr>
              <w:spacing w:line="360" w:lineRule="auto"/>
              <w:rPr>
                <w:sz w:val="24"/>
                <w:szCs w:val="24"/>
              </w:rPr>
            </w:pPr>
            <w:r>
              <w:rPr>
                <w:rFonts w:hint="eastAsia"/>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vAlign w:val="center"/>
          </w:tcPr>
          <w:p>
            <w:pPr>
              <w:spacing w:line="360" w:lineRule="auto"/>
              <w:rPr>
                <w:sz w:val="24"/>
                <w:szCs w:val="24"/>
              </w:rPr>
            </w:pPr>
            <w:r>
              <w:rPr>
                <w:rFonts w:hint="eastAsia"/>
                <w:sz w:val="24"/>
                <w:szCs w:val="24"/>
              </w:rPr>
              <w:t>内部应用域</w:t>
            </w:r>
          </w:p>
        </w:tc>
        <w:tc>
          <w:tcPr>
            <w:tcW w:w="5639" w:type="dxa"/>
            <w:vAlign w:val="center"/>
          </w:tcPr>
          <w:p>
            <w:pPr>
              <w:spacing w:line="360" w:lineRule="auto"/>
              <w:rPr>
                <w:sz w:val="24"/>
                <w:szCs w:val="24"/>
              </w:rPr>
            </w:pPr>
            <w:r>
              <w:rPr>
                <w:rFonts w:hint="eastAsia"/>
                <w:sz w:val="24"/>
                <w:szCs w:val="24"/>
              </w:rPr>
              <w:t>包含应用服务器、数据库服务器、签名验证服务器、税控服务器、存储设备等；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vAlign w:val="center"/>
          </w:tcPr>
          <w:p>
            <w:pPr>
              <w:spacing w:line="360" w:lineRule="auto"/>
              <w:rPr>
                <w:sz w:val="24"/>
                <w:szCs w:val="24"/>
              </w:rPr>
            </w:pPr>
            <w:r>
              <w:rPr>
                <w:sz w:val="24"/>
                <w:szCs w:val="24"/>
              </w:rPr>
              <w:t>外部应用域</w:t>
            </w:r>
          </w:p>
          <w:p>
            <w:pPr>
              <w:spacing w:line="360" w:lineRule="auto"/>
              <w:rPr>
                <w:sz w:val="24"/>
                <w:szCs w:val="24"/>
              </w:rPr>
            </w:pPr>
            <w:r>
              <w:rPr>
                <w:sz w:val="24"/>
                <w:szCs w:val="24"/>
              </w:rPr>
              <w:t>（</w:t>
            </w:r>
            <w:r>
              <w:rPr>
                <w:rFonts w:hint="eastAsia"/>
                <w:sz w:val="24"/>
                <w:szCs w:val="24"/>
              </w:rPr>
              <w:t>DMZ区</w:t>
            </w:r>
            <w:r>
              <w:rPr>
                <w:sz w:val="24"/>
                <w:szCs w:val="24"/>
              </w:rPr>
              <w:t>）</w:t>
            </w:r>
          </w:p>
        </w:tc>
        <w:tc>
          <w:tcPr>
            <w:tcW w:w="5639" w:type="dxa"/>
            <w:vAlign w:val="center"/>
          </w:tcPr>
          <w:p>
            <w:pPr>
              <w:spacing w:line="360" w:lineRule="auto"/>
              <w:rPr>
                <w:sz w:val="24"/>
                <w:szCs w:val="24"/>
              </w:rPr>
            </w:pPr>
            <w:r>
              <w:rPr>
                <w:rFonts w:hint="eastAsia"/>
                <w:sz w:val="24"/>
                <w:szCs w:val="24"/>
              </w:rPr>
              <w:t>包含Web服务器、接口服务器、WAF等设备；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vAlign w:val="center"/>
          </w:tcPr>
          <w:p>
            <w:pPr>
              <w:spacing w:line="360" w:lineRule="auto"/>
              <w:rPr>
                <w:sz w:val="24"/>
                <w:szCs w:val="24"/>
              </w:rPr>
            </w:pPr>
            <w:r>
              <w:rPr>
                <w:sz w:val="24"/>
                <w:szCs w:val="24"/>
              </w:rPr>
              <w:t>安全管理域</w:t>
            </w:r>
          </w:p>
        </w:tc>
        <w:tc>
          <w:tcPr>
            <w:tcW w:w="5639" w:type="dxa"/>
            <w:vAlign w:val="center"/>
          </w:tcPr>
          <w:p>
            <w:pPr>
              <w:spacing w:line="360" w:lineRule="auto"/>
              <w:rPr>
                <w:sz w:val="24"/>
                <w:szCs w:val="24"/>
              </w:rPr>
            </w:pPr>
            <w:r>
              <w:rPr>
                <w:rFonts w:hint="eastAsia"/>
                <w:sz w:val="24"/>
                <w:szCs w:val="24"/>
              </w:rPr>
              <w:t>包含防病毒服务、堡垒机、漏洞扫描设备等安全设备；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vAlign w:val="center"/>
          </w:tcPr>
          <w:p>
            <w:pPr>
              <w:spacing w:line="360" w:lineRule="auto"/>
              <w:rPr>
                <w:sz w:val="24"/>
                <w:szCs w:val="24"/>
              </w:rPr>
            </w:pPr>
            <w:r>
              <w:rPr>
                <w:rFonts w:hint="eastAsia"/>
                <w:sz w:val="24"/>
                <w:szCs w:val="24"/>
              </w:rPr>
              <w:t>交换域</w:t>
            </w:r>
          </w:p>
        </w:tc>
        <w:tc>
          <w:tcPr>
            <w:tcW w:w="5639" w:type="dxa"/>
            <w:vAlign w:val="center"/>
          </w:tcPr>
          <w:p>
            <w:pPr>
              <w:spacing w:line="360" w:lineRule="auto"/>
              <w:rPr>
                <w:sz w:val="24"/>
                <w:szCs w:val="24"/>
              </w:rPr>
            </w:pPr>
            <w:r>
              <w:rPr>
                <w:rFonts w:hint="eastAsia"/>
                <w:sz w:val="24"/>
                <w:szCs w:val="24"/>
              </w:rPr>
              <w:t>包括交换机等网络设备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vAlign w:val="center"/>
          </w:tcPr>
          <w:p>
            <w:pPr>
              <w:spacing w:line="360" w:lineRule="auto"/>
              <w:rPr>
                <w:sz w:val="24"/>
                <w:szCs w:val="24"/>
              </w:rPr>
            </w:pPr>
            <w:r>
              <w:rPr>
                <w:rFonts w:hint="eastAsia"/>
                <w:sz w:val="24"/>
                <w:szCs w:val="24"/>
              </w:rPr>
              <w:t>接入域</w:t>
            </w:r>
          </w:p>
        </w:tc>
        <w:tc>
          <w:tcPr>
            <w:tcW w:w="5639" w:type="dxa"/>
            <w:vAlign w:val="center"/>
          </w:tcPr>
          <w:p>
            <w:pPr>
              <w:spacing w:line="360" w:lineRule="auto"/>
              <w:rPr>
                <w:sz w:val="24"/>
                <w:szCs w:val="24"/>
              </w:rPr>
            </w:pPr>
            <w:r>
              <w:rPr>
                <w:rFonts w:hint="eastAsia"/>
                <w:sz w:val="24"/>
                <w:szCs w:val="24"/>
              </w:rPr>
              <w:t>包括路由器、IPS等网络设备</w:t>
            </w:r>
          </w:p>
        </w:tc>
      </w:tr>
    </w:tbl>
    <w:p>
      <w:pPr>
        <w:spacing w:line="360" w:lineRule="auto"/>
        <w:rPr>
          <w:sz w:val="24"/>
          <w:szCs w:val="24"/>
        </w:rPr>
      </w:pPr>
      <w:r>
        <w:rPr>
          <w:rFonts w:hint="eastAsia"/>
          <w:sz w:val="24"/>
          <w:szCs w:val="24"/>
        </w:rPr>
        <w:t>(3)网络访问控制</w:t>
      </w:r>
      <w:bookmarkEnd w:id="224"/>
    </w:p>
    <w:p>
      <w:pPr>
        <w:snapToGrid w:val="0"/>
        <w:spacing w:line="360" w:lineRule="auto"/>
        <w:ind w:firstLine="480" w:firstLineChars="200"/>
        <w:rPr>
          <w:rFonts w:asciiTheme="minorEastAsia" w:hAnsiTheme="minorEastAsia"/>
          <w:kern w:val="0"/>
          <w:sz w:val="24"/>
          <w:szCs w:val="24"/>
        </w:rPr>
      </w:pPr>
      <w:r>
        <w:rPr>
          <w:rFonts w:hint="eastAsia" w:asciiTheme="minorEastAsia" w:hAnsiTheme="minorEastAsia"/>
          <w:kern w:val="0"/>
          <w:sz w:val="24"/>
          <w:szCs w:val="24"/>
        </w:rPr>
        <w:t>通过防火墙和VLAN对电子发票系统划分的各个安全域进行访问控制。电子发票系统的防火墙配置：</w:t>
      </w:r>
    </w:p>
    <w:p>
      <w:pPr>
        <w:numPr>
          <w:ilvl w:val="2"/>
          <w:numId w:val="30"/>
        </w:numPr>
        <w:spacing w:line="360" w:lineRule="auto"/>
        <w:ind w:left="902"/>
        <w:rPr>
          <w:rFonts w:asciiTheme="minorEastAsia" w:hAnsiTheme="minorEastAsia"/>
          <w:sz w:val="24"/>
          <w:szCs w:val="24"/>
        </w:rPr>
      </w:pPr>
      <w:r>
        <w:rPr>
          <w:rFonts w:hint="eastAsia" w:asciiTheme="minorEastAsia" w:hAnsiTheme="minorEastAsia"/>
          <w:sz w:val="24"/>
          <w:szCs w:val="24"/>
        </w:rPr>
        <w:t>电子发票系统接入区配置2台万兆防火墙，限制来自外界的风险；</w:t>
      </w:r>
    </w:p>
    <w:p>
      <w:pPr>
        <w:numPr>
          <w:ilvl w:val="2"/>
          <w:numId w:val="30"/>
        </w:numPr>
        <w:spacing w:line="360" w:lineRule="auto"/>
        <w:ind w:left="902"/>
        <w:rPr>
          <w:rFonts w:asciiTheme="minorEastAsia" w:hAnsiTheme="minorEastAsia"/>
          <w:sz w:val="24"/>
          <w:szCs w:val="24"/>
        </w:rPr>
      </w:pPr>
      <w:r>
        <w:rPr>
          <w:rFonts w:hint="eastAsia" w:asciiTheme="minorEastAsia" w:hAnsiTheme="minorEastAsia"/>
          <w:sz w:val="24"/>
          <w:szCs w:val="24"/>
        </w:rPr>
        <w:t>在电子发票系统数据库区前配置2台千兆防火墙，以保护电子发票系统数据的安全。</w:t>
      </w:r>
    </w:p>
    <w:p>
      <w:pPr>
        <w:snapToGrid w:val="0"/>
        <w:spacing w:line="360" w:lineRule="auto"/>
        <w:ind w:firstLine="480" w:firstLineChars="200"/>
        <w:rPr>
          <w:rFonts w:asciiTheme="minorEastAsia" w:hAnsiTheme="minorEastAsia"/>
          <w:kern w:val="0"/>
          <w:sz w:val="24"/>
          <w:szCs w:val="24"/>
        </w:rPr>
      </w:pPr>
      <w:r>
        <w:rPr>
          <w:rFonts w:hint="eastAsia" w:asciiTheme="minorEastAsia" w:hAnsiTheme="minorEastAsia"/>
          <w:kern w:val="0"/>
          <w:sz w:val="24"/>
          <w:szCs w:val="24"/>
        </w:rPr>
        <w:t>Web/APP安全域根据服务器的性质，利用交换机划分出多个VLAN利用ACL进行访问控制。利用VLAN实现认证电子发票系统和电子发票系统管理区的访问控制。</w:t>
      </w:r>
    </w:p>
    <w:p>
      <w:pPr>
        <w:spacing w:line="360" w:lineRule="auto"/>
        <w:rPr>
          <w:sz w:val="24"/>
          <w:szCs w:val="24"/>
        </w:rPr>
      </w:pPr>
      <w:bookmarkStart w:id="225" w:name="_Toc340506618"/>
      <w:r>
        <w:rPr>
          <w:rFonts w:hint="eastAsia"/>
          <w:sz w:val="24"/>
          <w:szCs w:val="24"/>
        </w:rPr>
        <w:t>(4)</w:t>
      </w:r>
      <w:r>
        <w:rPr>
          <w:sz w:val="24"/>
          <w:szCs w:val="24"/>
        </w:rPr>
        <w:t>恶意代码防范</w:t>
      </w:r>
      <w:bookmarkEnd w:id="225"/>
    </w:p>
    <w:p>
      <w:pPr>
        <w:snapToGrid w:val="0"/>
        <w:spacing w:line="360" w:lineRule="auto"/>
        <w:ind w:firstLine="480" w:firstLineChars="200"/>
        <w:rPr>
          <w:rFonts w:asciiTheme="minorEastAsia" w:hAnsiTheme="minorEastAsia"/>
          <w:kern w:val="0"/>
          <w:sz w:val="24"/>
          <w:szCs w:val="24"/>
        </w:rPr>
      </w:pPr>
      <w:r>
        <w:rPr>
          <w:rFonts w:hint="eastAsia" w:asciiTheme="minorEastAsia" w:hAnsiTheme="minorEastAsia"/>
          <w:kern w:val="0"/>
          <w:sz w:val="24"/>
          <w:szCs w:val="24"/>
        </w:rPr>
        <w:t>可在发票系统接入区部署两台防病毒网关，部署两台抗DDOS系统（设备），对流量进行清洗和病毒过滤，在发票系统的服务器部署网络防病毒软件和防病毒网关，抗DDOS系统共同组成三层病毒扫描架构的立体网络防病毒体系。</w:t>
      </w:r>
    </w:p>
    <w:p>
      <w:pPr>
        <w:spacing w:line="360" w:lineRule="auto"/>
        <w:rPr>
          <w:sz w:val="24"/>
          <w:szCs w:val="24"/>
        </w:rPr>
      </w:pPr>
      <w:bookmarkStart w:id="226" w:name="_Toc340506619"/>
      <w:r>
        <w:rPr>
          <w:rFonts w:hint="eastAsia"/>
          <w:sz w:val="24"/>
          <w:szCs w:val="24"/>
        </w:rPr>
        <w:t>(5)网络</w:t>
      </w:r>
      <w:r>
        <w:rPr>
          <w:sz w:val="24"/>
          <w:szCs w:val="24"/>
        </w:rPr>
        <w:t>安全审计</w:t>
      </w:r>
      <w:bookmarkEnd w:id="226"/>
    </w:p>
    <w:p>
      <w:pPr>
        <w:snapToGrid w:val="0"/>
        <w:spacing w:line="360" w:lineRule="auto"/>
        <w:ind w:firstLine="480" w:firstLineChars="200"/>
        <w:rPr>
          <w:rFonts w:asciiTheme="minorEastAsia" w:hAnsiTheme="minorEastAsia"/>
          <w:kern w:val="0"/>
          <w:sz w:val="24"/>
          <w:szCs w:val="24"/>
        </w:rPr>
      </w:pPr>
      <w:r>
        <w:rPr>
          <w:rFonts w:hint="eastAsia" w:asciiTheme="minorEastAsia" w:hAnsiTheme="minorEastAsia"/>
          <w:kern w:val="0"/>
          <w:sz w:val="24"/>
          <w:szCs w:val="24"/>
        </w:rPr>
        <w:t>在发票系统的web服务器区部署一台网络审计，对访问Web区域的网络行为进行审计。</w:t>
      </w:r>
    </w:p>
    <w:p>
      <w:pPr>
        <w:snapToGrid w:val="0"/>
        <w:spacing w:line="360" w:lineRule="auto"/>
        <w:ind w:firstLine="480" w:firstLineChars="200"/>
        <w:rPr>
          <w:rFonts w:asciiTheme="minorEastAsia" w:hAnsiTheme="minorEastAsia"/>
          <w:kern w:val="0"/>
          <w:sz w:val="24"/>
          <w:szCs w:val="24"/>
        </w:rPr>
      </w:pPr>
      <w:r>
        <w:rPr>
          <w:rFonts w:hint="eastAsia" w:asciiTheme="minorEastAsia" w:hAnsiTheme="minorEastAsia"/>
          <w:kern w:val="0"/>
          <w:sz w:val="24"/>
          <w:szCs w:val="24"/>
        </w:rPr>
        <w:t>另外，搭建专门的日志服务器，将网络设备、安全设备等产生的日志进行存储和审计。</w:t>
      </w:r>
    </w:p>
    <w:p>
      <w:pPr>
        <w:spacing w:line="360" w:lineRule="auto"/>
        <w:rPr>
          <w:sz w:val="24"/>
          <w:szCs w:val="24"/>
        </w:rPr>
      </w:pPr>
      <w:bookmarkStart w:id="227" w:name="_Toc340506620"/>
      <w:r>
        <w:rPr>
          <w:rFonts w:hint="eastAsia"/>
          <w:sz w:val="24"/>
          <w:szCs w:val="24"/>
        </w:rPr>
        <w:t>(6)</w:t>
      </w:r>
      <w:r>
        <w:rPr>
          <w:sz w:val="24"/>
          <w:szCs w:val="24"/>
        </w:rPr>
        <w:t>边界完整性检查</w:t>
      </w:r>
      <w:bookmarkEnd w:id="227"/>
    </w:p>
    <w:p>
      <w:pPr>
        <w:snapToGrid w:val="0"/>
        <w:spacing w:line="360" w:lineRule="auto"/>
        <w:ind w:firstLine="480" w:firstLineChars="200"/>
        <w:rPr>
          <w:rFonts w:asciiTheme="minorEastAsia" w:hAnsiTheme="minorEastAsia"/>
          <w:kern w:val="0"/>
          <w:sz w:val="24"/>
          <w:szCs w:val="24"/>
        </w:rPr>
      </w:pPr>
      <w:r>
        <w:rPr>
          <w:rFonts w:hint="eastAsia" w:asciiTheme="minorEastAsia" w:hAnsiTheme="minorEastAsia"/>
          <w:kern w:val="0"/>
          <w:sz w:val="24"/>
          <w:szCs w:val="24"/>
        </w:rPr>
        <w:t>利用非法外联监控和非法内接监控设备来进行网络边界完整性检查。对于非法内联，应能够对非授权设备私自联到内部网络的行为进行检查，准确定出位置，并对其进行有效阻断。对于非法外连，应能够对内部网络用户私自联到（比如拨号连接）外部网络的行为进行检查，准确定出位置，并对其进行有效阻断。</w:t>
      </w:r>
    </w:p>
    <w:p>
      <w:pPr>
        <w:spacing w:line="360" w:lineRule="auto"/>
        <w:rPr>
          <w:sz w:val="24"/>
          <w:szCs w:val="24"/>
        </w:rPr>
      </w:pPr>
      <w:bookmarkStart w:id="228" w:name="_Toc340506621"/>
      <w:r>
        <w:rPr>
          <w:rFonts w:hint="eastAsia"/>
          <w:sz w:val="24"/>
          <w:szCs w:val="24"/>
        </w:rPr>
        <w:t>(7)</w:t>
      </w:r>
      <w:r>
        <w:rPr>
          <w:sz w:val="24"/>
          <w:szCs w:val="24"/>
        </w:rPr>
        <w:t>入侵防范</w:t>
      </w:r>
      <w:bookmarkEnd w:id="228"/>
    </w:p>
    <w:p>
      <w:pPr>
        <w:snapToGrid w:val="0"/>
        <w:spacing w:line="360" w:lineRule="auto"/>
        <w:ind w:firstLine="480" w:firstLineChars="200"/>
        <w:rPr>
          <w:rFonts w:asciiTheme="minorEastAsia" w:hAnsiTheme="minorEastAsia"/>
          <w:kern w:val="0"/>
          <w:sz w:val="24"/>
          <w:szCs w:val="24"/>
        </w:rPr>
      </w:pPr>
      <w:r>
        <w:rPr>
          <w:rFonts w:hint="eastAsia" w:asciiTheme="minorEastAsia" w:hAnsiTheme="minorEastAsia"/>
          <w:kern w:val="0"/>
          <w:sz w:val="24"/>
          <w:szCs w:val="24"/>
        </w:rPr>
        <w:t>可在发票系统web/APP安全域接口交换机上配置1台千兆IDS，监视互联网引入的安全威胁；可在数据库区部署1台IDS，监视该区域的安全威胁。</w:t>
      </w:r>
    </w:p>
    <w:p>
      <w:pPr>
        <w:spacing w:line="360" w:lineRule="auto"/>
        <w:rPr>
          <w:sz w:val="24"/>
          <w:szCs w:val="24"/>
        </w:rPr>
      </w:pPr>
      <w:bookmarkStart w:id="229" w:name="_Toc340506622"/>
      <w:r>
        <w:rPr>
          <w:rFonts w:hint="eastAsia"/>
          <w:sz w:val="24"/>
          <w:szCs w:val="24"/>
        </w:rPr>
        <w:t>(8)网络设备安全防范</w:t>
      </w:r>
      <w:bookmarkEnd w:id="229"/>
    </w:p>
    <w:p>
      <w:pPr>
        <w:snapToGrid w:val="0"/>
        <w:spacing w:line="360" w:lineRule="auto"/>
        <w:ind w:firstLine="480" w:firstLineChars="200"/>
        <w:rPr>
          <w:rFonts w:asciiTheme="minorEastAsia" w:hAnsiTheme="minorEastAsia"/>
          <w:kern w:val="0"/>
          <w:sz w:val="24"/>
          <w:szCs w:val="24"/>
        </w:rPr>
      </w:pPr>
      <w:r>
        <w:rPr>
          <w:rFonts w:hint="eastAsia" w:asciiTheme="minorEastAsia" w:hAnsiTheme="minorEastAsia"/>
          <w:kern w:val="0"/>
          <w:sz w:val="24"/>
          <w:szCs w:val="24"/>
        </w:rPr>
        <w:t>重要的网络设备可以使用两种或两种以上组合的鉴别技术来进行身份鉴别，如密码、令牌、生物识别技术等；对与核心的网络设备建议不使用网络登录或者限制登录终端，网络登录要使用加密方式以防止窃听。</w:t>
      </w:r>
    </w:p>
    <w:p>
      <w:pPr>
        <w:pStyle w:val="4"/>
        <w:numPr>
          <w:ilvl w:val="2"/>
          <w:numId w:val="3"/>
        </w:numPr>
        <w:spacing w:before="0" w:after="0" w:line="360" w:lineRule="auto"/>
        <w:ind w:left="0" w:leftChars="0" w:firstLine="402" w:firstLineChars="0"/>
      </w:pPr>
      <w:bookmarkStart w:id="230" w:name="_Toc8788"/>
      <w:bookmarkStart w:id="231" w:name="_Toc340506623"/>
      <w:r>
        <w:rPr>
          <w:rFonts w:hint="eastAsia"/>
        </w:rPr>
        <w:t>物理层安全</w:t>
      </w:r>
      <w:bookmarkEnd w:id="230"/>
      <w:bookmarkEnd w:id="231"/>
    </w:p>
    <w:p>
      <w:pPr>
        <w:snapToGrid w:val="0"/>
        <w:spacing w:line="360" w:lineRule="auto"/>
        <w:ind w:firstLine="480" w:firstLineChars="200"/>
        <w:rPr>
          <w:rFonts w:asciiTheme="minorEastAsia" w:hAnsiTheme="minorEastAsia"/>
          <w:kern w:val="0"/>
          <w:sz w:val="24"/>
          <w:szCs w:val="24"/>
        </w:rPr>
      </w:pPr>
      <w:r>
        <w:rPr>
          <w:rFonts w:hint="eastAsia" w:asciiTheme="minorEastAsia" w:hAnsiTheme="minorEastAsia"/>
          <w:kern w:val="0"/>
          <w:sz w:val="24"/>
          <w:szCs w:val="24"/>
        </w:rPr>
        <w:t>保证计算环境能满足相应的机房场地选择要求、机房防火、供配电、空调降温、防水与防潮、防静电、接地与防雷击等要求，并对通信线路进行安全防护，保证设备的防盗和防毁及安全可用，以及保证记录介质安全。</w:t>
      </w:r>
    </w:p>
    <w:p>
      <w:pPr>
        <w:pStyle w:val="3"/>
        <w:numPr>
          <w:ilvl w:val="1"/>
          <w:numId w:val="3"/>
        </w:numPr>
        <w:spacing w:before="0" w:after="0" w:line="360" w:lineRule="auto"/>
        <w:ind w:left="0" w:leftChars="0" w:firstLine="402" w:firstLineChars="0"/>
      </w:pPr>
      <w:bookmarkStart w:id="232" w:name="_Toc27011"/>
      <w:bookmarkStart w:id="233" w:name="_Toc345693987"/>
      <w:bookmarkStart w:id="234" w:name="_Toc442308331"/>
      <w:r>
        <w:rPr>
          <w:rFonts w:hint="eastAsia"/>
        </w:rPr>
        <w:t>安全域划分与设计</w:t>
      </w:r>
      <w:bookmarkEnd w:id="232"/>
      <w:bookmarkEnd w:id="233"/>
      <w:bookmarkEnd w:id="234"/>
    </w:p>
    <w:p>
      <w:pPr>
        <w:snapToGrid w:val="0"/>
        <w:spacing w:line="360" w:lineRule="auto"/>
        <w:ind w:firstLine="480" w:firstLineChars="200"/>
        <w:rPr>
          <w:rFonts w:asciiTheme="minorEastAsia" w:hAnsiTheme="minorEastAsia"/>
          <w:kern w:val="0"/>
          <w:szCs w:val="21"/>
        </w:rPr>
      </w:pPr>
      <w:r>
        <w:rPr>
          <w:rFonts w:hint="eastAsia" w:asciiTheme="minorEastAsia" w:hAnsiTheme="minorEastAsia"/>
          <w:kern w:val="0"/>
          <w:sz w:val="24"/>
          <w:szCs w:val="24"/>
        </w:rPr>
        <w:t>本次工程建设将电子发票系统网络划分成多个具备不同安全等级的区域，对安全区域划分和定级的建议如下：</w:t>
      </w:r>
    </w:p>
    <w:tbl>
      <w:tblPr>
        <w:tblStyle w:val="34"/>
        <w:tblW w:w="70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5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16" w:type="dxa"/>
            <w:vAlign w:val="center"/>
          </w:tcPr>
          <w:p>
            <w:pPr>
              <w:spacing w:line="360" w:lineRule="auto"/>
              <w:rPr>
                <w:rFonts w:asciiTheme="minorEastAsia" w:hAnsiTheme="minorEastAsia"/>
                <w:b/>
                <w:szCs w:val="21"/>
              </w:rPr>
            </w:pPr>
            <w:r>
              <w:rPr>
                <w:rFonts w:hint="eastAsia" w:asciiTheme="minorEastAsia" w:hAnsiTheme="minorEastAsia"/>
                <w:b/>
                <w:szCs w:val="21"/>
              </w:rPr>
              <w:t>安全区域</w:t>
            </w:r>
          </w:p>
        </w:tc>
        <w:tc>
          <w:tcPr>
            <w:tcW w:w="5639" w:type="dxa"/>
            <w:vAlign w:val="center"/>
          </w:tcPr>
          <w:p>
            <w:pPr>
              <w:spacing w:line="360" w:lineRule="auto"/>
              <w:rPr>
                <w:rFonts w:asciiTheme="minorEastAsia" w:hAnsiTheme="minorEastAsia"/>
                <w:b/>
                <w:szCs w:val="21"/>
              </w:rPr>
            </w:pPr>
            <w:r>
              <w:rPr>
                <w:rFonts w:hint="eastAsia" w:asciiTheme="minorEastAsia" w:hAnsiTheme="minorEastAsia"/>
                <w:b/>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vAlign w:val="center"/>
          </w:tcPr>
          <w:p>
            <w:pPr>
              <w:spacing w:line="360" w:lineRule="auto"/>
              <w:rPr>
                <w:rFonts w:asciiTheme="minorEastAsia" w:hAnsiTheme="minorEastAsia"/>
                <w:szCs w:val="21"/>
              </w:rPr>
            </w:pPr>
            <w:r>
              <w:rPr>
                <w:rFonts w:hint="eastAsia" w:asciiTheme="minorEastAsia" w:hAnsiTheme="minorEastAsia"/>
                <w:szCs w:val="21"/>
              </w:rPr>
              <w:t>内部应用域</w:t>
            </w:r>
          </w:p>
        </w:tc>
        <w:tc>
          <w:tcPr>
            <w:tcW w:w="5639" w:type="dxa"/>
            <w:vAlign w:val="center"/>
          </w:tcPr>
          <w:p>
            <w:pPr>
              <w:spacing w:line="360" w:lineRule="auto"/>
              <w:rPr>
                <w:rFonts w:asciiTheme="minorEastAsia" w:hAnsiTheme="minorEastAsia"/>
                <w:szCs w:val="21"/>
              </w:rPr>
            </w:pPr>
            <w:r>
              <w:rPr>
                <w:rFonts w:hint="eastAsia" w:asciiTheme="minorEastAsia" w:hAnsiTheme="minorEastAsia"/>
                <w:szCs w:val="21"/>
              </w:rPr>
              <w:t>包含应用服务器、数据库服务器、签名验证服务器、税控服务器、存储设备等；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vAlign w:val="center"/>
          </w:tcPr>
          <w:p>
            <w:pPr>
              <w:spacing w:line="360" w:lineRule="auto"/>
              <w:rPr>
                <w:rFonts w:asciiTheme="minorEastAsia" w:hAnsiTheme="minorEastAsia"/>
                <w:szCs w:val="21"/>
              </w:rPr>
            </w:pPr>
            <w:r>
              <w:rPr>
                <w:rFonts w:asciiTheme="minorEastAsia" w:hAnsiTheme="minorEastAsia"/>
                <w:szCs w:val="21"/>
              </w:rPr>
              <w:t>外部应用域</w:t>
            </w:r>
          </w:p>
          <w:p>
            <w:pPr>
              <w:spacing w:line="360" w:lineRule="auto"/>
              <w:rPr>
                <w:rFonts w:asciiTheme="minorEastAsia" w:hAnsiTheme="minorEastAsia"/>
                <w:szCs w:val="21"/>
              </w:rPr>
            </w:pPr>
            <w:r>
              <w:rPr>
                <w:rFonts w:asciiTheme="minorEastAsia" w:hAnsiTheme="minorEastAsia"/>
                <w:szCs w:val="21"/>
              </w:rPr>
              <w:t>（</w:t>
            </w:r>
            <w:r>
              <w:rPr>
                <w:rFonts w:hint="eastAsia" w:asciiTheme="minorEastAsia" w:hAnsiTheme="minorEastAsia"/>
                <w:szCs w:val="21"/>
              </w:rPr>
              <w:t>DMZ区</w:t>
            </w:r>
            <w:r>
              <w:rPr>
                <w:rFonts w:asciiTheme="minorEastAsia" w:hAnsiTheme="minorEastAsia"/>
                <w:szCs w:val="21"/>
              </w:rPr>
              <w:t>）</w:t>
            </w:r>
          </w:p>
        </w:tc>
        <w:tc>
          <w:tcPr>
            <w:tcW w:w="5639" w:type="dxa"/>
            <w:vAlign w:val="center"/>
          </w:tcPr>
          <w:p>
            <w:pPr>
              <w:spacing w:line="360" w:lineRule="auto"/>
              <w:rPr>
                <w:rFonts w:asciiTheme="minorEastAsia" w:hAnsiTheme="minorEastAsia"/>
                <w:szCs w:val="21"/>
              </w:rPr>
            </w:pPr>
            <w:r>
              <w:rPr>
                <w:rFonts w:hint="eastAsia" w:asciiTheme="minorEastAsia" w:hAnsiTheme="minorEastAsia"/>
                <w:szCs w:val="21"/>
              </w:rPr>
              <w:t>包含Web服务器、接口服务器、WAF等设备；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vAlign w:val="center"/>
          </w:tcPr>
          <w:p>
            <w:pPr>
              <w:spacing w:line="360" w:lineRule="auto"/>
              <w:rPr>
                <w:rFonts w:asciiTheme="minorEastAsia" w:hAnsiTheme="minorEastAsia"/>
                <w:szCs w:val="21"/>
              </w:rPr>
            </w:pPr>
            <w:r>
              <w:rPr>
                <w:rFonts w:asciiTheme="minorEastAsia" w:hAnsiTheme="minorEastAsia"/>
                <w:szCs w:val="21"/>
              </w:rPr>
              <w:t>安全管理域</w:t>
            </w:r>
          </w:p>
        </w:tc>
        <w:tc>
          <w:tcPr>
            <w:tcW w:w="5639" w:type="dxa"/>
            <w:vAlign w:val="center"/>
          </w:tcPr>
          <w:p>
            <w:pPr>
              <w:spacing w:line="360" w:lineRule="auto"/>
              <w:rPr>
                <w:rFonts w:asciiTheme="minorEastAsia" w:hAnsiTheme="minorEastAsia"/>
                <w:szCs w:val="21"/>
              </w:rPr>
            </w:pPr>
            <w:r>
              <w:rPr>
                <w:rFonts w:hint="eastAsia" w:asciiTheme="minorEastAsia" w:hAnsiTheme="minorEastAsia"/>
                <w:szCs w:val="21"/>
              </w:rPr>
              <w:t>包含防病毒服务、堡垒机、漏洞扫描设备等安全设备；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vAlign w:val="center"/>
          </w:tcPr>
          <w:p>
            <w:pPr>
              <w:spacing w:line="360" w:lineRule="auto"/>
              <w:rPr>
                <w:rFonts w:asciiTheme="minorEastAsia" w:hAnsiTheme="minorEastAsia"/>
                <w:szCs w:val="21"/>
              </w:rPr>
            </w:pPr>
            <w:r>
              <w:rPr>
                <w:rFonts w:hint="eastAsia" w:asciiTheme="minorEastAsia" w:hAnsiTheme="minorEastAsia"/>
                <w:szCs w:val="21"/>
              </w:rPr>
              <w:t>交换域</w:t>
            </w:r>
          </w:p>
        </w:tc>
        <w:tc>
          <w:tcPr>
            <w:tcW w:w="5639" w:type="dxa"/>
            <w:vAlign w:val="center"/>
          </w:tcPr>
          <w:p>
            <w:pPr>
              <w:spacing w:line="360" w:lineRule="auto"/>
              <w:rPr>
                <w:rFonts w:asciiTheme="minorEastAsia" w:hAnsiTheme="minorEastAsia"/>
                <w:szCs w:val="21"/>
              </w:rPr>
            </w:pPr>
            <w:r>
              <w:rPr>
                <w:rFonts w:hint="eastAsia" w:asciiTheme="minorEastAsia" w:hAnsiTheme="minorEastAsia"/>
                <w:szCs w:val="21"/>
              </w:rPr>
              <w:t>包括交换机等网络设备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vAlign w:val="center"/>
          </w:tcPr>
          <w:p>
            <w:pPr>
              <w:spacing w:line="360" w:lineRule="auto"/>
              <w:rPr>
                <w:rFonts w:asciiTheme="minorEastAsia" w:hAnsiTheme="minorEastAsia"/>
                <w:szCs w:val="21"/>
              </w:rPr>
            </w:pPr>
            <w:r>
              <w:rPr>
                <w:rFonts w:hint="eastAsia" w:asciiTheme="minorEastAsia" w:hAnsiTheme="minorEastAsia"/>
                <w:szCs w:val="21"/>
              </w:rPr>
              <w:t>接入域</w:t>
            </w:r>
          </w:p>
        </w:tc>
        <w:tc>
          <w:tcPr>
            <w:tcW w:w="5639" w:type="dxa"/>
            <w:vAlign w:val="center"/>
          </w:tcPr>
          <w:p>
            <w:pPr>
              <w:spacing w:line="360" w:lineRule="auto"/>
              <w:rPr>
                <w:rFonts w:asciiTheme="minorEastAsia" w:hAnsiTheme="minorEastAsia"/>
                <w:szCs w:val="21"/>
              </w:rPr>
            </w:pPr>
            <w:r>
              <w:rPr>
                <w:rFonts w:hint="eastAsia" w:asciiTheme="minorEastAsia" w:hAnsiTheme="minorEastAsia"/>
                <w:szCs w:val="21"/>
              </w:rPr>
              <w:t>包括路由器、IPS等网络设备</w:t>
            </w:r>
          </w:p>
        </w:tc>
      </w:tr>
    </w:tbl>
    <w:p>
      <w:pPr>
        <w:pStyle w:val="57"/>
        <w:ind w:firstLine="420"/>
        <w:rPr>
          <w:rFonts w:asciiTheme="minorEastAsia" w:hAnsiTheme="minorEastAsia" w:eastAsiaTheme="minorEastAsia"/>
          <w:szCs w:val="21"/>
        </w:rPr>
      </w:pPr>
    </w:p>
    <w:p>
      <w:pPr>
        <w:pStyle w:val="3"/>
        <w:numPr>
          <w:ilvl w:val="1"/>
          <w:numId w:val="3"/>
        </w:numPr>
        <w:spacing w:before="0" w:after="0" w:line="360" w:lineRule="auto"/>
        <w:ind w:left="0" w:leftChars="0" w:firstLine="402" w:firstLineChars="0"/>
      </w:pPr>
      <w:bookmarkStart w:id="235" w:name="_Toc345693988"/>
      <w:bookmarkStart w:id="236" w:name="_Toc343691426"/>
      <w:bookmarkStart w:id="237" w:name="_Toc320018516"/>
      <w:bookmarkStart w:id="238" w:name="_Toc30831"/>
      <w:bookmarkStart w:id="239" w:name="_Toc342910592"/>
      <w:bookmarkStart w:id="240" w:name="_Toc314230451"/>
      <w:bookmarkStart w:id="241" w:name="_Toc442308332"/>
      <w:bookmarkStart w:id="242" w:name="_Toc324948437"/>
      <w:bookmarkStart w:id="243" w:name="_Toc322000139"/>
      <w:r>
        <w:rPr>
          <w:rFonts w:hint="eastAsia"/>
        </w:rPr>
        <w:t>安全管理方案</w:t>
      </w:r>
      <w:bookmarkEnd w:id="235"/>
      <w:bookmarkEnd w:id="236"/>
      <w:bookmarkEnd w:id="237"/>
      <w:bookmarkEnd w:id="238"/>
      <w:bookmarkEnd w:id="239"/>
      <w:bookmarkEnd w:id="240"/>
      <w:bookmarkEnd w:id="241"/>
      <w:bookmarkEnd w:id="242"/>
      <w:bookmarkEnd w:id="243"/>
    </w:p>
    <w:p>
      <w:pPr>
        <w:snapToGrid w:val="0"/>
        <w:spacing w:line="360" w:lineRule="auto"/>
        <w:ind w:firstLine="480" w:firstLineChars="200"/>
        <w:rPr>
          <w:rFonts w:asciiTheme="minorEastAsia" w:hAnsiTheme="minorEastAsia"/>
          <w:kern w:val="0"/>
          <w:sz w:val="24"/>
          <w:szCs w:val="24"/>
        </w:rPr>
      </w:pPr>
      <w:r>
        <w:rPr>
          <w:rFonts w:hint="eastAsia" w:asciiTheme="minorEastAsia" w:hAnsiTheme="minorEastAsia"/>
          <w:kern w:val="0"/>
          <w:sz w:val="24"/>
          <w:szCs w:val="24"/>
        </w:rPr>
        <w:t>安全管理体系包括安全管理组织、安全标准规范体系、安全管理制度，从安全规范、管理制度的制定以及建立完善的责任和监督机制层面，为</w:t>
      </w:r>
      <w:r>
        <w:rPr>
          <w:rFonts w:hint="eastAsia" w:asciiTheme="minorEastAsia" w:hAnsiTheme="minorEastAsia"/>
          <w:kern w:val="0"/>
          <w:sz w:val="24"/>
          <w:szCs w:val="24"/>
          <w:lang w:eastAsia="zh-CN"/>
        </w:rPr>
        <w:t>xx交通</w:t>
      </w:r>
      <w:r>
        <w:rPr>
          <w:rFonts w:hint="eastAsia" w:asciiTheme="minorEastAsia" w:hAnsiTheme="minorEastAsia"/>
          <w:kern w:val="0"/>
          <w:sz w:val="24"/>
          <w:szCs w:val="24"/>
        </w:rPr>
        <w:t>增值税发票系统升级版及电子发票系统的安全建设提供组织和制度上的保障。</w:t>
      </w:r>
    </w:p>
    <w:p>
      <w:pPr>
        <w:snapToGrid w:val="0"/>
        <w:spacing w:line="360" w:lineRule="auto"/>
        <w:ind w:firstLine="480" w:firstLineChars="200"/>
        <w:rPr>
          <w:rFonts w:asciiTheme="minorEastAsia" w:hAnsiTheme="minorEastAsia"/>
          <w:kern w:val="0"/>
          <w:sz w:val="24"/>
          <w:szCs w:val="24"/>
        </w:rPr>
      </w:pPr>
      <w:r>
        <w:rPr>
          <w:rFonts w:hint="eastAsia" w:asciiTheme="minorEastAsia" w:hAnsiTheme="minorEastAsia"/>
          <w:kern w:val="0"/>
          <w:sz w:val="24"/>
          <w:szCs w:val="24"/>
        </w:rPr>
        <w:t>在建立整个安全管理组织体系的基础上，制定完整的安全标准规范，并在安全设备、安全管理人员、密码产品和日常安全管理等方面建立一整套行之有效的安全管理制度，如信息的定密制度、内部监控与审核制度、安全保密产品管理制度、密码管理制度、灾难响应及应急处理制度、人员管理制度等，为系统的网络安全建设和运行维护提供依据及保障。</w:t>
      </w:r>
    </w:p>
    <w:p>
      <w:pPr>
        <w:snapToGrid w:val="0"/>
        <w:spacing w:line="360" w:lineRule="auto"/>
        <w:ind w:firstLine="480" w:firstLineChars="200"/>
        <w:rPr>
          <w:rFonts w:asciiTheme="minorEastAsia" w:hAnsiTheme="minorEastAsia"/>
          <w:kern w:val="0"/>
          <w:sz w:val="24"/>
          <w:szCs w:val="24"/>
        </w:rPr>
      </w:pPr>
      <w:r>
        <w:rPr>
          <w:rFonts w:hint="eastAsia" w:asciiTheme="minorEastAsia" w:hAnsiTheme="minorEastAsia"/>
          <w:kern w:val="0"/>
          <w:sz w:val="24"/>
          <w:szCs w:val="24"/>
        </w:rPr>
        <w:t>同时安全管理与安全技术两者相辅相成，但是总的来看，安全技术的采用是实现管理的方法之一。安全技术的采用可以降低安全风险、提高运营效率，但是不能够超越安全管理的理论和实践而存在。安全系统得实施、维护离不开安全管理的保障，缺少了安全管理的安全措施不会为系统的安全性有多大的裨益。</w:t>
      </w:r>
    </w:p>
    <w:p>
      <w:pPr>
        <w:snapToGrid w:val="0"/>
        <w:spacing w:line="360" w:lineRule="auto"/>
        <w:ind w:firstLine="480" w:firstLineChars="200"/>
        <w:rPr>
          <w:rFonts w:asciiTheme="minorEastAsia" w:hAnsiTheme="minorEastAsia"/>
          <w:kern w:val="0"/>
          <w:sz w:val="24"/>
          <w:szCs w:val="24"/>
        </w:rPr>
      </w:pPr>
      <w:r>
        <w:rPr>
          <w:rFonts w:hint="eastAsia" w:asciiTheme="minorEastAsia" w:hAnsiTheme="minorEastAsia"/>
          <w:kern w:val="0"/>
          <w:sz w:val="24"/>
          <w:szCs w:val="24"/>
        </w:rPr>
        <w:t>因此有必要制定一个完善的安全管理体系并予以贯彻执行，这是整个安全体系中不可缺少的部分。</w:t>
      </w:r>
      <w:r>
        <w:rPr>
          <w:rFonts w:hint="eastAsia" w:asciiTheme="minorEastAsia" w:hAnsiTheme="minorEastAsia"/>
          <w:kern w:val="0"/>
          <w:sz w:val="24"/>
          <w:szCs w:val="24"/>
          <w:lang w:eastAsia="zh-CN"/>
        </w:rPr>
        <w:t>xx交通</w:t>
      </w:r>
      <w:r>
        <w:rPr>
          <w:rFonts w:hint="eastAsia" w:asciiTheme="minorEastAsia" w:hAnsiTheme="minorEastAsia"/>
          <w:kern w:val="0"/>
          <w:sz w:val="24"/>
          <w:szCs w:val="24"/>
        </w:rPr>
        <w:t>增值税发票系统升级版及电子发票系统的安全管理体系设计中，要结合信息系统及信息本身的生命周期来进行，安全管理体系要覆盖信息系统合信息自身的生命周期。</w:t>
      </w:r>
    </w:p>
    <w:p>
      <w:pPr>
        <w:pStyle w:val="4"/>
        <w:numPr>
          <w:ilvl w:val="2"/>
          <w:numId w:val="3"/>
        </w:numPr>
        <w:spacing w:before="0" w:after="0" w:line="360" w:lineRule="auto"/>
        <w:ind w:left="0" w:leftChars="0" w:firstLine="402" w:firstLineChars="0"/>
      </w:pPr>
      <w:bookmarkStart w:id="244" w:name="_Toc10929"/>
      <w:r>
        <w:rPr>
          <w:rFonts w:hint="eastAsia"/>
        </w:rPr>
        <w:t>管理策略</w:t>
      </w:r>
      <w:bookmarkEnd w:id="244"/>
    </w:p>
    <w:p>
      <w:pPr>
        <w:snapToGrid w:val="0"/>
        <w:spacing w:line="360" w:lineRule="auto"/>
        <w:ind w:firstLine="480" w:firstLineChars="200"/>
        <w:rPr>
          <w:rFonts w:asciiTheme="minorEastAsia" w:hAnsiTheme="minorEastAsia"/>
          <w:kern w:val="0"/>
          <w:sz w:val="24"/>
          <w:szCs w:val="24"/>
        </w:rPr>
      </w:pPr>
      <w:r>
        <w:rPr>
          <w:rFonts w:hint="eastAsia" w:asciiTheme="minorEastAsia" w:hAnsiTheme="minorEastAsia"/>
          <w:kern w:val="0"/>
          <w:sz w:val="24"/>
          <w:szCs w:val="24"/>
        </w:rPr>
        <w:t>策略在复杂系统的管理中起着很重要的作用，用来指导信息和系统的管理。基于策略的管理方法是近年来被广泛认可的、管理复杂系统得一个有效的解决方案，其核心思想是使用策略来驱动管理过程，把管理策略和管理系统分离开来，安全管理策略是安全管理体系的建设主要依据之一。</w:t>
      </w:r>
    </w:p>
    <w:p>
      <w:pPr>
        <w:snapToGrid w:val="0"/>
        <w:spacing w:line="360" w:lineRule="auto"/>
        <w:ind w:firstLine="480" w:firstLineChars="200"/>
        <w:rPr>
          <w:rFonts w:asciiTheme="minorEastAsia" w:hAnsiTheme="minorEastAsia"/>
          <w:kern w:val="0"/>
          <w:szCs w:val="21"/>
        </w:rPr>
      </w:pPr>
      <w:r>
        <w:rPr>
          <w:rFonts w:hint="eastAsia" w:asciiTheme="minorEastAsia" w:hAnsiTheme="minorEastAsia"/>
          <w:kern w:val="0"/>
          <w:sz w:val="24"/>
          <w:szCs w:val="24"/>
        </w:rPr>
        <w:t>税务系统信息安全管理策略是为税务信息系统能够有效安全地管理信息资源而制定的一组管理法规和原则，主要内容包括了税务系统信息资源管理制度、使用规则、税务信息系统管理人员权限、责任等原则规定。</w:t>
      </w:r>
      <w:r>
        <w:rPr>
          <w:rFonts w:hint="eastAsia" w:asciiTheme="minorEastAsia" w:hAnsiTheme="minorEastAsia"/>
          <w:kern w:val="0"/>
          <w:sz w:val="24"/>
          <w:szCs w:val="24"/>
          <w:lang w:eastAsia="zh-CN"/>
        </w:rPr>
        <w:t>xx交通</w:t>
      </w:r>
      <w:r>
        <w:rPr>
          <w:rFonts w:hint="eastAsia" w:asciiTheme="minorEastAsia" w:hAnsiTheme="minorEastAsia"/>
          <w:kern w:val="0"/>
          <w:sz w:val="24"/>
          <w:szCs w:val="24"/>
        </w:rPr>
        <w:t>增值税发票系统升级版及电子发票系统的安全管理策略也应该由税务系统安全领导小组依据国家有关法规、文件和标准制定。</w:t>
      </w:r>
    </w:p>
    <w:p>
      <w:pPr>
        <w:pStyle w:val="4"/>
        <w:numPr>
          <w:ilvl w:val="2"/>
          <w:numId w:val="3"/>
        </w:numPr>
        <w:spacing w:before="0" w:after="0" w:line="360" w:lineRule="auto"/>
        <w:ind w:left="0" w:leftChars="0" w:firstLine="402" w:firstLineChars="0"/>
      </w:pPr>
      <w:bookmarkStart w:id="245" w:name="_Toc4487"/>
      <w:r>
        <w:rPr>
          <w:rFonts w:hint="eastAsia"/>
        </w:rPr>
        <w:t>管理机构</w:t>
      </w:r>
      <w:bookmarkEnd w:id="245"/>
    </w:p>
    <w:p>
      <w:pPr>
        <w:snapToGrid w:val="0"/>
        <w:spacing w:line="360" w:lineRule="auto"/>
        <w:ind w:firstLine="480" w:firstLineChars="200"/>
        <w:rPr>
          <w:rFonts w:asciiTheme="minorEastAsia" w:hAnsiTheme="minorEastAsia"/>
          <w:kern w:val="0"/>
          <w:sz w:val="24"/>
          <w:szCs w:val="24"/>
        </w:rPr>
      </w:pPr>
      <w:r>
        <w:rPr>
          <w:rFonts w:hint="eastAsia" w:asciiTheme="minorEastAsia" w:hAnsiTheme="minorEastAsia"/>
          <w:kern w:val="0"/>
          <w:sz w:val="24"/>
          <w:szCs w:val="24"/>
        </w:rPr>
        <w:t>安全体系包括技术性安全和非技术性安全，建立有效的安全管理体制，规划好组织机构，可以大大提供系统的安全能力。安全管理组织管理中要求明确各级领导和管理人员的职责，明确安全管理人员的配置，实现对人员、系统、安全设备、物理环境和系统运行的安全管理。</w:t>
      </w:r>
    </w:p>
    <w:p>
      <w:pPr>
        <w:snapToGrid w:val="0"/>
        <w:spacing w:line="360" w:lineRule="auto"/>
        <w:ind w:firstLine="480" w:firstLineChars="200"/>
        <w:rPr>
          <w:rFonts w:asciiTheme="minorEastAsia" w:hAnsiTheme="minorEastAsia"/>
          <w:kern w:val="0"/>
          <w:sz w:val="24"/>
          <w:szCs w:val="24"/>
        </w:rPr>
      </w:pPr>
      <w:r>
        <w:rPr>
          <w:rFonts w:hint="eastAsia" w:asciiTheme="minorEastAsia" w:hAnsiTheme="minorEastAsia"/>
          <w:kern w:val="0"/>
          <w:sz w:val="24"/>
          <w:szCs w:val="24"/>
          <w:lang w:eastAsia="zh-CN"/>
        </w:rPr>
        <w:t>xx交通</w:t>
      </w:r>
      <w:r>
        <w:rPr>
          <w:rFonts w:hint="eastAsia" w:asciiTheme="minorEastAsia" w:hAnsiTheme="minorEastAsia"/>
          <w:kern w:val="0"/>
          <w:sz w:val="24"/>
          <w:szCs w:val="24"/>
        </w:rPr>
        <w:t>增值税发票系统升级版及电子发票系统的安全体系建设应该由专门的安全管理机构来进行统一的管理，安全管理机构的规划按照等级保护的要求进行，形成一个自顶向下、统一领导、分工负责的信息安全管理组织体系。</w:t>
      </w:r>
    </w:p>
    <w:p>
      <w:pPr>
        <w:snapToGrid w:val="0"/>
        <w:spacing w:line="360" w:lineRule="auto"/>
        <w:ind w:firstLine="480" w:firstLineChars="200"/>
        <w:rPr>
          <w:rFonts w:asciiTheme="minorEastAsia" w:hAnsiTheme="minorEastAsia"/>
          <w:color w:val="000000"/>
          <w:sz w:val="24"/>
          <w:szCs w:val="24"/>
        </w:rPr>
      </w:pPr>
      <w:r>
        <w:rPr>
          <w:rFonts w:hint="eastAsia" w:asciiTheme="minorEastAsia" w:hAnsiTheme="minorEastAsia"/>
          <w:kern w:val="0"/>
          <w:sz w:val="24"/>
          <w:szCs w:val="24"/>
        </w:rPr>
        <w:t>为满足需要，设立多级组织管理体系（各级各部门都要设计安全管理机构）。成立各自的信息安全领导小组，并确定自己的工作职责和范围。</w:t>
      </w:r>
    </w:p>
    <w:p>
      <w:pPr>
        <w:spacing w:line="360" w:lineRule="auto"/>
        <w:ind w:firstLine="480" w:firstLineChars="200"/>
        <w:rPr>
          <w:rFonts w:asciiTheme="minorEastAsia" w:hAnsiTheme="minorEastAsia"/>
          <w:color w:val="000000"/>
          <w:sz w:val="24"/>
          <w:szCs w:val="24"/>
        </w:rPr>
      </w:pPr>
      <w:r>
        <w:rPr>
          <w:rFonts w:hint="eastAsia" w:asciiTheme="minorEastAsia" w:hAnsiTheme="minorEastAsia"/>
          <w:color w:val="000000"/>
          <w:sz w:val="24"/>
          <w:szCs w:val="24"/>
        </w:rPr>
        <w:t>（1）领导决策层</w:t>
      </w:r>
    </w:p>
    <w:p>
      <w:pPr>
        <w:spacing w:line="360" w:lineRule="auto"/>
        <w:ind w:firstLine="480"/>
        <w:rPr>
          <w:rFonts w:asciiTheme="minorEastAsia" w:hAnsiTheme="minorEastAsia"/>
          <w:sz w:val="24"/>
          <w:szCs w:val="24"/>
        </w:rPr>
      </w:pPr>
      <w:r>
        <w:rPr>
          <w:rFonts w:hint="eastAsia" w:asciiTheme="minorEastAsia" w:hAnsiTheme="minorEastAsia"/>
          <w:sz w:val="24"/>
          <w:szCs w:val="24"/>
        </w:rPr>
        <w:t>领导决策是指导整个信息安全体系的规划、建设、实施。</w:t>
      </w:r>
      <w:r>
        <w:rPr>
          <w:rFonts w:asciiTheme="minorEastAsia" w:hAnsiTheme="minorEastAsia"/>
          <w:sz w:val="24"/>
          <w:szCs w:val="24"/>
        </w:rPr>
        <w:t>确定</w:t>
      </w:r>
      <w:r>
        <w:rPr>
          <w:rFonts w:hint="eastAsia" w:asciiTheme="minorEastAsia" w:hAnsiTheme="minorEastAsia"/>
          <w:sz w:val="24"/>
          <w:szCs w:val="24"/>
        </w:rPr>
        <w:t>总体的</w:t>
      </w:r>
      <w:r>
        <w:rPr>
          <w:rFonts w:asciiTheme="minorEastAsia" w:hAnsiTheme="minorEastAsia"/>
          <w:sz w:val="24"/>
          <w:szCs w:val="24"/>
        </w:rPr>
        <w:t>方针和政策。</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（2）信息安全领导小组</w:t>
      </w:r>
    </w:p>
    <w:p>
      <w:pPr>
        <w:spacing w:line="360" w:lineRule="auto"/>
        <w:ind w:firstLine="480"/>
        <w:rPr>
          <w:rFonts w:asciiTheme="minorEastAsia" w:hAnsiTheme="minorEastAsia"/>
          <w:sz w:val="24"/>
          <w:szCs w:val="24"/>
        </w:rPr>
      </w:pPr>
      <w:r>
        <w:rPr>
          <w:rFonts w:hint="eastAsia" w:asciiTheme="minorEastAsia" w:hAnsiTheme="minorEastAsia"/>
          <w:sz w:val="24"/>
          <w:szCs w:val="24"/>
        </w:rPr>
        <w:t>信息安全</w:t>
      </w:r>
      <w:r>
        <w:rPr>
          <w:rFonts w:asciiTheme="minorEastAsia" w:hAnsiTheme="minorEastAsia"/>
          <w:sz w:val="24"/>
          <w:szCs w:val="24"/>
        </w:rPr>
        <w:t>领导负责制定安全策略和安全原则，它必须经常地、实实在在地过问计算机的安全问题，这是安全的基点。没有这种领导，就没有安全的系统。同时还要组织一个强有力的系统安全队伍，并拨出必要的经费使得安全措施得以落实。</w:t>
      </w:r>
    </w:p>
    <w:p>
      <w:pPr>
        <w:spacing w:line="360" w:lineRule="auto"/>
        <w:ind w:firstLine="480"/>
        <w:rPr>
          <w:rFonts w:asciiTheme="minorEastAsia" w:hAnsiTheme="minorEastAsia"/>
          <w:sz w:val="24"/>
          <w:szCs w:val="24"/>
        </w:rPr>
      </w:pPr>
      <w:r>
        <w:rPr>
          <w:rFonts w:hint="eastAsia" w:asciiTheme="minorEastAsia" w:hAnsiTheme="minorEastAsia"/>
          <w:sz w:val="24"/>
          <w:szCs w:val="24"/>
        </w:rPr>
        <w:t>信息安全领导小组全面管理集团的网络与信息安全各项工作，并对</w:t>
      </w:r>
      <w:r>
        <w:rPr>
          <w:rFonts w:hint="eastAsia" w:asciiTheme="minorEastAsia" w:hAnsiTheme="minorEastAsia"/>
          <w:sz w:val="24"/>
          <w:szCs w:val="24"/>
          <w:lang w:val="en-US" w:eastAsia="zh-CN"/>
        </w:rPr>
        <w:t>各分公司</w:t>
      </w:r>
      <w:r>
        <w:rPr>
          <w:rFonts w:hint="eastAsia" w:asciiTheme="minorEastAsia" w:hAnsiTheme="minorEastAsia"/>
          <w:sz w:val="24"/>
          <w:szCs w:val="24"/>
        </w:rPr>
        <w:t>信息安全领导小组的工作进行指导、监督和检查。</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（3）</w:t>
      </w:r>
      <w:r>
        <w:rPr>
          <w:rFonts w:hint="eastAsia" w:asciiTheme="minorEastAsia" w:hAnsiTheme="minorEastAsia"/>
          <w:sz w:val="24"/>
          <w:szCs w:val="24"/>
          <w:lang w:val="en-US" w:eastAsia="zh-CN"/>
        </w:rPr>
        <w:t>分公司</w:t>
      </w:r>
      <w:r>
        <w:rPr>
          <w:rFonts w:hint="eastAsia" w:asciiTheme="minorEastAsia" w:hAnsiTheme="minorEastAsia"/>
          <w:sz w:val="24"/>
          <w:szCs w:val="24"/>
        </w:rPr>
        <w:t>信息安全领导小组</w:t>
      </w:r>
    </w:p>
    <w:p>
      <w:pPr>
        <w:spacing w:line="360" w:lineRule="auto"/>
        <w:ind w:firstLine="436" w:firstLineChars="182"/>
        <w:rPr>
          <w:rFonts w:asciiTheme="minorEastAsia" w:hAnsiTheme="minorEastAsia"/>
          <w:sz w:val="24"/>
          <w:szCs w:val="24"/>
        </w:rPr>
      </w:pPr>
      <w:r>
        <w:rPr>
          <w:rFonts w:asciiTheme="minorEastAsia" w:hAnsiTheme="minorEastAsia"/>
          <w:sz w:val="24"/>
          <w:szCs w:val="24"/>
        </w:rPr>
        <w:t>组织落实</w:t>
      </w:r>
      <w:r>
        <w:rPr>
          <w:rFonts w:hint="eastAsia" w:asciiTheme="minorEastAsia" w:hAnsiTheme="minorEastAsia"/>
          <w:sz w:val="24"/>
          <w:szCs w:val="24"/>
        </w:rPr>
        <w:t>总部关于信息安全的方针政策，</w:t>
      </w:r>
      <w:r>
        <w:rPr>
          <w:rFonts w:asciiTheme="minorEastAsia" w:hAnsiTheme="minorEastAsia"/>
          <w:sz w:val="24"/>
          <w:szCs w:val="24"/>
        </w:rPr>
        <w:t>统一组织协调</w:t>
      </w:r>
      <w:r>
        <w:rPr>
          <w:rFonts w:hint="eastAsia" w:asciiTheme="minorEastAsia" w:hAnsiTheme="minorEastAsia"/>
          <w:sz w:val="24"/>
          <w:szCs w:val="24"/>
          <w:lang w:val="en-US" w:eastAsia="zh-CN"/>
        </w:rPr>
        <w:t>分公司</w:t>
      </w:r>
      <w:r>
        <w:rPr>
          <w:rFonts w:asciiTheme="minorEastAsia" w:hAnsiTheme="minorEastAsia"/>
          <w:sz w:val="24"/>
          <w:szCs w:val="24"/>
        </w:rPr>
        <w:t>系统网络信息安全管理工作</w:t>
      </w:r>
      <w:r>
        <w:rPr>
          <w:rFonts w:hint="eastAsia" w:asciiTheme="minorEastAsia" w:hAnsiTheme="minorEastAsia"/>
          <w:sz w:val="24"/>
          <w:szCs w:val="24"/>
        </w:rPr>
        <w:t>。</w:t>
      </w:r>
    </w:p>
    <w:p>
      <w:pPr>
        <w:spacing w:line="360" w:lineRule="auto"/>
        <w:ind w:firstLine="480"/>
        <w:rPr>
          <w:rFonts w:asciiTheme="minorEastAsia" w:hAnsiTheme="minorEastAsia"/>
          <w:sz w:val="24"/>
          <w:szCs w:val="24"/>
        </w:rPr>
      </w:pPr>
      <w:r>
        <w:rPr>
          <w:rFonts w:hint="eastAsia" w:asciiTheme="minorEastAsia" w:hAnsiTheme="minorEastAsia"/>
          <w:sz w:val="24"/>
          <w:szCs w:val="24"/>
        </w:rPr>
        <w:t>对上接受总部信息安全领导小组的指导，对下对地市信息安全领导小组进行管理。</w:t>
      </w:r>
      <w:r>
        <w:rPr>
          <w:rFonts w:asciiTheme="minorEastAsia" w:hAnsiTheme="minorEastAsia"/>
          <w:sz w:val="24"/>
          <w:szCs w:val="24"/>
        </w:rPr>
        <w:t>对</w:t>
      </w:r>
      <w:r>
        <w:rPr>
          <w:rFonts w:hint="eastAsia" w:asciiTheme="minorEastAsia" w:hAnsiTheme="minorEastAsia"/>
          <w:sz w:val="24"/>
          <w:szCs w:val="24"/>
          <w:lang w:val="en-US" w:eastAsia="zh-CN"/>
        </w:rPr>
        <w:t>分公司</w:t>
      </w:r>
      <w:r>
        <w:rPr>
          <w:rFonts w:asciiTheme="minorEastAsia" w:hAnsiTheme="minorEastAsia"/>
          <w:sz w:val="24"/>
          <w:szCs w:val="24"/>
        </w:rPr>
        <w:t>系统网络信息安全工作中的重大问题，进行研究和决策。</w:t>
      </w:r>
    </w:p>
    <w:p>
      <w:pPr>
        <w:pStyle w:val="4"/>
        <w:numPr>
          <w:ilvl w:val="2"/>
          <w:numId w:val="3"/>
        </w:numPr>
        <w:spacing w:before="0" w:after="0" w:line="360" w:lineRule="auto"/>
        <w:ind w:left="0" w:leftChars="0" w:firstLine="402" w:firstLineChars="0"/>
      </w:pPr>
      <w:bookmarkStart w:id="246" w:name="_Toc260987158"/>
      <w:bookmarkStart w:id="247" w:name="_Toc21540"/>
      <w:r>
        <w:t>安全管理制度</w:t>
      </w:r>
      <w:bookmarkEnd w:id="246"/>
      <w:bookmarkEnd w:id="247"/>
    </w:p>
    <w:p>
      <w:pPr>
        <w:spacing w:line="360" w:lineRule="auto"/>
        <w:ind w:firstLine="480"/>
        <w:rPr>
          <w:rFonts w:asciiTheme="minorEastAsia" w:hAnsiTheme="minorEastAsia"/>
          <w:sz w:val="24"/>
          <w:szCs w:val="24"/>
        </w:rPr>
      </w:pPr>
      <w:r>
        <w:rPr>
          <w:rFonts w:asciiTheme="minorEastAsia" w:hAnsiTheme="minorEastAsia"/>
          <w:sz w:val="24"/>
          <w:szCs w:val="24"/>
        </w:rPr>
        <w:t>安全管理制度不健全及缺乏可操作性等都可能引起管理安全的风险。责权不明，管理混乱，使得一些人员或管理员随便让一些非工作人员甚至外来人员进入机房重地，或者人员有意无意泄漏他们所知道的一些重要信息，而管理上却没有相应制度来约束。当网络出现攻击行为或网络受到其它一些安全威胁时（如内部人员的违规操作等），无法进行实时的检测、监控、报告与预警。同时，当事故发生后，也无法提供黑客攻击行为的追踪线索及破案依据，即缺乏对网络的可控性与可审查性。要求必须对系统的访问活动进行多层次的记录，及时发现非法入侵行为。</w:t>
      </w:r>
    </w:p>
    <w:p>
      <w:pPr>
        <w:spacing w:line="360" w:lineRule="auto"/>
        <w:ind w:firstLine="480"/>
        <w:rPr>
          <w:rFonts w:asciiTheme="minorEastAsia" w:hAnsiTheme="minorEastAsia"/>
          <w:color w:val="000000"/>
          <w:sz w:val="24"/>
          <w:szCs w:val="24"/>
        </w:rPr>
      </w:pPr>
      <w:r>
        <w:rPr>
          <w:rFonts w:hint="eastAsia" w:asciiTheme="minorEastAsia" w:hAnsiTheme="minorEastAsia"/>
          <w:color w:val="000000"/>
          <w:sz w:val="24"/>
          <w:szCs w:val="24"/>
        </w:rPr>
        <w:t>根据中华人民共和国公共安全行业标准《计算机信息系统安全等级保护管理要求》（GA/T391-2002）中的关于安全制度的规定，结合系统信息安全策略以及相关技术方案，参照系统信息安全实施规划，分阶段起草和颁布以下系统信息安全管理的法规制度：</w:t>
      </w:r>
    </w:p>
    <w:p>
      <w:pPr>
        <w:spacing w:line="360" w:lineRule="auto"/>
        <w:ind w:firstLine="480"/>
        <w:rPr>
          <w:rFonts w:asciiTheme="minorEastAsia" w:hAnsiTheme="minorEastAsia"/>
          <w:color w:val="000000"/>
          <w:sz w:val="24"/>
          <w:szCs w:val="24"/>
        </w:rPr>
      </w:pPr>
      <w:r>
        <w:rPr>
          <w:rFonts w:hint="eastAsia" w:asciiTheme="minorEastAsia" w:hAnsiTheme="minorEastAsia"/>
          <w:color w:val="000000"/>
          <w:sz w:val="24"/>
          <w:szCs w:val="24"/>
        </w:rPr>
        <w:t>（一）法律法规</w:t>
      </w:r>
    </w:p>
    <w:p>
      <w:pPr>
        <w:spacing w:line="360" w:lineRule="auto"/>
        <w:ind w:firstLine="480"/>
        <w:rPr>
          <w:rFonts w:asciiTheme="minorEastAsia" w:hAnsiTheme="minorEastAsia"/>
          <w:color w:val="000000"/>
          <w:sz w:val="24"/>
          <w:szCs w:val="24"/>
        </w:rPr>
      </w:pPr>
      <w:r>
        <w:rPr>
          <w:rFonts w:hint="eastAsia" w:asciiTheme="minorEastAsia" w:hAnsiTheme="minorEastAsia"/>
          <w:color w:val="000000"/>
          <w:sz w:val="24"/>
          <w:szCs w:val="24"/>
        </w:rPr>
        <w:t>信息系统的安全不但取决于信息系统采用的安全技术和安全设备，更重要的是对信息系统、信息系统采用的安全措施和应用系统的运行进行管理。根据信息安全建设目标、安全策略制定系统的安全管理制度是达到管理目的保证。安全管理制度的内容应该全面覆盖安全工作涉及的方方面面，同时还应提出确保安全管理制度起到真正的规范和约束作用的方法。通过对所制定的各项制度的执行情况进行质量考核和对有关人员的工作进行评比，以便促进制度的更好落实，确保高质量地完成各项安全管理任务。设计目标是与税务系统的专家一起，参照国际、国内有关信息安全方面标准，制订出税务系统信息安全管理有关规定和管理工作规范，使税务系统信息安全工作有章可循，信息安全管理工作有法可依。</w:t>
      </w:r>
    </w:p>
    <w:p>
      <w:pPr>
        <w:spacing w:line="360" w:lineRule="auto"/>
        <w:ind w:firstLine="480"/>
        <w:rPr>
          <w:rFonts w:asciiTheme="minorEastAsia" w:hAnsiTheme="minorEastAsia"/>
          <w:color w:val="000000"/>
          <w:sz w:val="24"/>
          <w:szCs w:val="24"/>
        </w:rPr>
      </w:pPr>
      <w:r>
        <w:rPr>
          <w:rFonts w:hint="eastAsia" w:asciiTheme="minorEastAsia" w:hAnsiTheme="minorEastAsia"/>
          <w:color w:val="000000"/>
          <w:sz w:val="24"/>
          <w:szCs w:val="24"/>
        </w:rPr>
        <w:t>（二）规章制度</w:t>
      </w:r>
    </w:p>
    <w:p>
      <w:pPr>
        <w:spacing w:line="360" w:lineRule="auto"/>
        <w:ind w:firstLine="720" w:firstLineChars="300"/>
        <w:rPr>
          <w:rFonts w:asciiTheme="minorEastAsia" w:hAnsiTheme="minorEastAsia"/>
          <w:color w:val="000000"/>
          <w:sz w:val="24"/>
          <w:szCs w:val="24"/>
        </w:rPr>
      </w:pPr>
      <w:r>
        <w:rPr>
          <w:rFonts w:hint="eastAsia" w:asciiTheme="minorEastAsia" w:hAnsiTheme="minorEastAsia"/>
          <w:color w:val="000000"/>
          <w:sz w:val="24"/>
          <w:szCs w:val="24"/>
        </w:rPr>
        <w:t>（1）物理安全方面的规章制度：如机房安全管理制度、涉密场所管理规定等。</w:t>
      </w:r>
    </w:p>
    <w:p>
      <w:pPr>
        <w:spacing w:line="360" w:lineRule="auto"/>
        <w:ind w:firstLine="720" w:firstLineChars="300"/>
        <w:rPr>
          <w:rFonts w:asciiTheme="minorEastAsia" w:hAnsiTheme="minorEastAsia"/>
          <w:color w:val="000000"/>
          <w:sz w:val="24"/>
          <w:szCs w:val="24"/>
        </w:rPr>
      </w:pPr>
      <w:r>
        <w:rPr>
          <w:rFonts w:hint="eastAsia" w:asciiTheme="minorEastAsia" w:hAnsiTheme="minorEastAsia"/>
          <w:color w:val="000000"/>
          <w:sz w:val="24"/>
          <w:szCs w:val="24"/>
        </w:rPr>
        <w:t>（2）系统与数据库安全方面的规章制度：如服务器、数据库安全配置管理制度等。</w:t>
      </w:r>
    </w:p>
    <w:p>
      <w:pPr>
        <w:spacing w:line="360" w:lineRule="auto"/>
        <w:ind w:firstLine="720" w:firstLineChars="300"/>
        <w:rPr>
          <w:rFonts w:asciiTheme="minorEastAsia" w:hAnsiTheme="minorEastAsia"/>
          <w:color w:val="000000"/>
          <w:sz w:val="24"/>
          <w:szCs w:val="24"/>
        </w:rPr>
      </w:pPr>
      <w:r>
        <w:rPr>
          <w:rFonts w:hint="eastAsia" w:asciiTheme="minorEastAsia" w:hAnsiTheme="minorEastAsia"/>
          <w:color w:val="000000"/>
          <w:sz w:val="24"/>
          <w:szCs w:val="24"/>
        </w:rPr>
        <w:t>（3）网络安全方面的规章制度：如信息网络连接检查评估制度、信息网络使用授权制度等。</w:t>
      </w:r>
    </w:p>
    <w:p>
      <w:pPr>
        <w:spacing w:line="360" w:lineRule="auto"/>
        <w:ind w:firstLine="720" w:firstLineChars="300"/>
        <w:rPr>
          <w:rFonts w:asciiTheme="minorEastAsia" w:hAnsiTheme="minorEastAsia"/>
          <w:color w:val="000000"/>
          <w:sz w:val="24"/>
          <w:szCs w:val="24"/>
        </w:rPr>
      </w:pPr>
      <w:r>
        <w:rPr>
          <w:rFonts w:hint="eastAsia" w:asciiTheme="minorEastAsia" w:hAnsiTheme="minorEastAsia"/>
          <w:color w:val="000000"/>
          <w:sz w:val="24"/>
          <w:szCs w:val="24"/>
        </w:rPr>
        <w:t>（4）应用安全方面的规章制度：如信息网络应用系统安全评估制度、信息网络应用系统使用授权制度等。</w:t>
      </w:r>
    </w:p>
    <w:p>
      <w:pPr>
        <w:spacing w:line="360" w:lineRule="auto"/>
        <w:ind w:firstLine="720" w:firstLineChars="300"/>
        <w:rPr>
          <w:rFonts w:asciiTheme="minorEastAsia" w:hAnsiTheme="minorEastAsia"/>
          <w:color w:val="000000"/>
          <w:sz w:val="24"/>
          <w:szCs w:val="24"/>
        </w:rPr>
      </w:pPr>
      <w:r>
        <w:rPr>
          <w:rFonts w:hint="eastAsia" w:asciiTheme="minorEastAsia" w:hAnsiTheme="minorEastAsia"/>
          <w:color w:val="000000"/>
          <w:sz w:val="24"/>
          <w:szCs w:val="24"/>
        </w:rPr>
        <w:t>（5）运行安全方面的规章制度：如</w:t>
      </w:r>
      <w:r>
        <w:rPr>
          <w:rFonts w:asciiTheme="minorEastAsia" w:hAnsiTheme="minorEastAsia"/>
          <w:color w:val="000000"/>
          <w:sz w:val="24"/>
          <w:szCs w:val="24"/>
        </w:rPr>
        <w:t>网络线路及网络设备巡检制度</w:t>
      </w:r>
      <w:r>
        <w:rPr>
          <w:rFonts w:hint="eastAsia" w:asciiTheme="minorEastAsia" w:hAnsiTheme="minorEastAsia"/>
          <w:color w:val="000000"/>
          <w:sz w:val="24"/>
          <w:szCs w:val="24"/>
        </w:rPr>
        <w:t>，</w:t>
      </w:r>
      <w:r>
        <w:rPr>
          <w:rFonts w:asciiTheme="minorEastAsia" w:hAnsiTheme="minorEastAsia"/>
          <w:color w:val="000000"/>
          <w:sz w:val="24"/>
          <w:szCs w:val="24"/>
        </w:rPr>
        <w:t>系统漏洞扫描、升级、加固管理制度</w:t>
      </w:r>
    </w:p>
    <w:p>
      <w:pPr>
        <w:spacing w:line="360" w:lineRule="auto"/>
        <w:ind w:firstLine="720" w:firstLineChars="300"/>
        <w:rPr>
          <w:rFonts w:asciiTheme="minorEastAsia" w:hAnsiTheme="minorEastAsia"/>
          <w:color w:val="000000"/>
          <w:sz w:val="24"/>
          <w:szCs w:val="24"/>
        </w:rPr>
      </w:pPr>
      <w:r>
        <w:rPr>
          <w:rFonts w:hint="eastAsia" w:asciiTheme="minorEastAsia" w:hAnsiTheme="minorEastAsia"/>
          <w:color w:val="000000"/>
          <w:sz w:val="24"/>
          <w:szCs w:val="24"/>
        </w:rPr>
        <w:t>（6）信息安全方面的规章制度：如税务系统信息分类标记制度、涉密信息安全管理制度等。</w:t>
      </w:r>
    </w:p>
    <w:p>
      <w:pPr>
        <w:spacing w:line="360" w:lineRule="auto"/>
        <w:ind w:firstLine="720" w:firstLineChars="300"/>
        <w:rPr>
          <w:rFonts w:asciiTheme="minorEastAsia" w:hAnsiTheme="minorEastAsia"/>
          <w:color w:val="000000"/>
          <w:sz w:val="24"/>
          <w:szCs w:val="24"/>
        </w:rPr>
      </w:pPr>
      <w:r>
        <w:rPr>
          <w:rFonts w:hint="eastAsia" w:asciiTheme="minorEastAsia" w:hAnsiTheme="minorEastAsia"/>
          <w:color w:val="000000"/>
          <w:sz w:val="24"/>
          <w:szCs w:val="24"/>
        </w:rPr>
        <w:t>（7）数字证书申请分发、权限分配制度：如网上报税数字证书申请使用制度，数字证书丢失补办制度。</w:t>
      </w:r>
    </w:p>
    <w:p>
      <w:pPr>
        <w:spacing w:line="360" w:lineRule="auto"/>
        <w:ind w:firstLine="720" w:firstLineChars="300"/>
        <w:rPr>
          <w:rFonts w:asciiTheme="minorEastAsia" w:hAnsiTheme="minorEastAsia"/>
          <w:color w:val="000000"/>
          <w:sz w:val="24"/>
          <w:szCs w:val="24"/>
        </w:rPr>
      </w:pPr>
      <w:r>
        <w:rPr>
          <w:rFonts w:hint="eastAsia" w:asciiTheme="minorEastAsia" w:hAnsiTheme="minorEastAsia"/>
          <w:color w:val="000000"/>
          <w:sz w:val="24"/>
          <w:szCs w:val="24"/>
        </w:rPr>
        <w:t>（8）应急响应管理方面制度：如</w:t>
      </w:r>
      <w:r>
        <w:rPr>
          <w:rFonts w:asciiTheme="minorEastAsia" w:hAnsiTheme="minorEastAsia"/>
          <w:color w:val="000000"/>
          <w:sz w:val="24"/>
          <w:szCs w:val="24"/>
        </w:rPr>
        <w:t>信息安全突发事件应急处置流程</w:t>
      </w:r>
      <w:r>
        <w:rPr>
          <w:rFonts w:hint="eastAsia" w:asciiTheme="minorEastAsia" w:hAnsiTheme="minorEastAsia"/>
          <w:color w:val="000000"/>
          <w:sz w:val="24"/>
          <w:szCs w:val="24"/>
        </w:rPr>
        <w:t>，</w:t>
      </w:r>
      <w:r>
        <w:rPr>
          <w:rFonts w:asciiTheme="minorEastAsia" w:hAnsiTheme="minorEastAsia"/>
          <w:color w:val="000000"/>
          <w:sz w:val="24"/>
          <w:szCs w:val="24"/>
        </w:rPr>
        <w:t>信息安全突发事件应急处置预案</w:t>
      </w:r>
      <w:r>
        <w:rPr>
          <w:rFonts w:hint="eastAsia" w:asciiTheme="minorEastAsia" w:hAnsiTheme="minorEastAsia"/>
          <w:color w:val="000000"/>
          <w:sz w:val="24"/>
          <w:szCs w:val="24"/>
        </w:rPr>
        <w:t>，</w:t>
      </w:r>
      <w:r>
        <w:rPr>
          <w:rFonts w:asciiTheme="minorEastAsia" w:hAnsiTheme="minorEastAsia"/>
          <w:color w:val="000000"/>
          <w:sz w:val="24"/>
          <w:szCs w:val="24"/>
        </w:rPr>
        <w:t>信息安全事件上报/处理</w:t>
      </w:r>
      <w:r>
        <w:rPr>
          <w:rFonts w:hint="eastAsia" w:asciiTheme="minorEastAsia" w:hAnsiTheme="minorEastAsia"/>
          <w:color w:val="000000"/>
          <w:sz w:val="24"/>
          <w:szCs w:val="24"/>
        </w:rPr>
        <w:t>制度</w:t>
      </w:r>
    </w:p>
    <w:p>
      <w:pPr>
        <w:spacing w:line="360" w:lineRule="auto"/>
        <w:ind w:firstLine="720" w:firstLineChars="300"/>
        <w:rPr>
          <w:rFonts w:asciiTheme="minorEastAsia" w:hAnsiTheme="minorEastAsia"/>
          <w:color w:val="000000"/>
          <w:sz w:val="24"/>
          <w:szCs w:val="24"/>
        </w:rPr>
      </w:pPr>
      <w:r>
        <w:rPr>
          <w:rFonts w:hint="eastAsia" w:asciiTheme="minorEastAsia" w:hAnsiTheme="minorEastAsia"/>
          <w:color w:val="000000"/>
          <w:sz w:val="24"/>
          <w:szCs w:val="24"/>
        </w:rPr>
        <w:t>（9）人员安全方面的制度：如信息网络人员安全管理制度、信息安全意识与安全技术教育制度等</w:t>
      </w:r>
    </w:p>
    <w:p>
      <w:pPr>
        <w:pStyle w:val="4"/>
        <w:numPr>
          <w:ilvl w:val="2"/>
          <w:numId w:val="3"/>
        </w:numPr>
        <w:spacing w:before="0" w:after="0" w:line="360" w:lineRule="auto"/>
        <w:ind w:left="0" w:leftChars="0" w:firstLine="402" w:firstLineChars="0"/>
      </w:pPr>
      <w:bookmarkStart w:id="248" w:name="_Toc5922"/>
      <w:bookmarkStart w:id="249" w:name="_Toc260987159"/>
      <w:r>
        <w:rPr>
          <w:rFonts w:hint="eastAsia"/>
        </w:rPr>
        <w:t>系统生命周期安全管理</w:t>
      </w:r>
      <w:bookmarkEnd w:id="248"/>
      <w:bookmarkEnd w:id="249"/>
    </w:p>
    <w:p>
      <w:pPr>
        <w:spacing w:line="360" w:lineRule="auto"/>
        <w:ind w:firstLine="480"/>
        <w:rPr>
          <w:rFonts w:asciiTheme="minorEastAsia" w:hAnsiTheme="minorEastAsia"/>
          <w:szCs w:val="21"/>
        </w:rPr>
      </w:pPr>
      <w:r>
        <w:rPr>
          <w:rFonts w:hint="eastAsia" w:asciiTheme="minorEastAsia" w:hAnsiTheme="minorEastAsia"/>
          <w:sz w:val="24"/>
          <w:szCs w:val="24"/>
        </w:rPr>
        <w:t>安全管理是贯穿整个信息系统生命周期的。信息系统生命周期：信息系统典型的生命周期模型分为计划组织、开发采购、实施交付、运行维护、废弃五个阶段以及变更应用于系统产生的闭合循环周期结构。信息系统生命周期管理实践将信息安全管理同信息系统生命周期相结合，通过在信息系统生命周期的不同阶段进行不同的信息系统安全保障管理实践。</w:t>
      </w:r>
    </w:p>
    <w:p>
      <w:pPr>
        <w:pStyle w:val="4"/>
        <w:numPr>
          <w:ilvl w:val="2"/>
          <w:numId w:val="3"/>
        </w:numPr>
        <w:spacing w:before="0" w:after="0" w:line="360" w:lineRule="auto"/>
        <w:ind w:left="0" w:leftChars="0" w:firstLine="402" w:firstLineChars="0"/>
      </w:pPr>
      <w:bookmarkStart w:id="250" w:name="_Toc260987160"/>
      <w:bookmarkStart w:id="251" w:name="_Toc7449"/>
      <w:r>
        <w:rPr>
          <w:rFonts w:hint="eastAsia"/>
        </w:rPr>
        <w:t>信息生命周期与安全管理</w:t>
      </w:r>
      <w:bookmarkEnd w:id="250"/>
      <w:bookmarkEnd w:id="251"/>
    </w:p>
    <w:p>
      <w:pPr>
        <w:spacing w:line="360" w:lineRule="auto"/>
        <w:ind w:firstLine="480"/>
        <w:rPr>
          <w:rFonts w:asciiTheme="minorEastAsia" w:hAnsiTheme="minorEastAsia"/>
          <w:sz w:val="24"/>
          <w:szCs w:val="24"/>
        </w:rPr>
      </w:pPr>
      <w:r>
        <w:rPr>
          <w:rFonts w:asciiTheme="minorEastAsia" w:hAnsiTheme="minorEastAsia"/>
          <w:sz w:val="24"/>
          <w:szCs w:val="24"/>
        </w:rPr>
        <w:t>信息生命周期</w:t>
      </w:r>
      <w:r>
        <w:rPr>
          <w:rFonts w:hint="eastAsia" w:asciiTheme="minorEastAsia" w:hAnsiTheme="minorEastAsia"/>
          <w:sz w:val="24"/>
          <w:szCs w:val="24"/>
        </w:rPr>
        <w:t>安全</w:t>
      </w:r>
      <w:r>
        <w:rPr>
          <w:rFonts w:asciiTheme="minorEastAsia" w:hAnsiTheme="minorEastAsia"/>
          <w:sz w:val="24"/>
          <w:szCs w:val="24"/>
        </w:rPr>
        <w:t>管理作为一种信息管理模型，认为信息有一个从产生</w:t>
      </w:r>
      <w:r>
        <w:rPr>
          <w:rFonts w:hint="eastAsia" w:asciiTheme="minorEastAsia" w:hAnsiTheme="minorEastAsia"/>
          <w:sz w:val="24"/>
          <w:szCs w:val="24"/>
        </w:rPr>
        <w:t>创建</w:t>
      </w:r>
      <w:r>
        <w:rPr>
          <w:rFonts w:asciiTheme="minorEastAsia" w:hAnsiTheme="minorEastAsia"/>
          <w:sz w:val="24"/>
          <w:szCs w:val="24"/>
        </w:rPr>
        <w:t>、保护、</w:t>
      </w:r>
      <w:r>
        <w:rPr>
          <w:rFonts w:hint="eastAsia" w:asciiTheme="minorEastAsia" w:hAnsiTheme="minorEastAsia"/>
          <w:sz w:val="24"/>
          <w:szCs w:val="24"/>
        </w:rPr>
        <w:t>访问</w:t>
      </w:r>
      <w:r>
        <w:rPr>
          <w:rFonts w:asciiTheme="minorEastAsia" w:hAnsiTheme="minorEastAsia"/>
          <w:sz w:val="24"/>
          <w:szCs w:val="24"/>
        </w:rPr>
        <w:t>、迁移、</w:t>
      </w:r>
      <w:r>
        <w:rPr>
          <w:rFonts w:hint="eastAsia" w:asciiTheme="minorEastAsia" w:hAnsiTheme="minorEastAsia"/>
          <w:sz w:val="24"/>
          <w:szCs w:val="24"/>
        </w:rPr>
        <w:t>归</w:t>
      </w:r>
      <w:r>
        <w:rPr>
          <w:rFonts w:asciiTheme="minorEastAsia" w:hAnsiTheme="minorEastAsia"/>
          <w:sz w:val="24"/>
          <w:szCs w:val="24"/>
        </w:rPr>
        <w:t>档、回收的周期、再次激活以及退出的生命周期，对信息进行贯穿其整个生命的</w:t>
      </w:r>
      <w:r>
        <w:rPr>
          <w:rFonts w:hint="eastAsia" w:asciiTheme="minorEastAsia" w:hAnsiTheme="minorEastAsia"/>
          <w:sz w:val="24"/>
          <w:szCs w:val="24"/>
        </w:rPr>
        <w:t>安全</w:t>
      </w:r>
      <w:r>
        <w:rPr>
          <w:rFonts w:asciiTheme="minorEastAsia" w:hAnsiTheme="minorEastAsia"/>
          <w:sz w:val="24"/>
          <w:szCs w:val="24"/>
        </w:rPr>
        <w:t>管理需要相应的策略和技术实现手段。信息生命周期</w:t>
      </w:r>
      <w:r>
        <w:rPr>
          <w:rFonts w:hint="eastAsia" w:asciiTheme="minorEastAsia" w:hAnsiTheme="minorEastAsia"/>
          <w:sz w:val="24"/>
          <w:szCs w:val="24"/>
        </w:rPr>
        <w:t>安全</w:t>
      </w:r>
      <w:r>
        <w:rPr>
          <w:rFonts w:asciiTheme="minorEastAsia" w:hAnsiTheme="minorEastAsia"/>
          <w:sz w:val="24"/>
          <w:szCs w:val="24"/>
        </w:rPr>
        <w:t>管理的目的在于帮助</w:t>
      </w:r>
      <w:r>
        <w:rPr>
          <w:rFonts w:hint="eastAsia" w:asciiTheme="minorEastAsia" w:hAnsiTheme="minorEastAsia"/>
          <w:sz w:val="24"/>
          <w:szCs w:val="24"/>
        </w:rPr>
        <w:t>税务系统</w:t>
      </w:r>
      <w:r>
        <w:rPr>
          <w:rFonts w:asciiTheme="minorEastAsia" w:hAnsiTheme="minorEastAsia"/>
          <w:sz w:val="24"/>
          <w:szCs w:val="24"/>
        </w:rPr>
        <w:t>在信息生命周期的各个阶段以最低的成本获得最大的价值。</w:t>
      </w:r>
    </w:p>
    <w:p>
      <w:pPr>
        <w:pStyle w:val="4"/>
        <w:numPr>
          <w:ilvl w:val="2"/>
          <w:numId w:val="3"/>
        </w:numPr>
        <w:spacing w:before="0" w:after="0" w:line="360" w:lineRule="auto"/>
        <w:ind w:left="0" w:leftChars="0" w:firstLine="402" w:firstLineChars="0"/>
      </w:pPr>
      <w:bookmarkStart w:id="252" w:name="_Toc4113"/>
      <w:bookmarkStart w:id="253" w:name="_Toc260987161"/>
      <w:r>
        <w:rPr>
          <w:rFonts w:hint="eastAsia"/>
        </w:rPr>
        <w:t>人员安全管理</w:t>
      </w:r>
      <w:bookmarkEnd w:id="252"/>
      <w:bookmarkEnd w:id="253"/>
    </w:p>
    <w:p>
      <w:pPr>
        <w:pStyle w:val="59"/>
        <w:spacing w:line="360" w:lineRule="auto"/>
        <w:ind w:firstLine="493"/>
        <w:rPr>
          <w:rFonts w:asciiTheme="minorEastAsia" w:hAnsiTheme="minorEastAsia" w:eastAsiaTheme="minorEastAsia"/>
          <w:sz w:val="24"/>
          <w:szCs w:val="24"/>
        </w:rPr>
      </w:pPr>
      <w:bookmarkStart w:id="254" w:name="_Toc340506802"/>
      <w:r>
        <w:rPr>
          <w:rFonts w:hint="eastAsia" w:asciiTheme="minorEastAsia" w:hAnsiTheme="minorEastAsia" w:eastAsiaTheme="minorEastAsia"/>
          <w:sz w:val="24"/>
          <w:szCs w:val="24"/>
        </w:rPr>
        <w:t>一、</w:t>
      </w:r>
      <w:r>
        <w:rPr>
          <w:rFonts w:asciiTheme="minorEastAsia" w:hAnsiTheme="minorEastAsia" w:eastAsiaTheme="minorEastAsia"/>
          <w:sz w:val="24"/>
          <w:szCs w:val="24"/>
        </w:rPr>
        <w:t>定义工作职责中的安全责任</w:t>
      </w:r>
      <w:bookmarkEnd w:id="254"/>
    </w:p>
    <w:p>
      <w:pPr>
        <w:pStyle w:val="60"/>
        <w:ind w:left="0" w:leftChars="0" w:firstLine="420"/>
        <w:rPr>
          <w:rFonts w:asciiTheme="minorEastAsia" w:hAnsiTheme="minorEastAsia" w:eastAsiaTheme="minorEastAsia"/>
          <w:color w:val="FF0000"/>
          <w:sz w:val="24"/>
          <w:szCs w:val="24"/>
        </w:rPr>
      </w:pPr>
      <w:r>
        <w:rPr>
          <w:rFonts w:asciiTheme="minorEastAsia" w:hAnsiTheme="minorEastAsia" w:eastAsiaTheme="minorEastAsia"/>
          <w:sz w:val="24"/>
          <w:szCs w:val="24"/>
        </w:rPr>
        <w:t>建立整个内网系统使用的统一的安全责任定义，对</w:t>
      </w:r>
      <w:r>
        <w:rPr>
          <w:rFonts w:hint="eastAsia" w:asciiTheme="minorEastAsia" w:hAnsiTheme="minorEastAsia" w:eastAsiaTheme="minorEastAsia"/>
          <w:sz w:val="24"/>
          <w:szCs w:val="24"/>
        </w:rPr>
        <w:t>电子发票管理和查验信息</w:t>
      </w:r>
      <w:r>
        <w:rPr>
          <w:rFonts w:asciiTheme="minorEastAsia" w:hAnsiTheme="minorEastAsia" w:eastAsiaTheme="minorEastAsia"/>
          <w:sz w:val="24"/>
          <w:szCs w:val="24"/>
        </w:rPr>
        <w:t>系统所涉及所有人员的安全责任进行定义</w:t>
      </w:r>
      <w:r>
        <w:rPr>
          <w:rFonts w:hint="eastAsia" w:asciiTheme="minorEastAsia" w:hAnsiTheme="minorEastAsia" w:eastAsiaTheme="minorEastAsia"/>
          <w:sz w:val="24"/>
          <w:szCs w:val="24"/>
        </w:rPr>
        <w:t>。</w:t>
      </w:r>
    </w:p>
    <w:p>
      <w:pPr>
        <w:pStyle w:val="59"/>
        <w:spacing w:line="360" w:lineRule="auto"/>
        <w:ind w:firstLine="493"/>
        <w:rPr>
          <w:rFonts w:asciiTheme="minorEastAsia" w:hAnsiTheme="minorEastAsia" w:eastAsiaTheme="minorEastAsia"/>
          <w:sz w:val="24"/>
          <w:szCs w:val="24"/>
        </w:rPr>
      </w:pPr>
      <w:bookmarkStart w:id="255" w:name="_Toc340506803"/>
      <w:r>
        <w:rPr>
          <w:rFonts w:hint="eastAsia" w:asciiTheme="minorEastAsia" w:hAnsiTheme="minorEastAsia" w:eastAsiaTheme="minorEastAsia"/>
          <w:sz w:val="24"/>
          <w:szCs w:val="24"/>
        </w:rPr>
        <w:t>二、</w:t>
      </w:r>
      <w:r>
        <w:rPr>
          <w:rFonts w:asciiTheme="minorEastAsia" w:hAnsiTheme="minorEastAsia" w:eastAsiaTheme="minorEastAsia"/>
          <w:sz w:val="24"/>
          <w:szCs w:val="24"/>
        </w:rPr>
        <w:t>建立人员资质审查方针</w:t>
      </w:r>
      <w:bookmarkEnd w:id="255"/>
    </w:p>
    <w:p>
      <w:pPr>
        <w:pStyle w:val="60"/>
        <w:ind w:left="0" w:leftChars="0" w:firstLine="420"/>
        <w:rPr>
          <w:rFonts w:asciiTheme="minorEastAsia" w:hAnsiTheme="minorEastAsia" w:eastAsiaTheme="minorEastAsia"/>
          <w:sz w:val="24"/>
          <w:szCs w:val="24"/>
        </w:rPr>
      </w:pPr>
      <w:r>
        <w:rPr>
          <w:rFonts w:asciiTheme="minorEastAsia" w:hAnsiTheme="minorEastAsia" w:eastAsiaTheme="minorEastAsia"/>
          <w:sz w:val="24"/>
          <w:szCs w:val="24"/>
        </w:rPr>
        <w:t>对信息系统的重要管理、维护人员建立资质审查制度，其中包括：系统管理员、数据库管理员、网络管理员等，各IT 管理人员应根据其职责范围要求，具有相应的技术或职业技能资质，轮岗和新上岗人员应通过培训取得相关资质；</w:t>
      </w:r>
    </w:p>
    <w:p>
      <w:pPr>
        <w:pStyle w:val="60"/>
        <w:ind w:left="0" w:leftChars="0" w:firstLine="420"/>
        <w:rPr>
          <w:rFonts w:asciiTheme="minorEastAsia" w:hAnsiTheme="minorEastAsia" w:eastAsiaTheme="minorEastAsia"/>
          <w:sz w:val="24"/>
          <w:szCs w:val="24"/>
        </w:rPr>
      </w:pPr>
      <w:r>
        <w:rPr>
          <w:rFonts w:asciiTheme="minorEastAsia" w:hAnsiTheme="minorEastAsia" w:eastAsiaTheme="minorEastAsia"/>
          <w:sz w:val="24"/>
          <w:szCs w:val="24"/>
        </w:rPr>
        <w:t>对外部服务和合作单位也建立资质管理制度。对各个业务系统的开发和维护单位、运维单位等也要符合行业资质管理的要求，服务人员也应具备相关技术和职业技能资质；定期对所有相关的资质进行检查。</w:t>
      </w:r>
    </w:p>
    <w:p>
      <w:pPr>
        <w:pStyle w:val="59"/>
        <w:spacing w:line="360" w:lineRule="auto"/>
        <w:ind w:firstLine="493"/>
        <w:rPr>
          <w:rFonts w:asciiTheme="minorEastAsia" w:hAnsiTheme="minorEastAsia" w:eastAsiaTheme="minorEastAsia"/>
          <w:sz w:val="24"/>
          <w:szCs w:val="24"/>
        </w:rPr>
      </w:pPr>
      <w:bookmarkStart w:id="256" w:name="_Toc184613457"/>
      <w:bookmarkStart w:id="257" w:name="_Toc340506804"/>
      <w:r>
        <w:rPr>
          <w:rFonts w:hint="eastAsia" w:asciiTheme="minorEastAsia" w:hAnsiTheme="minorEastAsia" w:eastAsiaTheme="minorEastAsia"/>
          <w:sz w:val="24"/>
          <w:szCs w:val="24"/>
        </w:rPr>
        <w:t>三、建立安全考核</w:t>
      </w:r>
      <w:bookmarkEnd w:id="256"/>
      <w:r>
        <w:rPr>
          <w:rFonts w:hint="eastAsia" w:asciiTheme="minorEastAsia" w:hAnsiTheme="minorEastAsia" w:eastAsiaTheme="minorEastAsia"/>
          <w:sz w:val="24"/>
          <w:szCs w:val="24"/>
        </w:rPr>
        <w:t>体系</w:t>
      </w:r>
      <w:bookmarkEnd w:id="257"/>
    </w:p>
    <w:p>
      <w:pPr>
        <w:pStyle w:val="60"/>
        <w:ind w:left="313" w:leftChars="149" w:firstLine="420"/>
        <w:rPr>
          <w:rFonts w:asciiTheme="minorEastAsia" w:hAnsiTheme="minorEastAsia" w:eastAsiaTheme="minorEastAsia"/>
          <w:sz w:val="24"/>
          <w:szCs w:val="24"/>
        </w:rPr>
      </w:pPr>
      <w:r>
        <w:rPr>
          <w:rFonts w:hint="eastAsia" w:asciiTheme="minorEastAsia" w:hAnsiTheme="minorEastAsia" w:eastAsiaTheme="minorEastAsia"/>
          <w:sz w:val="24"/>
          <w:szCs w:val="24"/>
        </w:rPr>
        <w:t>建立科学、全面、合理，易量化、易操作的安全考核体系，能够避免员工的不良反应，减少抵触情绪。</w:t>
      </w:r>
    </w:p>
    <w:p>
      <w:pPr>
        <w:pStyle w:val="60"/>
        <w:ind w:left="313" w:leftChars="149" w:firstLine="420"/>
        <w:rPr>
          <w:rFonts w:asciiTheme="minorEastAsia" w:hAnsiTheme="minorEastAsia" w:eastAsiaTheme="minorEastAsia"/>
          <w:sz w:val="24"/>
          <w:szCs w:val="24"/>
        </w:rPr>
      </w:pPr>
      <w:r>
        <w:rPr>
          <w:rFonts w:asciiTheme="minorEastAsia" w:hAnsiTheme="minorEastAsia" w:eastAsiaTheme="minorEastAsia"/>
          <w:sz w:val="24"/>
          <w:szCs w:val="24"/>
        </w:rPr>
        <w:t>定期对各个岗位的人员进行安全技能及安全认知的考核；对关键岗位的人员进行全面、严格的安全审查和技能考核；并定期或不定期的对保密制度执行情况进行检查或考核</w:t>
      </w:r>
      <w:r>
        <w:rPr>
          <w:rFonts w:hint="eastAsia" w:asciiTheme="minorEastAsia" w:hAnsiTheme="minorEastAsia" w:eastAsiaTheme="minorEastAsia"/>
          <w:sz w:val="24"/>
          <w:szCs w:val="24"/>
        </w:rPr>
        <w:t>。</w:t>
      </w:r>
      <w:r>
        <w:rPr>
          <w:rFonts w:asciiTheme="minorEastAsia" w:hAnsiTheme="minorEastAsia" w:eastAsiaTheme="minorEastAsia"/>
          <w:kern w:val="0"/>
          <w:sz w:val="24"/>
          <w:szCs w:val="24"/>
        </w:rPr>
        <w:t>对于安全</w:t>
      </w:r>
      <w:r>
        <w:rPr>
          <w:rFonts w:hint="eastAsia" w:asciiTheme="minorEastAsia" w:hAnsiTheme="minorEastAsia" w:eastAsiaTheme="minorEastAsia"/>
          <w:kern w:val="0"/>
          <w:sz w:val="24"/>
          <w:szCs w:val="24"/>
        </w:rPr>
        <w:t>工作的</w:t>
      </w:r>
      <w:r>
        <w:rPr>
          <w:rFonts w:asciiTheme="minorEastAsia" w:hAnsiTheme="minorEastAsia" w:eastAsiaTheme="minorEastAsia"/>
          <w:kern w:val="0"/>
          <w:sz w:val="24"/>
          <w:szCs w:val="24"/>
        </w:rPr>
        <w:t>考核的结果应当纳入到员工绩效考核中，并制定相应的奖惩措施</w:t>
      </w:r>
      <w:r>
        <w:rPr>
          <w:rFonts w:hint="eastAsia" w:asciiTheme="minorEastAsia" w:hAnsiTheme="minorEastAsia" w:eastAsiaTheme="minorEastAsia"/>
          <w:kern w:val="0"/>
          <w:sz w:val="24"/>
          <w:szCs w:val="24"/>
        </w:rPr>
        <w:t>。</w:t>
      </w:r>
    </w:p>
    <w:p>
      <w:pPr>
        <w:pStyle w:val="60"/>
        <w:ind w:firstLine="420"/>
        <w:rPr>
          <w:rFonts w:asciiTheme="minorEastAsia" w:hAnsiTheme="minorEastAsia" w:eastAsiaTheme="minorEastAsia"/>
          <w:sz w:val="24"/>
          <w:szCs w:val="24"/>
        </w:rPr>
      </w:pPr>
      <w:r>
        <w:rPr>
          <w:rFonts w:asciiTheme="minorEastAsia" w:hAnsiTheme="minorEastAsia" w:eastAsiaTheme="minorEastAsia"/>
          <w:sz w:val="24"/>
          <w:szCs w:val="24"/>
        </w:rPr>
        <w:t>建立岗位任职资格审核和评定制度，信息系统技术人员应符合</w:t>
      </w:r>
      <w:r>
        <w:rPr>
          <w:rFonts w:hint="eastAsia" w:asciiTheme="minorEastAsia" w:hAnsiTheme="minorEastAsia" w:eastAsiaTheme="minorEastAsia"/>
          <w:sz w:val="24"/>
          <w:szCs w:val="24"/>
        </w:rPr>
        <w:t>税务系统</w:t>
      </w:r>
      <w:r>
        <w:rPr>
          <w:rFonts w:asciiTheme="minorEastAsia" w:hAnsiTheme="minorEastAsia" w:eastAsiaTheme="minorEastAsia"/>
          <w:sz w:val="24"/>
          <w:szCs w:val="24"/>
        </w:rPr>
        <w:t>的任职资格规定。</w:t>
      </w:r>
      <w:r>
        <w:rPr>
          <w:rFonts w:hint="eastAsia" w:asciiTheme="minorEastAsia" w:hAnsiTheme="minorEastAsia" w:eastAsiaTheme="minorEastAsia"/>
          <w:sz w:val="24"/>
          <w:szCs w:val="24"/>
        </w:rPr>
        <w:t>定期对信息系统所有的工作人员从政治思想、业务水平、工作表现、遵守安全规程等方面进行考核。对于考核发现有违反安全法规行为的人员或发现不适于接触信息系统的人员要及时调离岗位，不应让其再接触系统。</w:t>
      </w:r>
    </w:p>
    <w:p>
      <w:pPr>
        <w:pStyle w:val="59"/>
        <w:spacing w:line="360" w:lineRule="auto"/>
        <w:ind w:firstLine="493"/>
        <w:rPr>
          <w:rFonts w:asciiTheme="minorEastAsia" w:hAnsiTheme="minorEastAsia" w:eastAsiaTheme="minorEastAsia"/>
          <w:sz w:val="24"/>
          <w:szCs w:val="24"/>
        </w:rPr>
      </w:pPr>
      <w:bookmarkStart w:id="258" w:name="_Toc340506805"/>
      <w:r>
        <w:rPr>
          <w:rFonts w:hint="eastAsia" w:asciiTheme="minorEastAsia" w:hAnsiTheme="minorEastAsia" w:eastAsiaTheme="minorEastAsia"/>
          <w:sz w:val="24"/>
          <w:szCs w:val="24"/>
        </w:rPr>
        <w:t>四、</w:t>
      </w:r>
      <w:r>
        <w:rPr>
          <w:rFonts w:asciiTheme="minorEastAsia" w:hAnsiTheme="minorEastAsia" w:eastAsiaTheme="minorEastAsia"/>
          <w:sz w:val="24"/>
          <w:szCs w:val="24"/>
        </w:rPr>
        <w:t>签署保密协议</w:t>
      </w:r>
      <w:bookmarkEnd w:id="258"/>
    </w:p>
    <w:p>
      <w:pPr>
        <w:pStyle w:val="60"/>
        <w:ind w:firstLine="420"/>
        <w:rPr>
          <w:rFonts w:asciiTheme="minorEastAsia" w:hAnsiTheme="minorEastAsia" w:eastAsiaTheme="minorEastAsia"/>
          <w:sz w:val="24"/>
          <w:szCs w:val="24"/>
        </w:rPr>
      </w:pPr>
      <w:r>
        <w:rPr>
          <w:rFonts w:asciiTheme="minorEastAsia" w:hAnsiTheme="minorEastAsia" w:eastAsiaTheme="minorEastAsia"/>
          <w:sz w:val="24"/>
          <w:szCs w:val="24"/>
        </w:rPr>
        <w:t>建议与所有的工作人员签署信息安全保密协议。包括所有直接或间接使用内网业务应用系统或获取内网系统数据信息的工作人员。</w:t>
      </w:r>
    </w:p>
    <w:p>
      <w:pPr>
        <w:pStyle w:val="59"/>
        <w:spacing w:line="360" w:lineRule="auto"/>
        <w:ind w:firstLine="493"/>
        <w:rPr>
          <w:rFonts w:asciiTheme="minorEastAsia" w:hAnsiTheme="minorEastAsia" w:eastAsiaTheme="minorEastAsia"/>
          <w:sz w:val="24"/>
          <w:szCs w:val="24"/>
        </w:rPr>
      </w:pPr>
      <w:bookmarkStart w:id="259" w:name="_Toc340506806"/>
      <w:r>
        <w:rPr>
          <w:rFonts w:hint="eastAsia" w:asciiTheme="minorEastAsia" w:hAnsiTheme="minorEastAsia" w:eastAsiaTheme="minorEastAsia"/>
          <w:sz w:val="24"/>
          <w:szCs w:val="24"/>
        </w:rPr>
        <w:t>五、</w:t>
      </w:r>
      <w:r>
        <w:rPr>
          <w:rFonts w:asciiTheme="minorEastAsia" w:hAnsiTheme="minorEastAsia" w:eastAsiaTheme="minorEastAsia"/>
          <w:sz w:val="24"/>
          <w:szCs w:val="24"/>
        </w:rPr>
        <w:t>建立定期的信息安全教育和培训体系</w:t>
      </w:r>
      <w:bookmarkEnd w:id="259"/>
    </w:p>
    <w:p>
      <w:pPr>
        <w:pStyle w:val="60"/>
        <w:ind w:firstLine="420"/>
        <w:rPr>
          <w:rFonts w:asciiTheme="minorEastAsia" w:hAnsiTheme="minorEastAsia" w:eastAsiaTheme="minorEastAsia"/>
          <w:szCs w:val="21"/>
        </w:rPr>
      </w:pPr>
      <w:r>
        <w:rPr>
          <w:rFonts w:asciiTheme="minorEastAsia" w:hAnsiTheme="minorEastAsia" w:eastAsiaTheme="minorEastAsia"/>
          <w:sz w:val="24"/>
          <w:szCs w:val="24"/>
        </w:rPr>
        <w:t>应建立完整的信息安全培训体系，培训体系构成如下：</w:t>
      </w:r>
    </w:p>
    <w:tbl>
      <w:tblPr>
        <w:tblStyle w:val="34"/>
        <w:tblW w:w="7920" w:type="dxa"/>
        <w:tblInd w:w="28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520"/>
        <w:gridCol w:w="540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0" w:hRule="atLeast"/>
        </w:trPr>
        <w:tc>
          <w:tcPr>
            <w:tcW w:w="2520" w:type="dxa"/>
            <w:vAlign w:val="center"/>
          </w:tcPr>
          <w:p>
            <w:pPr>
              <w:spacing w:line="360" w:lineRule="auto"/>
            </w:pPr>
            <w:r>
              <w:t>培训对象</w:t>
            </w:r>
          </w:p>
        </w:tc>
        <w:tc>
          <w:tcPr>
            <w:tcW w:w="5400" w:type="dxa"/>
            <w:vAlign w:val="center"/>
          </w:tcPr>
          <w:p>
            <w:pPr>
              <w:spacing w:line="360" w:lineRule="auto"/>
            </w:pPr>
            <w:r>
              <w:t>使用</w:t>
            </w:r>
            <w:r>
              <w:rPr>
                <w:rFonts w:hint="eastAsia"/>
              </w:rPr>
              <w:t>业务专网</w:t>
            </w:r>
            <w:r>
              <w:t>的各级领导和工作人员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0" w:hRule="atLeast"/>
        </w:trPr>
        <w:tc>
          <w:tcPr>
            <w:tcW w:w="2520" w:type="dxa"/>
            <w:vAlign w:val="center"/>
          </w:tcPr>
          <w:p>
            <w:pPr>
              <w:spacing w:line="360" w:lineRule="auto"/>
              <w:rPr>
                <w:color w:val="FF0000"/>
              </w:rPr>
            </w:pPr>
            <w:r>
              <w:t>培训内容</w:t>
            </w:r>
          </w:p>
        </w:tc>
        <w:tc>
          <w:tcPr>
            <w:tcW w:w="5400" w:type="dxa"/>
            <w:vAlign w:val="center"/>
          </w:tcPr>
          <w:p>
            <w:pPr>
              <w:spacing w:line="360" w:lineRule="auto"/>
              <w:rPr>
                <w:color w:val="FF0000"/>
              </w:rPr>
            </w:pPr>
            <w:r>
              <w:t>安全技术、安全产品、安全管理</w:t>
            </w:r>
            <w:r>
              <w:rPr>
                <w:rFonts w:hint="eastAsia"/>
              </w:rPr>
              <w:t>、安全意识等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20" w:hRule="atLeast"/>
        </w:trPr>
        <w:tc>
          <w:tcPr>
            <w:tcW w:w="2520" w:type="dxa"/>
            <w:vAlign w:val="center"/>
          </w:tcPr>
          <w:p>
            <w:pPr>
              <w:spacing w:line="360" w:lineRule="auto"/>
              <w:rPr>
                <w:color w:val="FF0000"/>
              </w:rPr>
            </w:pPr>
            <w:r>
              <w:t>培训计划</w:t>
            </w:r>
          </w:p>
        </w:tc>
        <w:tc>
          <w:tcPr>
            <w:tcW w:w="5400" w:type="dxa"/>
            <w:vAlign w:val="center"/>
          </w:tcPr>
          <w:p>
            <w:pPr>
              <w:spacing w:line="360" w:lineRule="auto"/>
              <w:rPr>
                <w:color w:val="FF0000"/>
              </w:rPr>
            </w:pPr>
            <w:r>
              <w:rPr>
                <w:rFonts w:hint="eastAsia"/>
              </w:rPr>
              <w:t>根据具体情况制定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92" w:hRule="atLeast"/>
        </w:trPr>
        <w:tc>
          <w:tcPr>
            <w:tcW w:w="2520" w:type="dxa"/>
            <w:vAlign w:val="center"/>
          </w:tcPr>
          <w:p>
            <w:pPr>
              <w:spacing w:line="360" w:lineRule="auto"/>
              <w:rPr>
                <w:color w:val="FF0000"/>
              </w:rPr>
            </w:pPr>
            <w:r>
              <w:t>培训评估体系</w:t>
            </w:r>
          </w:p>
        </w:tc>
        <w:tc>
          <w:tcPr>
            <w:tcW w:w="5400" w:type="dxa"/>
            <w:vAlign w:val="center"/>
          </w:tcPr>
          <w:p>
            <w:pPr>
              <w:spacing w:line="360" w:lineRule="auto"/>
              <w:rPr>
                <w:color w:val="FF0000"/>
              </w:rPr>
            </w:pPr>
            <w:r>
              <w:t>定期进行考评、考核。各科室业务人员</w:t>
            </w:r>
          </w:p>
        </w:tc>
      </w:tr>
    </w:tbl>
    <w:p>
      <w:pPr>
        <w:spacing w:line="360" w:lineRule="auto"/>
        <w:ind w:firstLine="480"/>
        <w:rPr>
          <w:rFonts w:asciiTheme="minorEastAsia" w:hAnsiTheme="minorEastAsia"/>
          <w:szCs w:val="21"/>
        </w:rPr>
      </w:pPr>
    </w:p>
    <w:p>
      <w:pPr>
        <w:pStyle w:val="3"/>
        <w:numPr>
          <w:ilvl w:val="1"/>
          <w:numId w:val="3"/>
        </w:numPr>
        <w:spacing w:before="0" w:after="0" w:line="360" w:lineRule="auto"/>
        <w:ind w:left="0" w:leftChars="0" w:firstLine="402" w:firstLineChars="0"/>
      </w:pPr>
      <w:bookmarkStart w:id="260" w:name="_Toc442308334"/>
      <w:bookmarkStart w:id="261" w:name="_Toc4991"/>
      <w:r>
        <w:rPr>
          <w:rFonts w:hint="eastAsia"/>
        </w:rPr>
        <w:t>数据传输安全设计</w:t>
      </w:r>
      <w:bookmarkEnd w:id="260"/>
      <w:bookmarkEnd w:id="261"/>
    </w:p>
    <w:p>
      <w:pPr>
        <w:pStyle w:val="60"/>
        <w:ind w:left="0" w:leftChars="0" w:firstLine="420"/>
        <w:rPr>
          <w:rFonts w:asciiTheme="minorEastAsia" w:hAnsiTheme="minorEastAsia" w:eastAsiaTheme="minorEastAsia"/>
          <w:sz w:val="24"/>
          <w:szCs w:val="24"/>
        </w:rPr>
      </w:pPr>
      <w:r>
        <w:rPr>
          <w:rFonts w:hint="eastAsia" w:asciiTheme="minorEastAsia" w:hAnsiTheme="minorEastAsia" w:eastAsiaTheme="minorEastAsia"/>
          <w:sz w:val="24"/>
          <w:szCs w:val="24"/>
        </w:rPr>
        <w:t>利用https协议为使用国</w:t>
      </w:r>
      <w:r>
        <w:rPr>
          <w:rFonts w:hint="eastAsia" w:asciiTheme="minorEastAsia" w:hAnsiTheme="minorEastAsia" w:eastAsiaTheme="minorEastAsia"/>
          <w:sz w:val="24"/>
          <w:szCs w:val="24"/>
          <w:lang w:eastAsia="zh-CN"/>
        </w:rPr>
        <w:t>xx</w:t>
      </w:r>
      <w:r>
        <w:rPr>
          <w:rFonts w:hint="eastAsia" w:asciiTheme="minorEastAsia" w:hAnsiTheme="minorEastAsia" w:eastAsiaTheme="minorEastAsia"/>
          <w:sz w:val="24"/>
          <w:szCs w:val="24"/>
        </w:rPr>
        <w:t>交通电子发票系统的用户提供数据传输加密，以保护纳税人的隐私信息和敏感数据。通常的做法是将SSL 运算放在提供发票服务的主机上，由于SSL 运算极耗资源，即使是功能最强大的服务器也无法达到很高的速度。这样，在上网的高峰时刻，等待时间会越来越长，有时一些交易根本无法完成，这种情况下，需要部署SSL加速器，来实现SSL加速。</w:t>
      </w:r>
    </w:p>
    <w:p>
      <w:pPr>
        <w:pStyle w:val="60"/>
        <w:ind w:left="0" w:leftChars="0" w:firstLine="420"/>
        <w:rPr>
          <w:rFonts w:asciiTheme="minorEastAsia" w:hAnsiTheme="minorEastAsia" w:eastAsiaTheme="minorEastAsia"/>
          <w:sz w:val="24"/>
          <w:szCs w:val="24"/>
        </w:rPr>
      </w:pPr>
      <w:r>
        <w:rPr>
          <w:rFonts w:hint="eastAsia" w:asciiTheme="minorEastAsia" w:hAnsiTheme="minorEastAsia" w:eastAsiaTheme="minorEastAsia"/>
          <w:sz w:val="24"/>
          <w:szCs w:val="24"/>
        </w:rPr>
        <w:t>关键、敏感</w:t>
      </w:r>
      <w:r>
        <w:rPr>
          <w:rFonts w:asciiTheme="minorEastAsia" w:hAnsiTheme="minorEastAsia" w:eastAsiaTheme="minorEastAsia"/>
          <w:sz w:val="24"/>
          <w:szCs w:val="24"/>
        </w:rPr>
        <w:t>数据传输的机密性：重点应用系统中传输关键、敏感数据时要采用传输加密技术，</w:t>
      </w:r>
      <w:r>
        <w:rPr>
          <w:rFonts w:hint="eastAsia" w:asciiTheme="minorEastAsia" w:hAnsiTheme="minorEastAsia" w:eastAsiaTheme="minorEastAsia"/>
          <w:sz w:val="24"/>
          <w:szCs w:val="24"/>
        </w:rPr>
        <w:t>必要时要采用二次认证方式以</w:t>
      </w:r>
      <w:r>
        <w:rPr>
          <w:rFonts w:asciiTheme="minorEastAsia" w:hAnsiTheme="minorEastAsia" w:eastAsiaTheme="minorEastAsia"/>
          <w:sz w:val="24"/>
          <w:szCs w:val="24"/>
        </w:rPr>
        <w:t>实现数据机密性要求；其他类应用系统应根据具体情况来考虑。</w:t>
      </w:r>
    </w:p>
    <w:p>
      <w:pPr>
        <w:pStyle w:val="60"/>
        <w:ind w:left="0" w:leftChars="0" w:firstLine="420"/>
        <w:rPr>
          <w:rFonts w:asciiTheme="minorEastAsia" w:hAnsiTheme="minorEastAsia" w:eastAsiaTheme="minorEastAsia"/>
          <w:sz w:val="24"/>
          <w:szCs w:val="24"/>
        </w:rPr>
      </w:pPr>
      <w:r>
        <w:rPr>
          <w:rFonts w:asciiTheme="minorEastAsia" w:hAnsiTheme="minorEastAsia" w:eastAsiaTheme="minorEastAsia"/>
          <w:sz w:val="24"/>
          <w:szCs w:val="24"/>
        </w:rPr>
        <w:t>数据传输的完整性：对于重点应用系统，因数据在INTERNET上传播或至关重要，应该保障数据的完整性，针对应用系统信息的重要程度，可以采用不同的数据完整性验证手段。</w:t>
      </w:r>
    </w:p>
    <w:p>
      <w:pPr>
        <w:pStyle w:val="57"/>
        <w:numPr>
          <w:ilvl w:val="0"/>
          <w:numId w:val="0"/>
        </w:numPr>
        <w:rPr>
          <w:rFonts w:asciiTheme="minorEastAsia" w:hAnsiTheme="minorEastAsia" w:eastAsiaTheme="minorEastAsia"/>
          <w:szCs w:val="21"/>
        </w:rPr>
      </w:pPr>
    </w:p>
    <w:p>
      <w:pPr>
        <w:pStyle w:val="3"/>
        <w:numPr>
          <w:ilvl w:val="1"/>
          <w:numId w:val="3"/>
        </w:numPr>
        <w:spacing w:before="0" w:after="0" w:line="360" w:lineRule="auto"/>
        <w:ind w:left="0" w:leftChars="0" w:firstLine="402" w:firstLineChars="0"/>
      </w:pPr>
      <w:bookmarkStart w:id="262" w:name="_Toc29540"/>
      <w:bookmarkStart w:id="263" w:name="_Toc442308337"/>
      <w:r>
        <w:rPr>
          <w:rFonts w:hint="eastAsia"/>
        </w:rPr>
        <w:t>权限管理设计</w:t>
      </w:r>
      <w:bookmarkEnd w:id="262"/>
      <w:bookmarkEnd w:id="263"/>
    </w:p>
    <w:p>
      <w:pPr>
        <w:autoSpaceDE w:val="0"/>
        <w:autoSpaceDN w:val="0"/>
        <w:adjustRightInd w:val="0"/>
        <w:spacing w:line="360" w:lineRule="auto"/>
        <w:ind w:firstLine="420"/>
        <w:rPr>
          <w:rFonts w:asciiTheme="minorEastAsia" w:hAnsiTheme="minorEastAsia"/>
          <w:color w:val="000000"/>
          <w:szCs w:val="21"/>
        </w:rPr>
      </w:pPr>
    </w:p>
    <w:p>
      <w:pPr>
        <w:autoSpaceDE w:val="0"/>
        <w:autoSpaceDN w:val="0"/>
        <w:adjustRightInd w:val="0"/>
        <w:spacing w:line="360" w:lineRule="auto"/>
        <w:ind w:firstLine="420"/>
        <w:rPr>
          <w:rFonts w:asciiTheme="minorEastAsia" w:hAnsiTheme="minorEastAsia"/>
          <w:color w:val="000000"/>
          <w:sz w:val="24"/>
          <w:szCs w:val="24"/>
        </w:rPr>
      </w:pPr>
      <w:r>
        <w:rPr>
          <w:rFonts w:hint="eastAsia" w:asciiTheme="minorEastAsia" w:hAnsiTheme="minorEastAsia"/>
          <w:color w:val="000000"/>
          <w:sz w:val="24"/>
          <w:szCs w:val="24"/>
        </w:rPr>
        <w:t>1)   系统管理员：系统管理员负责对该系统所涉及的硬件和软件配置的集中管理，包含性能管理、故障配置、安全管理、配置管理和统计功能等。</w:t>
      </w:r>
    </w:p>
    <w:p>
      <w:pPr>
        <w:autoSpaceDE w:val="0"/>
        <w:autoSpaceDN w:val="0"/>
        <w:adjustRightInd w:val="0"/>
        <w:spacing w:line="360" w:lineRule="auto"/>
        <w:ind w:firstLine="420"/>
        <w:rPr>
          <w:rFonts w:asciiTheme="minorEastAsia" w:hAnsiTheme="minorEastAsia"/>
          <w:color w:val="000000"/>
          <w:sz w:val="24"/>
          <w:szCs w:val="24"/>
        </w:rPr>
      </w:pPr>
      <w:r>
        <w:rPr>
          <w:rFonts w:hint="eastAsia" w:asciiTheme="minorEastAsia" w:hAnsiTheme="minorEastAsia"/>
          <w:color w:val="000000"/>
          <w:sz w:val="24"/>
          <w:szCs w:val="24"/>
        </w:rPr>
        <w:t>2)   日志管理员：日志管理员负责检查业务平台应用程序、操作系统和数据库层面安全日志记录（含对于重要的数据增、删、改操作），监督系统管理员和业务管理员执行的敏感操作，可通过浏览管理员操作日志来取得系统的所有管理操作信息。</w:t>
      </w:r>
    </w:p>
    <w:p>
      <w:pPr>
        <w:autoSpaceDE w:val="0"/>
        <w:autoSpaceDN w:val="0"/>
        <w:adjustRightInd w:val="0"/>
        <w:spacing w:line="360" w:lineRule="auto"/>
        <w:ind w:firstLine="420"/>
        <w:rPr>
          <w:rFonts w:asciiTheme="minorEastAsia" w:hAnsiTheme="minorEastAsia"/>
          <w:kern w:val="0"/>
          <w:sz w:val="24"/>
          <w:szCs w:val="24"/>
        </w:rPr>
      </w:pPr>
      <w:r>
        <w:rPr>
          <w:rFonts w:hint="eastAsia" w:asciiTheme="minorEastAsia" w:hAnsiTheme="minorEastAsia"/>
          <w:color w:val="000000"/>
          <w:sz w:val="24"/>
          <w:szCs w:val="24"/>
        </w:rPr>
        <w:t>3)   业务管理员：业务管理员负责对该系统所提供的业务的管理，如业务流程管理、业务排行管理、业务版面管理、业务接入管理、业务内容接入管理、业务合作管理业务发展数据和使用情况的分析和统计管理等。</w:t>
      </w:r>
    </w:p>
    <w:p>
      <w:pPr>
        <w:pStyle w:val="60"/>
        <w:ind w:left="0" w:leftChars="0" w:firstLine="420"/>
        <w:rPr>
          <w:rFonts w:asciiTheme="minorEastAsia" w:hAnsiTheme="minorEastAsia" w:eastAsiaTheme="minorEastAsia"/>
          <w:szCs w:val="21"/>
        </w:rPr>
      </w:pPr>
    </w:p>
    <w:p>
      <w:pPr>
        <w:spacing w:line="360" w:lineRule="auto"/>
        <w:rPr>
          <w:rFonts w:asciiTheme="minorEastAsia" w:hAnsiTheme="minorEastAsia"/>
          <w:szCs w:val="21"/>
        </w:rPr>
      </w:pPr>
    </w:p>
    <w:p>
      <w:pPr>
        <w:pStyle w:val="2"/>
        <w:pageBreakBefore/>
        <w:numPr>
          <w:ilvl w:val="0"/>
          <w:numId w:val="3"/>
        </w:numPr>
        <w:spacing w:before="0" w:after="0" w:line="360" w:lineRule="auto"/>
        <w:ind w:left="0" w:leftChars="0" w:firstLine="402" w:firstLineChars="0"/>
        <w:jc w:val="left"/>
      </w:pPr>
      <w:r>
        <w:rPr>
          <w:rFonts w:hint="eastAsia"/>
        </w:rPr>
        <w:t xml:space="preserve"> </w:t>
      </w:r>
      <w:bookmarkStart w:id="264" w:name="_Toc22427"/>
      <w:r>
        <w:rPr>
          <w:rFonts w:hint="eastAsia"/>
        </w:rPr>
        <w:t>系统详细设计</w:t>
      </w:r>
      <w:bookmarkEnd w:id="264"/>
    </w:p>
    <w:p>
      <w:pPr>
        <w:pStyle w:val="3"/>
        <w:numPr>
          <w:ilvl w:val="1"/>
          <w:numId w:val="3"/>
        </w:numPr>
        <w:spacing w:before="0" w:after="0" w:line="360" w:lineRule="auto"/>
        <w:ind w:left="0" w:leftChars="0" w:firstLine="402" w:firstLineChars="0"/>
      </w:pPr>
      <w:bookmarkStart w:id="265" w:name="_Toc6130"/>
      <w:r>
        <w:rPr>
          <w:rFonts w:hint="eastAsia"/>
        </w:rPr>
        <w:t>功能设计</w:t>
      </w:r>
      <w:bookmarkEnd w:id="265"/>
    </w:p>
    <w:p>
      <w:pPr>
        <w:pStyle w:val="4"/>
        <w:numPr>
          <w:ilvl w:val="2"/>
          <w:numId w:val="3"/>
        </w:numPr>
        <w:spacing w:before="0" w:after="0" w:line="360" w:lineRule="auto"/>
        <w:ind w:left="0" w:leftChars="0" w:firstLine="402" w:firstLineChars="0"/>
      </w:pPr>
      <w:bookmarkStart w:id="266" w:name="_Toc26087"/>
      <w:r>
        <w:rPr>
          <w:rFonts w:hint="eastAsia"/>
        </w:rPr>
        <w:t>系统管理</w:t>
      </w:r>
      <w:bookmarkEnd w:id="266"/>
    </w:p>
    <w:p>
      <w:pPr>
        <w:spacing w:line="360" w:lineRule="auto"/>
        <w:ind w:firstLine="424" w:firstLineChars="177"/>
        <w:rPr>
          <w:rFonts w:asciiTheme="minorEastAsia" w:hAnsiTheme="minorEastAsia"/>
          <w:szCs w:val="21"/>
        </w:rPr>
      </w:pPr>
      <w:r>
        <w:rPr>
          <w:rFonts w:hint="eastAsia" w:asciiTheme="minorEastAsia" w:hAnsiTheme="minorEastAsia"/>
          <w:sz w:val="24"/>
          <w:szCs w:val="24"/>
        </w:rPr>
        <w:t>系统管理主要是对增值税发票系统及电子发票系统中公共的功能和属性实现管理，包括系统设置，编码管理，日志管理三部分。</w:t>
      </w:r>
    </w:p>
    <w:p>
      <w:pPr>
        <w:pStyle w:val="5"/>
        <w:numPr>
          <w:ilvl w:val="3"/>
          <w:numId w:val="0"/>
        </w:numPr>
        <w:spacing w:before="0" w:after="0" w:line="360" w:lineRule="auto"/>
        <w:ind w:left="402" w:leftChars="0"/>
      </w:pPr>
      <w:bookmarkStart w:id="267" w:name="_Toc3403"/>
      <w:r>
        <w:rPr>
          <w:rFonts w:hint="eastAsia"/>
        </w:rPr>
        <w:t>1.1系统设置</w:t>
      </w:r>
      <w:bookmarkEnd w:id="267"/>
    </w:p>
    <w:p>
      <w:pPr>
        <w:spacing w:line="360" w:lineRule="auto"/>
        <w:ind w:firstLine="424" w:firstLineChars="177"/>
        <w:rPr>
          <w:rFonts w:asciiTheme="minorEastAsia" w:hAnsiTheme="minorEastAsia"/>
          <w:szCs w:val="21"/>
        </w:rPr>
      </w:pPr>
      <w:r>
        <w:rPr>
          <w:rFonts w:hint="eastAsia" w:asciiTheme="minorEastAsia" w:hAnsiTheme="minorEastAsia"/>
          <w:sz w:val="24"/>
          <w:szCs w:val="24"/>
        </w:rPr>
        <w:t>系统设置包括：角色管理，用户管理，密码管理，参数设置，外网管理，销方属性。</w:t>
      </w:r>
    </w:p>
    <w:p>
      <w:pPr>
        <w:pStyle w:val="6"/>
        <w:numPr>
          <w:ilvl w:val="4"/>
          <w:numId w:val="0"/>
        </w:numPr>
        <w:spacing w:before="0" w:after="0" w:line="360" w:lineRule="auto"/>
        <w:ind w:left="402" w:leftChars="0"/>
      </w:pPr>
      <w:bookmarkStart w:id="268" w:name="_Toc26823"/>
      <w:r>
        <w:rPr>
          <w:rFonts w:hint="eastAsia"/>
        </w:rPr>
        <w:t>1.1.1角色管理</w:t>
      </w:r>
      <w:bookmarkEnd w:id="268"/>
    </w:p>
    <w:p>
      <w:pPr>
        <w:pStyle w:val="51"/>
        <w:numPr>
          <w:ilvl w:val="0"/>
          <w:numId w:val="31"/>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权限</w:t>
      </w:r>
      <w:r>
        <w:rPr>
          <w:rFonts w:asciiTheme="minorEastAsia" w:hAnsiTheme="minorEastAsia"/>
          <w:sz w:val="24"/>
          <w:szCs w:val="24"/>
        </w:rPr>
        <w:t>角色</w:t>
      </w:r>
      <w:r>
        <w:rPr>
          <w:rFonts w:hint="eastAsia" w:asciiTheme="minorEastAsia" w:hAnsiTheme="minorEastAsia"/>
          <w:sz w:val="24"/>
          <w:szCs w:val="24"/>
        </w:rPr>
        <w:t>管理，</w:t>
      </w:r>
      <w:r>
        <w:rPr>
          <w:rFonts w:asciiTheme="minorEastAsia" w:hAnsiTheme="minorEastAsia"/>
          <w:sz w:val="24"/>
          <w:szCs w:val="24"/>
        </w:rPr>
        <w:t>指由多个</w:t>
      </w:r>
      <w:r>
        <w:rPr>
          <w:rFonts w:hint="eastAsia" w:asciiTheme="minorEastAsia" w:hAnsiTheme="minorEastAsia"/>
          <w:sz w:val="24"/>
          <w:szCs w:val="24"/>
        </w:rPr>
        <w:t>功能模块</w:t>
      </w:r>
      <w:r>
        <w:rPr>
          <w:rFonts w:asciiTheme="minorEastAsia" w:hAnsiTheme="minorEastAsia"/>
          <w:sz w:val="24"/>
          <w:szCs w:val="24"/>
        </w:rPr>
        <w:t>所组成的拥有特定模块和功能使用权限的一个</w:t>
      </w:r>
      <w:r>
        <w:rPr>
          <w:rFonts w:hint="eastAsia" w:asciiTheme="minorEastAsia" w:hAnsiTheme="minorEastAsia"/>
          <w:sz w:val="24"/>
          <w:szCs w:val="24"/>
        </w:rPr>
        <w:t>功能</w:t>
      </w:r>
      <w:r>
        <w:rPr>
          <w:rFonts w:asciiTheme="minorEastAsia" w:hAnsiTheme="minorEastAsia"/>
          <w:sz w:val="24"/>
          <w:szCs w:val="24"/>
        </w:rPr>
        <w:t>集合</w:t>
      </w:r>
      <w:r>
        <w:rPr>
          <w:rFonts w:hint="eastAsia" w:asciiTheme="minorEastAsia" w:hAnsiTheme="minorEastAsia"/>
          <w:sz w:val="24"/>
          <w:szCs w:val="24"/>
        </w:rPr>
        <w:t>，</w:t>
      </w:r>
      <w:r>
        <w:rPr>
          <w:rFonts w:asciiTheme="minorEastAsia" w:hAnsiTheme="minorEastAsia"/>
          <w:sz w:val="24"/>
          <w:szCs w:val="24"/>
        </w:rPr>
        <w:t>包括</w:t>
      </w:r>
      <w:r>
        <w:rPr>
          <w:rFonts w:hint="eastAsia" w:asciiTheme="minorEastAsia" w:hAnsiTheme="minorEastAsia"/>
          <w:sz w:val="24"/>
          <w:szCs w:val="24"/>
        </w:rPr>
        <w:t>查询</w:t>
      </w:r>
      <w:r>
        <w:rPr>
          <w:rFonts w:asciiTheme="minorEastAsia" w:hAnsiTheme="minorEastAsia"/>
          <w:sz w:val="24"/>
          <w:szCs w:val="24"/>
        </w:rPr>
        <w:t>、</w:t>
      </w:r>
      <w:r>
        <w:rPr>
          <w:rFonts w:hint="eastAsia" w:asciiTheme="minorEastAsia" w:hAnsiTheme="minorEastAsia"/>
          <w:sz w:val="24"/>
          <w:szCs w:val="24"/>
        </w:rPr>
        <w:t>查看角色、增加角色、编辑角色、分配权限和删除角色</w:t>
      </w:r>
      <w:r>
        <w:rPr>
          <w:rFonts w:asciiTheme="minorEastAsia" w:hAnsiTheme="minorEastAsia"/>
          <w:sz w:val="24"/>
          <w:szCs w:val="24"/>
        </w:rPr>
        <w:t>功能。</w:t>
      </w:r>
      <w:r>
        <w:rPr>
          <w:rFonts w:hint="eastAsia" w:asciiTheme="minorEastAsia" w:hAnsiTheme="minorEastAsia"/>
          <w:sz w:val="24"/>
          <w:szCs w:val="24"/>
        </w:rPr>
        <w:t>（按组织机构划分权限，上级可向下访问下级权限，下级不能访问上级权限，同级不能互相访问。）</w:t>
      </w:r>
    </w:p>
    <w:p>
      <w:pPr>
        <w:pStyle w:val="51"/>
        <w:numPr>
          <w:ilvl w:val="0"/>
          <w:numId w:val="31"/>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asciiTheme="minorEastAsia" w:hAnsiTheme="minorEastAsia" w:eastAsiaTheme="minorEastAsia"/>
          <w:sz w:val="24"/>
          <w:szCs w:val="24"/>
        </w:rPr>
        <w:t>为了避免为每一个用户分配权限带来的大量重复工作，系统采用为</w:t>
      </w:r>
      <w:r>
        <w:rPr>
          <w:rFonts w:hint="eastAsia" w:asciiTheme="minorEastAsia" w:hAnsiTheme="minorEastAsia" w:eastAsiaTheme="minorEastAsia"/>
          <w:sz w:val="24"/>
          <w:szCs w:val="24"/>
        </w:rPr>
        <w:t>角色分配</w:t>
      </w:r>
      <w:r>
        <w:rPr>
          <w:rFonts w:asciiTheme="minorEastAsia" w:hAnsiTheme="minorEastAsia" w:eastAsiaTheme="minorEastAsia"/>
          <w:sz w:val="24"/>
          <w:szCs w:val="24"/>
        </w:rPr>
        <w:t>权限，再为</w:t>
      </w:r>
      <w:r>
        <w:rPr>
          <w:rFonts w:hint="eastAsia" w:asciiTheme="minorEastAsia" w:hAnsiTheme="minorEastAsia" w:eastAsiaTheme="minorEastAsia"/>
          <w:sz w:val="24"/>
          <w:szCs w:val="24"/>
        </w:rPr>
        <w:t>用户</w:t>
      </w:r>
      <w:r>
        <w:rPr>
          <w:rFonts w:asciiTheme="minorEastAsia" w:hAnsiTheme="minorEastAsia" w:eastAsiaTheme="minorEastAsia"/>
          <w:sz w:val="24"/>
          <w:szCs w:val="24"/>
        </w:rPr>
        <w:t>分配</w:t>
      </w:r>
      <w:r>
        <w:rPr>
          <w:rFonts w:hint="eastAsia" w:asciiTheme="minorEastAsia" w:hAnsiTheme="minorEastAsia" w:eastAsiaTheme="minorEastAsia"/>
          <w:sz w:val="24"/>
          <w:szCs w:val="24"/>
        </w:rPr>
        <w:t>角色</w:t>
      </w:r>
      <w:r>
        <w:rPr>
          <w:rFonts w:asciiTheme="minorEastAsia" w:hAnsiTheme="minorEastAsia" w:eastAsiaTheme="minorEastAsia"/>
          <w:sz w:val="24"/>
          <w:szCs w:val="24"/>
        </w:rPr>
        <w:t>的方法，拥有</w:t>
      </w:r>
      <w:r>
        <w:rPr>
          <w:rFonts w:hint="eastAsia" w:asciiTheme="minorEastAsia" w:hAnsiTheme="minorEastAsia" w:eastAsiaTheme="minorEastAsia"/>
          <w:sz w:val="24"/>
          <w:szCs w:val="24"/>
        </w:rPr>
        <w:t>相同角色的</w:t>
      </w:r>
      <w:r>
        <w:rPr>
          <w:rFonts w:asciiTheme="minorEastAsia" w:hAnsiTheme="minorEastAsia" w:eastAsiaTheme="minorEastAsia"/>
          <w:sz w:val="24"/>
          <w:szCs w:val="24"/>
        </w:rPr>
        <w:t>用户均</w:t>
      </w:r>
      <w:r>
        <w:rPr>
          <w:rFonts w:hint="eastAsia" w:asciiTheme="minorEastAsia" w:hAnsiTheme="minorEastAsia" w:eastAsiaTheme="minorEastAsia"/>
          <w:sz w:val="24"/>
          <w:szCs w:val="24"/>
        </w:rPr>
        <w:t>具有相同</w:t>
      </w:r>
      <w:r>
        <w:rPr>
          <w:rFonts w:asciiTheme="minorEastAsia" w:hAnsiTheme="minorEastAsia" w:eastAsiaTheme="minorEastAsia"/>
          <w:sz w:val="24"/>
          <w:szCs w:val="24"/>
        </w:rPr>
        <w:t>的权限</w:t>
      </w:r>
      <w:r>
        <w:rPr>
          <w:rFonts w:hint="eastAsia" w:asciiTheme="minorEastAsia" w:hAnsiTheme="minorEastAsia" w:eastAsiaTheme="minorEastAsia"/>
          <w:sz w:val="24"/>
          <w:szCs w:val="24"/>
        </w:rPr>
        <w:t>。</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查询功能需求：</w:t>
      </w:r>
      <w:r>
        <w:rPr>
          <w:rFonts w:asciiTheme="minorEastAsia" w:hAnsiTheme="minorEastAsia"/>
          <w:sz w:val="24"/>
          <w:szCs w:val="24"/>
        </w:rPr>
        <w:t>根据</w:t>
      </w:r>
      <w:r>
        <w:rPr>
          <w:rFonts w:hint="eastAsia" w:asciiTheme="minorEastAsia" w:hAnsiTheme="minorEastAsia"/>
          <w:sz w:val="24"/>
          <w:szCs w:val="24"/>
        </w:rPr>
        <w:t>角色名称</w:t>
      </w:r>
      <w:r>
        <w:rPr>
          <w:rFonts w:asciiTheme="minorEastAsia" w:hAnsiTheme="minorEastAsia"/>
          <w:sz w:val="24"/>
          <w:szCs w:val="24"/>
        </w:rPr>
        <w:t>、</w:t>
      </w:r>
      <w:r>
        <w:rPr>
          <w:rFonts w:hint="eastAsia" w:asciiTheme="minorEastAsia" w:hAnsiTheme="minorEastAsia"/>
          <w:sz w:val="24"/>
          <w:szCs w:val="24"/>
        </w:rPr>
        <w:t>角色</w:t>
      </w:r>
      <w:r>
        <w:rPr>
          <w:rFonts w:asciiTheme="minorEastAsia" w:hAnsiTheme="minorEastAsia"/>
          <w:sz w:val="24"/>
          <w:szCs w:val="24"/>
        </w:rPr>
        <w:t>状态进行检索，系统支持单一条件查询和组合条件查询，</w:t>
      </w:r>
      <w:r>
        <w:rPr>
          <w:rFonts w:hint="eastAsia" w:asciiTheme="minorEastAsia" w:hAnsiTheme="minorEastAsia"/>
          <w:sz w:val="24"/>
          <w:szCs w:val="24"/>
        </w:rPr>
        <w:t>并且支持按角色模糊查询，</w:t>
      </w:r>
      <w:r>
        <w:rPr>
          <w:rFonts w:asciiTheme="minorEastAsia" w:hAnsiTheme="minorEastAsia"/>
          <w:sz w:val="24"/>
          <w:szCs w:val="24"/>
        </w:rPr>
        <w:t>检索出的内容显示在列表中的</w:t>
      </w:r>
      <w:r>
        <w:rPr>
          <w:rFonts w:hint="eastAsia" w:asciiTheme="minorEastAsia" w:hAnsiTheme="minorEastAsia"/>
          <w:sz w:val="24"/>
          <w:szCs w:val="24"/>
        </w:rPr>
        <w:t>查询结果</w:t>
      </w:r>
      <w:r>
        <w:rPr>
          <w:rFonts w:asciiTheme="minorEastAsia" w:hAnsiTheme="minorEastAsia"/>
          <w:sz w:val="24"/>
          <w:szCs w:val="24"/>
        </w:rPr>
        <w:t>区</w:t>
      </w:r>
      <w:r>
        <w:rPr>
          <w:rFonts w:hint="eastAsia" w:asciiTheme="minorEastAsia" w:hAnsiTheme="minorEastAsia"/>
          <w:sz w:val="24"/>
          <w:szCs w:val="24"/>
        </w:rPr>
        <w:t>中。</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点击“查看角色”，可以查看查询出来的角色的具体权限信息和角色信息，系统弹出对话框，显示所查看角色的选择内容。</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增加角色</w:t>
      </w:r>
      <w:r>
        <w:rPr>
          <w:rFonts w:asciiTheme="minorEastAsia" w:hAnsiTheme="minorEastAsia"/>
          <w:sz w:val="24"/>
          <w:szCs w:val="24"/>
        </w:rPr>
        <w:t>功能</w:t>
      </w:r>
      <w:r>
        <w:rPr>
          <w:rFonts w:hint="eastAsia" w:asciiTheme="minorEastAsia" w:hAnsiTheme="minorEastAsia"/>
          <w:sz w:val="24"/>
          <w:szCs w:val="24"/>
        </w:rPr>
        <w:t>需求：需要增加角色时，</w:t>
      </w:r>
      <w:r>
        <w:rPr>
          <w:rFonts w:asciiTheme="minorEastAsia" w:hAnsiTheme="minorEastAsia"/>
          <w:sz w:val="24"/>
          <w:szCs w:val="24"/>
        </w:rPr>
        <w:t>点击</w:t>
      </w:r>
      <w:r>
        <w:rPr>
          <w:rFonts w:hint="eastAsia" w:asciiTheme="minorEastAsia" w:hAnsiTheme="minorEastAsia"/>
          <w:sz w:val="24"/>
          <w:szCs w:val="24"/>
        </w:rPr>
        <w:t>“增加角色”</w:t>
      </w:r>
      <w:r>
        <w:rPr>
          <w:rFonts w:asciiTheme="minorEastAsia" w:hAnsiTheme="minorEastAsia"/>
          <w:sz w:val="24"/>
          <w:szCs w:val="24"/>
        </w:rPr>
        <w:t>按钮，弹出</w:t>
      </w:r>
      <w:r>
        <w:rPr>
          <w:rFonts w:hint="eastAsia" w:asciiTheme="minorEastAsia" w:hAnsiTheme="minorEastAsia"/>
          <w:sz w:val="24"/>
          <w:szCs w:val="24"/>
        </w:rPr>
        <w:t>增加角色</w:t>
      </w:r>
      <w:r>
        <w:rPr>
          <w:rFonts w:asciiTheme="minorEastAsia" w:hAnsiTheme="minorEastAsia"/>
          <w:sz w:val="24"/>
          <w:szCs w:val="24"/>
        </w:rPr>
        <w:t>页面</w:t>
      </w:r>
      <w:r>
        <w:rPr>
          <w:rFonts w:hint="eastAsia" w:asciiTheme="minorEastAsia" w:hAnsiTheme="minorEastAsia"/>
          <w:sz w:val="24"/>
          <w:szCs w:val="24"/>
        </w:rPr>
        <w:t>，页面内容包括：输入角色ID，角色名称，角色状态，角色权限，角色描述；</w:t>
      </w:r>
      <w:r>
        <w:rPr>
          <w:rFonts w:asciiTheme="minorEastAsia" w:hAnsiTheme="minorEastAsia"/>
          <w:sz w:val="24"/>
          <w:szCs w:val="24"/>
        </w:rPr>
        <w:t>点击</w:t>
      </w:r>
      <w:r>
        <w:rPr>
          <w:rFonts w:hint="eastAsia" w:asciiTheme="minorEastAsia" w:hAnsiTheme="minorEastAsia"/>
          <w:sz w:val="24"/>
          <w:szCs w:val="24"/>
        </w:rPr>
        <w:t>保存</w:t>
      </w:r>
      <w:r>
        <w:rPr>
          <w:rFonts w:asciiTheme="minorEastAsia" w:hAnsiTheme="minorEastAsia"/>
          <w:sz w:val="24"/>
          <w:szCs w:val="24"/>
        </w:rPr>
        <w:t>按钮</w:t>
      </w:r>
      <w:r>
        <w:rPr>
          <w:rFonts w:hint="eastAsia" w:asciiTheme="minorEastAsia" w:hAnsiTheme="minorEastAsia"/>
          <w:sz w:val="24"/>
          <w:szCs w:val="24"/>
        </w:rPr>
        <w:t>，增加角色成功。</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编辑角色功能需求：编辑角色时，先选择一个需要编辑的角色，点击“编辑角色”按钮，弹出编辑角色页面</w:t>
      </w:r>
      <w:r>
        <w:rPr>
          <w:rFonts w:asciiTheme="minorEastAsia" w:hAnsiTheme="minorEastAsia"/>
          <w:sz w:val="24"/>
          <w:szCs w:val="24"/>
        </w:rPr>
        <w:t>，</w:t>
      </w:r>
      <w:r>
        <w:rPr>
          <w:rFonts w:hint="eastAsia" w:asciiTheme="minorEastAsia" w:hAnsiTheme="minorEastAsia"/>
          <w:sz w:val="24"/>
          <w:szCs w:val="24"/>
        </w:rPr>
        <w:t>页面内容包括：修改角色名称、角色状态、角色权限，角色描述；</w:t>
      </w:r>
      <w:r>
        <w:rPr>
          <w:rFonts w:asciiTheme="minorEastAsia" w:hAnsiTheme="minorEastAsia"/>
          <w:sz w:val="24"/>
          <w:szCs w:val="24"/>
        </w:rPr>
        <w:t>点击</w:t>
      </w:r>
      <w:r>
        <w:rPr>
          <w:rFonts w:hint="eastAsia" w:asciiTheme="minorEastAsia" w:hAnsiTheme="minorEastAsia"/>
          <w:sz w:val="24"/>
          <w:szCs w:val="24"/>
        </w:rPr>
        <w:t>保存按钮</w:t>
      </w:r>
      <w:r>
        <w:rPr>
          <w:rFonts w:asciiTheme="minorEastAsia" w:hAnsiTheme="minorEastAsia"/>
          <w:sz w:val="24"/>
          <w:szCs w:val="24"/>
        </w:rPr>
        <w:t>，</w:t>
      </w:r>
      <w:r>
        <w:rPr>
          <w:rFonts w:hint="eastAsia" w:asciiTheme="minorEastAsia" w:hAnsiTheme="minorEastAsia"/>
          <w:sz w:val="24"/>
          <w:szCs w:val="24"/>
        </w:rPr>
        <w:t>编辑角色成功。一次只能选择一个角色对其进行编辑。</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删除角色功能需求：删除角色时，选择一个需要删除的角色，点击删除按钮，就可以对该角色进行删除。</w:t>
      </w:r>
    </w:p>
    <w:p>
      <w:pPr>
        <w:pStyle w:val="51"/>
        <w:numPr>
          <w:ilvl w:val="0"/>
          <w:numId w:val="31"/>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查询功能:选择，序号，角色名称，创建人员，创建日期，角色状态，角色描述；</w:t>
      </w:r>
    </w:p>
    <w:p>
      <w:pPr>
        <w:pStyle w:val="61"/>
        <w:spacing w:line="360" w:lineRule="auto"/>
        <w:ind w:firstLine="412"/>
        <w:rPr>
          <w:rFonts w:asciiTheme="minorEastAsia" w:hAnsiTheme="minorEastAsia" w:eastAsiaTheme="minorEastAsia"/>
          <w:sz w:val="21"/>
          <w:szCs w:val="21"/>
        </w:rPr>
      </w:pPr>
      <w:r>
        <w:rPr>
          <w:rFonts w:hint="eastAsia" w:asciiTheme="minorEastAsia" w:hAnsiTheme="minorEastAsia" w:eastAsiaTheme="minorEastAsia"/>
          <w:sz w:val="24"/>
          <w:szCs w:val="24"/>
        </w:rPr>
        <w:t>增加角色</w:t>
      </w:r>
      <w:r>
        <w:rPr>
          <w:rFonts w:asciiTheme="minorEastAsia" w:hAnsiTheme="minorEastAsia" w:eastAsiaTheme="minorEastAsia"/>
          <w:sz w:val="24"/>
          <w:szCs w:val="24"/>
        </w:rPr>
        <w:t>功能</w:t>
      </w:r>
      <w:r>
        <w:rPr>
          <w:rFonts w:hint="eastAsia" w:asciiTheme="minorEastAsia" w:hAnsiTheme="minorEastAsia" w:eastAsiaTheme="minorEastAsia"/>
          <w:sz w:val="24"/>
          <w:szCs w:val="24"/>
        </w:rPr>
        <w:t>：角色ID，角色名称，角色状态，权限信息，角色描述。</w:t>
      </w:r>
    </w:p>
    <w:p>
      <w:pPr>
        <w:pStyle w:val="6"/>
        <w:numPr>
          <w:ilvl w:val="4"/>
          <w:numId w:val="0"/>
        </w:numPr>
        <w:spacing w:before="0" w:after="0" w:line="360" w:lineRule="auto"/>
        <w:ind w:left="402" w:leftChars="0"/>
      </w:pPr>
      <w:bookmarkStart w:id="269" w:name="_Toc4363"/>
      <w:r>
        <w:rPr>
          <w:rFonts w:hint="eastAsia"/>
        </w:rPr>
        <w:t>1.1.2用户管理</w:t>
      </w:r>
      <w:bookmarkEnd w:id="269"/>
    </w:p>
    <w:p>
      <w:pPr>
        <w:pStyle w:val="51"/>
        <w:numPr>
          <w:ilvl w:val="0"/>
          <w:numId w:val="32"/>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用户管理功能用于管理员对其所属组织机构的用户进行管理。用户</w:t>
      </w:r>
      <w:r>
        <w:rPr>
          <w:rFonts w:asciiTheme="minorEastAsia" w:hAnsiTheme="minorEastAsia"/>
          <w:sz w:val="24"/>
          <w:szCs w:val="24"/>
        </w:rPr>
        <w:t>管理</w:t>
      </w:r>
      <w:r>
        <w:rPr>
          <w:rFonts w:hint="eastAsia" w:asciiTheme="minorEastAsia" w:hAnsiTheme="minorEastAsia"/>
          <w:sz w:val="24"/>
          <w:szCs w:val="24"/>
        </w:rPr>
        <w:t>，</w:t>
      </w:r>
      <w:r>
        <w:rPr>
          <w:rFonts w:asciiTheme="minorEastAsia" w:hAnsiTheme="minorEastAsia"/>
          <w:sz w:val="24"/>
          <w:szCs w:val="24"/>
        </w:rPr>
        <w:t>包括</w:t>
      </w:r>
      <w:r>
        <w:rPr>
          <w:rFonts w:hint="eastAsia" w:asciiTheme="minorEastAsia" w:hAnsiTheme="minorEastAsia"/>
          <w:sz w:val="24"/>
          <w:szCs w:val="24"/>
        </w:rPr>
        <w:t>查询</w:t>
      </w:r>
      <w:r>
        <w:rPr>
          <w:rFonts w:asciiTheme="minorEastAsia" w:hAnsiTheme="minorEastAsia"/>
          <w:sz w:val="24"/>
          <w:szCs w:val="24"/>
        </w:rPr>
        <w:t>、</w:t>
      </w:r>
      <w:r>
        <w:rPr>
          <w:rFonts w:hint="eastAsia" w:asciiTheme="minorEastAsia" w:hAnsiTheme="minorEastAsia"/>
          <w:sz w:val="24"/>
          <w:szCs w:val="24"/>
        </w:rPr>
        <w:t>增加、修改、删除、重置密码</w:t>
      </w:r>
      <w:r>
        <w:rPr>
          <w:rFonts w:asciiTheme="minorEastAsia" w:hAnsiTheme="minorEastAsia"/>
          <w:sz w:val="24"/>
          <w:szCs w:val="24"/>
        </w:rPr>
        <w:t>功能。</w:t>
      </w:r>
    </w:p>
    <w:p>
      <w:pPr>
        <w:pStyle w:val="51"/>
        <w:numPr>
          <w:ilvl w:val="0"/>
          <w:numId w:val="32"/>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用户管理查询条件：机构名称。对应的查询结果数据信息：序号，用户名称，员工姓名，角色，所属机构名称，权限机构名称。其中，组织机构是下拉列表,点击组织机构下拉列表后显示树形结构（登录人员所属组织机构以及所有下属组织机构形成的树形结构）。</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查询用户功能需求：根据组织机构查询本单位的全部用户</w:t>
      </w:r>
      <w:r>
        <w:rPr>
          <w:rFonts w:asciiTheme="minorEastAsia" w:hAnsiTheme="minorEastAsia" w:eastAsiaTheme="minorEastAsia"/>
          <w:sz w:val="24"/>
          <w:szCs w:val="24"/>
        </w:rPr>
        <w:t>，检索出的内容显示在</w:t>
      </w:r>
      <w:r>
        <w:rPr>
          <w:rFonts w:hint="eastAsia" w:asciiTheme="minorEastAsia" w:hAnsiTheme="minorEastAsia" w:eastAsiaTheme="minorEastAsia"/>
          <w:sz w:val="24"/>
          <w:szCs w:val="24"/>
        </w:rPr>
        <w:t>查询结果</w:t>
      </w:r>
      <w:r>
        <w:rPr>
          <w:rFonts w:asciiTheme="minorEastAsia" w:hAnsiTheme="minorEastAsia" w:eastAsiaTheme="minorEastAsia"/>
          <w:sz w:val="24"/>
          <w:szCs w:val="24"/>
        </w:rPr>
        <w:t>区</w:t>
      </w:r>
      <w:r>
        <w:rPr>
          <w:rFonts w:hint="eastAsia" w:asciiTheme="minorEastAsia" w:hAnsiTheme="minorEastAsia" w:eastAsiaTheme="minorEastAsia"/>
          <w:sz w:val="24"/>
          <w:szCs w:val="24"/>
        </w:rPr>
        <w:t>。</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增加用户功能需求：增加用户时，需要从人员管理中选择所属部门与登录用户的权限组织机构相同的人员。并对其设定系统中唯一的用户ID号，并录入用户名称，再设置权限组织机构，分配角色。</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修改用户功能需求：除不能修改用户ID外，其它数据项都可修改。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删除用户功能需求：除系统超级用户不能删除外，其他用户都可删除，删除用户时，需同时删除用户角色关系。</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重置密码功能需求：当某个用户忘记已设置的密码，可以由管理员为用户初始化密码。选择该用户，点击重置密码，则密码恢复为初始密码“123456”。</w:t>
      </w:r>
    </w:p>
    <w:p>
      <w:pPr>
        <w:pStyle w:val="51"/>
        <w:numPr>
          <w:ilvl w:val="0"/>
          <w:numId w:val="32"/>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1"/>
          <w:szCs w:val="21"/>
        </w:rPr>
      </w:pPr>
      <w:r>
        <w:rPr>
          <w:rFonts w:hint="eastAsia" w:asciiTheme="minorEastAsia" w:hAnsiTheme="minorEastAsia" w:eastAsiaTheme="minorEastAsia"/>
          <w:sz w:val="24"/>
          <w:szCs w:val="24"/>
        </w:rPr>
        <w:t>序号，用户名称，员工姓名，操作人员ID号码，角色，所属机构名称，权限机构名称，启用标志，角色。</w:t>
      </w:r>
    </w:p>
    <w:p>
      <w:pPr>
        <w:pStyle w:val="6"/>
        <w:numPr>
          <w:ilvl w:val="4"/>
          <w:numId w:val="0"/>
        </w:numPr>
        <w:spacing w:before="0" w:after="0" w:line="360" w:lineRule="auto"/>
        <w:ind w:left="402" w:leftChars="0"/>
      </w:pPr>
      <w:bookmarkStart w:id="270" w:name="_Toc6409"/>
      <w:r>
        <w:rPr>
          <w:rFonts w:hint="eastAsia"/>
        </w:rPr>
        <w:t>1.1.3密码管理</w:t>
      </w:r>
      <w:bookmarkEnd w:id="270"/>
    </w:p>
    <w:p>
      <w:pPr>
        <w:pStyle w:val="51"/>
        <w:numPr>
          <w:ilvl w:val="0"/>
          <w:numId w:val="33"/>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密码管理功能用于用户修改系统登录密码。</w:t>
      </w:r>
    </w:p>
    <w:p>
      <w:pPr>
        <w:pStyle w:val="51"/>
        <w:numPr>
          <w:ilvl w:val="0"/>
          <w:numId w:val="33"/>
        </w:numPr>
        <w:spacing w:line="360" w:lineRule="auto"/>
        <w:ind w:firstLineChars="0"/>
        <w:rPr>
          <w:rFonts w:asciiTheme="minorEastAsia" w:hAnsiTheme="minorEastAsia" w:eastAsiaTheme="minorEastAsia"/>
          <w:sz w:val="24"/>
          <w:szCs w:val="24"/>
        </w:rPr>
      </w:pPr>
      <w:r>
        <w:rPr>
          <w:rFonts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界面主要包括旧密码输入框，新密码输入框，确认密码输入框，并实现对旧密码的后台校验，以及对新密码输入框和确认密码输入框输入一致性的检查。</w:t>
      </w:r>
    </w:p>
    <w:p>
      <w:pPr>
        <w:pStyle w:val="51"/>
        <w:numPr>
          <w:ilvl w:val="0"/>
          <w:numId w:val="33"/>
        </w:numPr>
        <w:spacing w:line="360" w:lineRule="auto"/>
        <w:ind w:firstLineChars="0"/>
        <w:rPr>
          <w:rFonts w:asciiTheme="minorEastAsia" w:hAnsiTheme="minorEastAsia" w:eastAsiaTheme="minorEastAsia"/>
          <w:sz w:val="24"/>
          <w:szCs w:val="24"/>
        </w:rPr>
      </w:pPr>
      <w:r>
        <w:rPr>
          <w:rFonts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数据项包括：旧密码，新密码，确认密码。</w:t>
      </w:r>
    </w:p>
    <w:p>
      <w:pPr>
        <w:pStyle w:val="6"/>
        <w:numPr>
          <w:ilvl w:val="4"/>
          <w:numId w:val="0"/>
        </w:numPr>
        <w:spacing w:before="0" w:after="0" w:line="360" w:lineRule="auto"/>
        <w:ind w:left="402" w:leftChars="0"/>
      </w:pPr>
      <w:bookmarkStart w:id="271" w:name="_Toc11233"/>
      <w:r>
        <w:rPr>
          <w:rFonts w:hint="eastAsia"/>
        </w:rPr>
        <w:t>1.1.4参数设置</w:t>
      </w:r>
      <w:bookmarkEnd w:id="271"/>
    </w:p>
    <w:p>
      <w:pPr>
        <w:pStyle w:val="51"/>
        <w:numPr>
          <w:ilvl w:val="0"/>
          <w:numId w:val="34"/>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系统参数设置功能用于设置系统基本参数（如翻页时每页显示的条数、导出路径等），发票预警设置、网络部署方式设置</w:t>
      </w:r>
      <w:r>
        <w:rPr>
          <w:rFonts w:asciiTheme="minorEastAsia" w:hAnsiTheme="minorEastAsia"/>
          <w:sz w:val="24"/>
          <w:szCs w:val="24"/>
        </w:rPr>
        <w:t>。</w:t>
      </w:r>
    </w:p>
    <w:p>
      <w:pPr>
        <w:pStyle w:val="51"/>
        <w:numPr>
          <w:ilvl w:val="0"/>
          <w:numId w:val="34"/>
        </w:numPr>
        <w:spacing w:line="360" w:lineRule="auto"/>
        <w:ind w:firstLineChars="0"/>
        <w:rPr>
          <w:rFonts w:asciiTheme="minorEastAsia" w:hAnsiTheme="minorEastAsia" w:eastAsiaTheme="minorEastAsia"/>
          <w:sz w:val="24"/>
          <w:szCs w:val="24"/>
        </w:rPr>
      </w:pPr>
      <w:r>
        <w:rPr>
          <w:rFonts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界面内容包括系统基础设置，网络部署设置，其他设置等部分组成，系统基础设置：每页显示的数据条数；网络部署设置：部署方式（内网，外网）；其他设置：红字发票申请单版本（旧版，新版）。</w:t>
      </w:r>
    </w:p>
    <w:p>
      <w:pPr>
        <w:pStyle w:val="51"/>
        <w:numPr>
          <w:ilvl w:val="0"/>
          <w:numId w:val="34"/>
        </w:numPr>
        <w:spacing w:line="360" w:lineRule="auto"/>
        <w:ind w:firstLineChars="0"/>
        <w:rPr>
          <w:rFonts w:asciiTheme="minorEastAsia" w:hAnsiTheme="minorEastAsia" w:eastAsiaTheme="minorEastAsia"/>
          <w:sz w:val="24"/>
          <w:szCs w:val="24"/>
        </w:rPr>
      </w:pPr>
      <w:r>
        <w:rPr>
          <w:rFonts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无。</w:t>
      </w:r>
    </w:p>
    <w:p>
      <w:pPr>
        <w:pStyle w:val="6"/>
        <w:numPr>
          <w:ilvl w:val="4"/>
          <w:numId w:val="0"/>
        </w:numPr>
        <w:spacing w:before="0" w:after="0" w:line="360" w:lineRule="auto"/>
        <w:ind w:left="402" w:leftChars="0"/>
      </w:pPr>
      <w:bookmarkStart w:id="272" w:name="_Toc11087"/>
      <w:r>
        <w:rPr>
          <w:rFonts w:hint="eastAsia"/>
        </w:rPr>
        <w:t>1.1.5外网管理</w:t>
      </w:r>
      <w:bookmarkEnd w:id="272"/>
    </w:p>
    <w:p>
      <w:pPr>
        <w:pStyle w:val="51"/>
        <w:numPr>
          <w:ilvl w:val="0"/>
          <w:numId w:val="35"/>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用于维护系统中使用的外网IP设置</w:t>
      </w:r>
      <w:r>
        <w:rPr>
          <w:rFonts w:asciiTheme="minorEastAsia" w:hAnsiTheme="minorEastAsia"/>
          <w:sz w:val="24"/>
          <w:szCs w:val="24"/>
        </w:rPr>
        <w:t>。</w:t>
      </w:r>
    </w:p>
    <w:p>
      <w:pPr>
        <w:pStyle w:val="51"/>
        <w:numPr>
          <w:ilvl w:val="0"/>
          <w:numId w:val="35"/>
        </w:numPr>
        <w:spacing w:line="360" w:lineRule="auto"/>
        <w:ind w:firstLineChars="0"/>
        <w:rPr>
          <w:rFonts w:asciiTheme="minorEastAsia" w:hAnsiTheme="minorEastAsia" w:eastAsiaTheme="minorEastAsia"/>
          <w:sz w:val="24"/>
          <w:szCs w:val="24"/>
        </w:rPr>
      </w:pPr>
      <w:r>
        <w:rPr>
          <w:rFonts w:asciiTheme="minorEastAsia" w:hAnsiTheme="minorEastAsia" w:eastAsiaTheme="minorEastAsia"/>
          <w:sz w:val="24"/>
          <w:szCs w:val="24"/>
        </w:rPr>
        <w:t>实现需求</w:t>
      </w:r>
    </w:p>
    <w:p>
      <w:pPr>
        <w:pStyle w:val="61"/>
        <w:spacing w:line="360" w:lineRule="auto"/>
        <w:ind w:firstLine="42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可选择一个</w:t>
      </w:r>
      <w:r>
        <w:rPr>
          <w:rFonts w:hint="eastAsia" w:asciiTheme="minorEastAsia" w:hAnsiTheme="minorEastAsia" w:eastAsiaTheme="minorEastAsia"/>
          <w:sz w:val="24"/>
          <w:szCs w:val="24"/>
          <w:lang w:val="en-US" w:eastAsia="zh-CN"/>
        </w:rPr>
        <w:t>分公司</w:t>
      </w:r>
      <w:r>
        <w:rPr>
          <w:rFonts w:hint="eastAsia" w:asciiTheme="minorEastAsia" w:hAnsiTheme="minorEastAsia" w:eastAsiaTheme="minorEastAsia"/>
          <w:sz w:val="24"/>
          <w:szCs w:val="24"/>
        </w:rPr>
        <w:t>，并设置其外网IP地址和端口。其中，组织机构的选择需要下拉列表,显示</w:t>
      </w:r>
      <w:r>
        <w:rPr>
          <w:rFonts w:hint="eastAsia" w:asciiTheme="minorEastAsia" w:hAnsiTheme="minorEastAsia" w:eastAsiaTheme="minorEastAsia"/>
          <w:sz w:val="24"/>
          <w:szCs w:val="24"/>
          <w:lang w:val="en-US" w:eastAsia="zh-CN"/>
        </w:rPr>
        <w:t>分公司</w:t>
      </w:r>
      <w:r>
        <w:rPr>
          <w:rFonts w:hint="eastAsia" w:asciiTheme="minorEastAsia" w:hAnsiTheme="minorEastAsia" w:eastAsiaTheme="minorEastAsia"/>
          <w:sz w:val="24"/>
          <w:szCs w:val="24"/>
        </w:rPr>
        <w:t>级组织机构的名称。外网IP地址和端口的选择也是通过下拉列表，读取系统中的外网IP地址代码表，从中选择当地</w:t>
      </w:r>
      <w:r>
        <w:rPr>
          <w:rFonts w:hint="eastAsia" w:asciiTheme="minorEastAsia" w:hAnsiTheme="minorEastAsia" w:eastAsiaTheme="minorEastAsia"/>
          <w:sz w:val="24"/>
          <w:szCs w:val="24"/>
          <w:lang w:val="en-US" w:eastAsia="zh-CN"/>
        </w:rPr>
        <w:t>分公司</w:t>
      </w:r>
      <w:r>
        <w:rPr>
          <w:rFonts w:hint="eastAsia" w:asciiTheme="minorEastAsia" w:hAnsiTheme="minorEastAsia" w:eastAsiaTheme="minorEastAsia"/>
          <w:sz w:val="24"/>
          <w:szCs w:val="24"/>
        </w:rPr>
        <w:t>的外网IP地址。操作功能有：增加，修改，删除。</w:t>
      </w:r>
    </w:p>
    <w:p>
      <w:pPr>
        <w:pStyle w:val="51"/>
        <w:numPr>
          <w:ilvl w:val="0"/>
          <w:numId w:val="35"/>
        </w:numPr>
        <w:spacing w:line="360" w:lineRule="auto"/>
        <w:ind w:firstLineChars="0"/>
        <w:rPr>
          <w:rFonts w:asciiTheme="minorEastAsia" w:hAnsiTheme="minorEastAsia" w:eastAsiaTheme="minorEastAsia"/>
          <w:sz w:val="24"/>
          <w:szCs w:val="24"/>
        </w:rPr>
      </w:pPr>
      <w:r>
        <w:rPr>
          <w:rFonts w:asciiTheme="minorEastAsia" w:hAnsiTheme="minorEastAsia" w:eastAsiaTheme="minorEastAsia"/>
          <w:sz w:val="24"/>
          <w:szCs w:val="24"/>
        </w:rPr>
        <w:t>主要数据项</w:t>
      </w:r>
    </w:p>
    <w:p>
      <w:pPr>
        <w:pStyle w:val="61"/>
        <w:spacing w:line="360" w:lineRule="auto"/>
        <w:ind w:firstLine="42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序号，</w:t>
      </w:r>
      <w:r>
        <w:rPr>
          <w:rFonts w:hint="eastAsia" w:asciiTheme="minorEastAsia" w:hAnsiTheme="minorEastAsia" w:eastAsiaTheme="minorEastAsia"/>
          <w:sz w:val="24"/>
          <w:szCs w:val="24"/>
          <w:lang w:val="en-US" w:eastAsia="zh-CN"/>
        </w:rPr>
        <w:t>分公司</w:t>
      </w:r>
      <w:r>
        <w:rPr>
          <w:rFonts w:hint="eastAsia" w:asciiTheme="minorEastAsia" w:hAnsiTheme="minorEastAsia" w:eastAsiaTheme="minorEastAsia"/>
          <w:sz w:val="24"/>
          <w:szCs w:val="24"/>
        </w:rPr>
        <w:t>，外网地址描述，外网地址，外网端口。</w:t>
      </w:r>
    </w:p>
    <w:p>
      <w:pPr>
        <w:pStyle w:val="6"/>
        <w:numPr>
          <w:ilvl w:val="4"/>
          <w:numId w:val="0"/>
        </w:numPr>
        <w:spacing w:before="0" w:after="0" w:line="360" w:lineRule="auto"/>
        <w:ind w:left="402" w:leftChars="0"/>
      </w:pPr>
      <w:bookmarkStart w:id="273" w:name="_Toc7122"/>
      <w:r>
        <w:rPr>
          <w:rFonts w:hint="eastAsia"/>
        </w:rPr>
        <w:t>1.1.6销方属性</w:t>
      </w:r>
      <w:bookmarkEnd w:id="273"/>
    </w:p>
    <w:p>
      <w:pPr>
        <w:pStyle w:val="51"/>
        <w:numPr>
          <w:ilvl w:val="0"/>
          <w:numId w:val="36"/>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销方属性功能主要用于对总机构及分支机构的申报属性进行设置，便于在总机构及分支机构进行填写报表（包括申报表，传递单，清算表）时，读取相应的属性进行初始化。</w:t>
      </w:r>
    </w:p>
    <w:p>
      <w:pPr>
        <w:pStyle w:val="51"/>
        <w:numPr>
          <w:ilvl w:val="0"/>
          <w:numId w:val="36"/>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pStyle w:val="61"/>
        <w:spacing w:line="360" w:lineRule="auto"/>
        <w:ind w:firstLine="42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销方属性模块界面主要是对属性的有效期，汇总缴纳标志，属地缴纳标志，倒扎属性，分摊比例（总机构和分支机构），总机构（汇总传递单，清算表，汇总申报表，属地申报表）的状态，是否自动汇总，申报期限（月报，季报，年报），分支机构（传递单，清算表，汇总申报表，属地申报表）的状态，预征率，申报期限（月报，季报，年报）等属性进行设置，且只有总机构才可以进行填写，每个总机构一条属性数据，下属的分支机构要读取所属总机构设置的上述属性。</w:t>
      </w:r>
    </w:p>
    <w:p>
      <w:pPr>
        <w:pStyle w:val="51"/>
        <w:numPr>
          <w:ilvl w:val="0"/>
          <w:numId w:val="36"/>
        </w:numPr>
        <w:spacing w:line="360" w:lineRule="auto"/>
        <w:ind w:firstLineChars="0"/>
        <w:rPr>
          <w:rFonts w:asciiTheme="minorEastAsia" w:hAnsiTheme="minorEastAsia" w:eastAsiaTheme="minorEastAsia"/>
          <w:sz w:val="24"/>
          <w:szCs w:val="24"/>
        </w:rPr>
      </w:pPr>
      <w:r>
        <w:rPr>
          <w:rFonts w:asciiTheme="minorEastAsia" w:hAnsiTheme="minorEastAsia" w:eastAsiaTheme="minorEastAsia"/>
          <w:sz w:val="24"/>
          <w:szCs w:val="24"/>
        </w:rPr>
        <w:t>主要数据项</w:t>
      </w:r>
    </w:p>
    <w:p>
      <w:pPr>
        <w:pStyle w:val="61"/>
        <w:spacing w:line="360" w:lineRule="auto"/>
        <w:ind w:firstLine="42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查询结果数据项：序号，销方税号，销方名称，属性类别，有效日期起，有效日期止，预征率，汇总缴纳标志，属地缴纳标志，有效标志。</w:t>
      </w:r>
    </w:p>
    <w:p>
      <w:pPr>
        <w:pStyle w:val="5"/>
        <w:numPr>
          <w:ilvl w:val="3"/>
          <w:numId w:val="0"/>
        </w:numPr>
        <w:spacing w:before="0" w:after="0" w:line="360" w:lineRule="auto"/>
        <w:ind w:left="402" w:leftChars="0"/>
      </w:pPr>
      <w:bookmarkStart w:id="274" w:name="_Toc31183"/>
      <w:r>
        <w:rPr>
          <w:rFonts w:hint="eastAsia"/>
        </w:rPr>
        <w:t>1.2 编码管理</w:t>
      </w:r>
      <w:bookmarkEnd w:id="274"/>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编码管理包括：发票类型，商品编码，税目编码，销方管理，购方管理，人员管理，机构管理。</w:t>
      </w:r>
    </w:p>
    <w:p>
      <w:pPr>
        <w:pStyle w:val="6"/>
        <w:numPr>
          <w:ilvl w:val="4"/>
          <w:numId w:val="0"/>
        </w:numPr>
        <w:spacing w:before="0" w:after="0" w:line="360" w:lineRule="auto"/>
        <w:ind w:left="402" w:leftChars="0"/>
      </w:pPr>
      <w:bookmarkStart w:id="275" w:name="_Toc7544"/>
      <w:r>
        <w:rPr>
          <w:rFonts w:hint="eastAsia"/>
        </w:rPr>
        <w:t>1.2.1机构管理</w:t>
      </w:r>
      <w:bookmarkEnd w:id="275"/>
    </w:p>
    <w:p>
      <w:pPr>
        <w:pStyle w:val="51"/>
        <w:numPr>
          <w:ilvl w:val="0"/>
          <w:numId w:val="37"/>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0"/>
        <w:rPr>
          <w:rFonts w:asciiTheme="minorEastAsia" w:hAnsiTheme="minorEastAsia"/>
          <w:color w:val="000000"/>
          <w:sz w:val="24"/>
          <w:szCs w:val="24"/>
        </w:rPr>
      </w:pPr>
      <w:r>
        <w:rPr>
          <w:rFonts w:hint="eastAsia" w:asciiTheme="minorEastAsia" w:hAnsiTheme="minorEastAsia"/>
          <w:color w:val="000000"/>
          <w:sz w:val="24"/>
          <w:szCs w:val="24"/>
        </w:rPr>
        <w:t>用于对系统中的所有机构信息进行维护，操作内容包括查询、增加、修改、删除等。</w:t>
      </w:r>
    </w:p>
    <w:p>
      <w:pPr>
        <w:pStyle w:val="51"/>
        <w:numPr>
          <w:ilvl w:val="0"/>
          <w:numId w:val="37"/>
        </w:numPr>
        <w:spacing w:line="360" w:lineRule="auto"/>
        <w:ind w:firstLineChars="0"/>
        <w:rPr>
          <w:rFonts w:asciiTheme="minorEastAsia" w:hAnsiTheme="minorEastAsia" w:eastAsiaTheme="minorEastAsia"/>
          <w:sz w:val="24"/>
          <w:szCs w:val="24"/>
        </w:rPr>
      </w:pPr>
      <w:r>
        <w:rPr>
          <w:rFonts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界面查询条件：机构名称；查询结果区内容包括：序号，机构代码，机构名称，纳税人识别号（只有企业性质的组织机构才会有该项数据，其他性质的机构可以为空），机构电话，机构负责人，级次，上级机构代码，上级机构名称，开票标志，有效标志，备注。</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增加机构功能需求：需要增加机构时，点击增加按钮，进入增加机构界面，界面内容包括：机构代码，机构名称，纳税人识别号（只有企业性质的才会有该字段，其他组织机构为空），上级机构名称，上级机构代码（选择上级机构名称后自动带出上级机构代码），机构电话，机构负责人，开票标志（默认不开票），有效标志（默认有效），备注。其中机构代码与机构名称是一一对应关系；录入机构信息后并保存，就增加了一个机构。</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修改机构功能需求：当需要对某个机构进行修改时，选择该机构，点击修改按钮，进入修改机构界面，界面内容包括：机构代码，机构名称，纳税人识别号（只有企业性质的才会有该字段，其他机构可以为空），上级机构名称，级次，上级机构代码（选择上级机构名称后自动带出上级机构代码），有效标志，开票标志，备注；修改企业信息后并保存，就对该机构进行了修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删除机构功能需求：当需求删除某个机构时，选择该机构，点击删除按钮，就可以对该机构进行删除。</w:t>
      </w:r>
    </w:p>
    <w:p>
      <w:pPr>
        <w:pStyle w:val="51"/>
        <w:numPr>
          <w:ilvl w:val="0"/>
          <w:numId w:val="37"/>
        </w:numPr>
        <w:spacing w:line="360" w:lineRule="auto"/>
        <w:ind w:firstLineChars="0"/>
        <w:rPr>
          <w:rFonts w:asciiTheme="minorEastAsia" w:hAnsiTheme="minorEastAsia" w:eastAsiaTheme="minorEastAsia"/>
          <w:sz w:val="24"/>
          <w:szCs w:val="24"/>
        </w:rPr>
      </w:pPr>
      <w:r>
        <w:rPr>
          <w:rFonts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查询结果数据项:序号，机构名称，机构级次，纳税人识别号（只有企业性质的才会有该字段，其他机构可以为空），机构电话，机构代码，级次，上级机构代码，上级机构名称，有效标志，开票标志，备注。</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增加机构数据项：序号，机构代码，机构代码，机构名称，纳税人识别号（只有企业性质的才会有该字段，其他机构可以为空），机构电话，机构负责人，级次，上级机构代码，上级机构名称，开票标志，有效标志，备注。</w:t>
      </w:r>
    </w:p>
    <w:p>
      <w:pPr>
        <w:pStyle w:val="61"/>
        <w:spacing w:line="360" w:lineRule="auto"/>
        <w:ind w:firstLine="412"/>
        <w:rPr>
          <w:rFonts w:asciiTheme="minorEastAsia" w:hAnsiTheme="minorEastAsia" w:eastAsiaTheme="minorEastAsia"/>
          <w:sz w:val="21"/>
          <w:szCs w:val="21"/>
        </w:rPr>
      </w:pPr>
      <w:r>
        <w:rPr>
          <w:rFonts w:hint="eastAsia" w:asciiTheme="minorEastAsia" w:hAnsiTheme="minorEastAsia" w:eastAsiaTheme="minorEastAsia"/>
          <w:sz w:val="24"/>
          <w:szCs w:val="24"/>
        </w:rPr>
        <w:t>修改机构数据项：序号，机构代码，机构名称，纳税人识别号（只有企业性质的才会有该字段，其他机构可以为空），机构电话，机构负责人，级次，上级机构代码，上级机构名称，开票标志，有效标志，备注。</w:t>
      </w:r>
    </w:p>
    <w:p>
      <w:pPr>
        <w:pStyle w:val="6"/>
        <w:numPr>
          <w:ilvl w:val="4"/>
          <w:numId w:val="0"/>
        </w:numPr>
        <w:spacing w:before="0" w:after="0" w:line="360" w:lineRule="auto"/>
        <w:ind w:left="402" w:leftChars="0"/>
      </w:pPr>
      <w:bookmarkStart w:id="276" w:name="_Toc21775"/>
      <w:r>
        <w:rPr>
          <w:rFonts w:hint="eastAsia"/>
        </w:rPr>
        <w:t>1.2.2人员管理</w:t>
      </w:r>
      <w:bookmarkEnd w:id="276"/>
    </w:p>
    <w:p>
      <w:pPr>
        <w:pStyle w:val="51"/>
        <w:numPr>
          <w:ilvl w:val="0"/>
          <w:numId w:val="38"/>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0"/>
        <w:rPr>
          <w:rFonts w:asciiTheme="minorEastAsia" w:hAnsiTheme="minorEastAsia"/>
          <w:color w:val="000000"/>
          <w:sz w:val="24"/>
          <w:szCs w:val="24"/>
        </w:rPr>
      </w:pPr>
      <w:r>
        <w:rPr>
          <w:rFonts w:hint="eastAsia" w:asciiTheme="minorEastAsia" w:hAnsiTheme="minorEastAsia"/>
          <w:color w:val="000000"/>
          <w:sz w:val="24"/>
          <w:szCs w:val="24"/>
        </w:rPr>
        <w:t>用于对系统的集团员工进行管理，新建登录用户时，需要从人员管理中选择纳入管理的人员,一个人员可以建多个登录用户,每个人员有自己的所属部门,人员的数据权限由权限机构决定,新增、修改和查询功能。</w:t>
      </w:r>
    </w:p>
    <w:p>
      <w:pPr>
        <w:pStyle w:val="51"/>
        <w:numPr>
          <w:ilvl w:val="0"/>
          <w:numId w:val="38"/>
        </w:numPr>
        <w:spacing w:line="360" w:lineRule="auto"/>
        <w:ind w:firstLineChars="0"/>
        <w:rPr>
          <w:rFonts w:asciiTheme="minorEastAsia" w:hAnsiTheme="minorEastAsia" w:eastAsiaTheme="minorEastAsia"/>
          <w:sz w:val="24"/>
          <w:szCs w:val="24"/>
        </w:rPr>
      </w:pPr>
      <w:r>
        <w:rPr>
          <w:rFonts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用户可通过增加功能，手工录入人员信息。需录入的数据项：操作人员ID号码，员工姓名，所属机构，有效证件号码，岗位名称，职位名称，电话，电子邮箱，备注。其中所属机构是下拉列表，点击下拉列表展示机构名称（本级以及所有下级）的树状图，选择机构名称。操作人员ID号码是唯一编码，不可重复，员工姓名可重复。增加人员信息时，默认有效标志为：有效。</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人员信息时，设置查询条件：操作人员ID号码，员工姓名，所属机构，有效标志。其中所属机构是下拉列表，点击下拉列表展示机构名称的树状图。查询结果数据项：序号，操作人员ID号码，员工姓名，所属机构，有效证件号码，岗位名称，职位名称，电话，电子邮箱，有效标志，备注。在查询结果集中，用户可选择人员，对人员进行修改操作，修改人员时，如果某个人员暂时不使用，则将其有效标志更改为无效。</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操作功能有：查询，增加，修改。</w:t>
      </w:r>
    </w:p>
    <w:p>
      <w:pPr>
        <w:pStyle w:val="51"/>
        <w:numPr>
          <w:ilvl w:val="0"/>
          <w:numId w:val="38"/>
        </w:numPr>
        <w:spacing w:line="360" w:lineRule="auto"/>
        <w:ind w:firstLineChars="0"/>
        <w:rPr>
          <w:rFonts w:asciiTheme="minorEastAsia" w:hAnsiTheme="minorEastAsia" w:eastAsiaTheme="minorEastAsia"/>
          <w:sz w:val="24"/>
          <w:szCs w:val="24"/>
        </w:rPr>
      </w:pPr>
      <w:r>
        <w:rPr>
          <w:rFonts w:asciiTheme="minorEastAsia" w:hAnsiTheme="minorEastAsia" w:eastAsiaTheme="minorEastAsia"/>
          <w:sz w:val="24"/>
          <w:szCs w:val="24"/>
        </w:rPr>
        <w:t>主要数据项</w:t>
      </w:r>
    </w:p>
    <w:p>
      <w:pPr>
        <w:pStyle w:val="61"/>
        <w:spacing w:line="360" w:lineRule="auto"/>
        <w:ind w:firstLine="420" w:firstLineChars="0"/>
        <w:rPr>
          <w:rFonts w:asciiTheme="minorEastAsia" w:hAnsiTheme="minorEastAsia" w:eastAsiaTheme="minorEastAsia"/>
          <w:sz w:val="21"/>
          <w:szCs w:val="21"/>
        </w:rPr>
      </w:pPr>
      <w:r>
        <w:rPr>
          <w:rFonts w:hint="eastAsia" w:asciiTheme="minorEastAsia" w:hAnsiTheme="minorEastAsia" w:eastAsiaTheme="minorEastAsia"/>
          <w:sz w:val="24"/>
          <w:szCs w:val="24"/>
        </w:rPr>
        <w:t>序号，操作人员ID号码，员工姓名，所属机构，有效证件号码，岗位名称，职位名称，电话，电子邮箱，有效标志，备注。</w:t>
      </w:r>
    </w:p>
    <w:p>
      <w:pPr>
        <w:pStyle w:val="6"/>
        <w:numPr>
          <w:ilvl w:val="4"/>
          <w:numId w:val="0"/>
        </w:numPr>
        <w:spacing w:before="0" w:after="0" w:line="360" w:lineRule="auto"/>
        <w:ind w:left="402" w:leftChars="0"/>
      </w:pPr>
      <w:bookmarkStart w:id="277" w:name="_Toc29770"/>
      <w:r>
        <w:rPr>
          <w:rFonts w:hint="eastAsia"/>
        </w:rPr>
        <w:t>1.2.3</w:t>
      </w:r>
      <w:r>
        <w:t>商品编码</w:t>
      </w:r>
      <w:bookmarkEnd w:id="277"/>
    </w:p>
    <w:p>
      <w:pPr>
        <w:pStyle w:val="51"/>
        <w:numPr>
          <w:ilvl w:val="0"/>
          <w:numId w:val="39"/>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0"/>
        <w:rPr>
          <w:rFonts w:asciiTheme="minorEastAsia" w:hAnsiTheme="minorEastAsia"/>
          <w:color w:val="000000"/>
          <w:sz w:val="24"/>
          <w:szCs w:val="24"/>
        </w:rPr>
      </w:pPr>
      <w:r>
        <w:rPr>
          <w:rFonts w:hint="eastAsia" w:asciiTheme="minorEastAsia" w:hAnsiTheme="minorEastAsia"/>
          <w:color w:val="000000"/>
          <w:sz w:val="24"/>
          <w:szCs w:val="24"/>
        </w:rPr>
        <w:t>商品编码功能用于管理企业所销售的商品信息，实现对商品编码信息的维护，包括增加、修改、删除、查询。填开发票时，“商品信息”可以从已维护的商品编码库中选取</w:t>
      </w:r>
      <w:r>
        <w:rPr>
          <w:rFonts w:asciiTheme="minorEastAsia" w:hAnsiTheme="minorEastAsia"/>
          <w:color w:val="000000"/>
          <w:sz w:val="24"/>
          <w:szCs w:val="24"/>
        </w:rPr>
        <w:t>。</w:t>
      </w:r>
    </w:p>
    <w:p>
      <w:pPr>
        <w:pStyle w:val="51"/>
        <w:numPr>
          <w:ilvl w:val="0"/>
          <w:numId w:val="39"/>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界面内容包括：商品编码查询条件（商品名称，商品税目，税率，税务属性），商品编码查询结果信息（序号，商品编码，简码，商品名称，规格型号，计量单位，商品税目，税率，单价，含税价标志，税务属性（属地申报、汇总申报），所属销方税号，所属销方名称，所属组织机构编号，所属机构名称，录入人员，使用级别（即：可允许使用的组织机构最高级别，这个级别下的组织机构都可使用这个编码。），商品编码的增加，修改，删除，导入，导出，查询功能按钮。</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增加商品编码功能需求：点击增加商品编码按钮，进入商品编码增加界面，界面内容包括：商品编码，商品名称，简码，规格型号，计量单位，商品税目，税率，单价，含税价标志，税务属性，所属销方税号，所属销方名称，所属组织机构编号，所属机构名称，录入人员，使用级别；录入信息并保存后，增加一条商品编码信息。</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修改商品编码功能需求：选择一条商品编码信息，点击修改按钮，进入商品编码修改界面，界面内容包括：商品编码，商品名称，简码，规格型号，计量单位，商品税目，税率，单价，含税价标志，所属销方税号，税务属性，所属销方名称，所属组织机构编号，所属机构名称，录入人员，使用级别；修改信息并保存后，修改了商品编码信息。</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删除商品编码功能需求：选择一条商品编码，点击删除按钮，可以对该条商品编码信息进行删除。</w:t>
      </w:r>
    </w:p>
    <w:p>
      <w:pPr>
        <w:pStyle w:val="51"/>
        <w:numPr>
          <w:ilvl w:val="0"/>
          <w:numId w:val="39"/>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数据信息数据项:商品编码，简码，商品名称，规格型号，计量单位，商品税目，税率，单价，含税价标志，税务属性，所属销方税号，所属销方名称，所属组织机构编号，所属机构名称，录入人员，使用级别。</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增加商品编码数据项：商品编码，商品名称，简码，规格型号，计量单位，商品税目，税率，单价，含税价标志，税务属性，所属销方税号，所属销方名称，所属组织机构编号，所属机构名称，录入人员，使用级别。</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修改商品编码数据项：商品编码，商品名称，简码，规格型号，计量单位，商品税目，税率，单价，含税价标志，税务属性，所属销方税号，所属销方名称，所属组织机构编号，所属机构名称，录入人员，使用级别。</w:t>
      </w:r>
    </w:p>
    <w:p>
      <w:pPr>
        <w:pStyle w:val="6"/>
        <w:numPr>
          <w:ilvl w:val="4"/>
          <w:numId w:val="0"/>
        </w:numPr>
        <w:spacing w:before="0" w:after="0" w:line="360" w:lineRule="auto"/>
        <w:ind w:left="402" w:leftChars="0"/>
      </w:pPr>
      <w:bookmarkStart w:id="278" w:name="_Toc31621"/>
      <w:r>
        <w:rPr>
          <w:rFonts w:hint="eastAsia"/>
        </w:rPr>
        <w:t>1.2.4</w:t>
      </w:r>
      <w:r>
        <w:t>税目编码</w:t>
      </w:r>
      <w:bookmarkEnd w:id="278"/>
    </w:p>
    <w:p>
      <w:pPr>
        <w:pStyle w:val="51"/>
        <w:numPr>
          <w:ilvl w:val="0"/>
          <w:numId w:val="40"/>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adjustRightInd w:val="0"/>
        <w:snapToGrid w:val="0"/>
        <w:spacing w:line="360" w:lineRule="auto"/>
        <w:ind w:firstLine="420"/>
        <w:rPr>
          <w:rFonts w:asciiTheme="minorEastAsia" w:hAnsiTheme="minorEastAsia"/>
          <w:snapToGrid w:val="0"/>
          <w:color w:val="000000"/>
          <w:sz w:val="24"/>
          <w:szCs w:val="24"/>
        </w:rPr>
      </w:pPr>
      <w:r>
        <w:rPr>
          <w:rFonts w:hint="eastAsia" w:asciiTheme="minorEastAsia" w:hAnsiTheme="minorEastAsia"/>
          <w:snapToGrid w:val="0"/>
          <w:color w:val="000000"/>
          <w:sz w:val="24"/>
          <w:szCs w:val="24"/>
        </w:rPr>
        <w:t>税目编码功能用于对税目的编码、名称、税率和征收率等信息进行录入、修改、删除以及查询等功能。</w:t>
      </w:r>
    </w:p>
    <w:p>
      <w:pPr>
        <w:pStyle w:val="51"/>
        <w:numPr>
          <w:ilvl w:val="0"/>
          <w:numId w:val="40"/>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界面内容包括：税目编码查询条件（税目编码，税目名称），税目编码查询结果信息（税目编码，税目名称，税率，征收率），税目编码的增加，修改，删除，导入，导出，查询功能按钮。</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增加税目编码功能需求：点击增加税目编码按钮，进入税目编码增加界面，界面内容包括：税目编码，税目名称，税率，征收率；录入信息并保存后，增加一条税目编码信息。</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修改税目编码功能需求：选择一条税目编码信息，点击修改按钮，进入税目编码修改界面，界面内容包括：税目编码，税目名称，税率，征收率；修改信息并保存后，修改了税目编码信息。</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删除税目编码功能需求：选择一条税目编码，点击删除按钮，可以对该条税目编码信息进行删除。</w:t>
      </w:r>
    </w:p>
    <w:p>
      <w:pPr>
        <w:pStyle w:val="51"/>
        <w:numPr>
          <w:ilvl w:val="0"/>
          <w:numId w:val="40"/>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查询数据信息数据项：税目编码，税目名称，税率，征收率；</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增加税目编码数据项：税目编码，税目名称，税率，征收率；</w:t>
      </w:r>
    </w:p>
    <w:p>
      <w:pPr>
        <w:pStyle w:val="61"/>
        <w:spacing w:line="360" w:lineRule="auto"/>
        <w:ind w:firstLine="412"/>
        <w:rPr>
          <w:rFonts w:asciiTheme="minorEastAsia" w:hAnsiTheme="minorEastAsia" w:eastAsiaTheme="minorEastAsia"/>
          <w:sz w:val="21"/>
          <w:szCs w:val="21"/>
        </w:rPr>
      </w:pPr>
      <w:r>
        <w:rPr>
          <w:rFonts w:hint="eastAsia" w:asciiTheme="minorEastAsia" w:hAnsiTheme="minorEastAsia" w:eastAsiaTheme="minorEastAsia"/>
          <w:sz w:val="24"/>
          <w:szCs w:val="24"/>
        </w:rPr>
        <w:t>修改税目编码数据项：税目编码，税目名称，税率，征收率。</w:t>
      </w:r>
    </w:p>
    <w:p>
      <w:pPr>
        <w:pStyle w:val="6"/>
        <w:numPr>
          <w:ilvl w:val="4"/>
          <w:numId w:val="0"/>
        </w:numPr>
        <w:spacing w:before="0" w:after="0" w:line="360" w:lineRule="auto"/>
        <w:ind w:left="402" w:leftChars="0"/>
      </w:pPr>
      <w:bookmarkStart w:id="279" w:name="_Toc21053"/>
      <w:r>
        <w:rPr>
          <w:rFonts w:hint="eastAsia"/>
        </w:rPr>
        <w:t>1.2.5</w:t>
      </w:r>
      <w:r>
        <w:t>销方管理</w:t>
      </w:r>
      <w:bookmarkEnd w:id="279"/>
    </w:p>
    <w:p>
      <w:pPr>
        <w:pStyle w:val="51"/>
        <w:numPr>
          <w:ilvl w:val="0"/>
          <w:numId w:val="41"/>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0"/>
        <w:rPr>
          <w:rFonts w:asciiTheme="minorEastAsia" w:hAnsiTheme="minorEastAsia"/>
          <w:snapToGrid w:val="0"/>
          <w:color w:val="000000"/>
          <w:sz w:val="24"/>
          <w:szCs w:val="24"/>
        </w:rPr>
      </w:pPr>
      <w:r>
        <w:rPr>
          <w:rFonts w:hint="eastAsia" w:asciiTheme="minorEastAsia" w:hAnsiTheme="minorEastAsia"/>
          <w:snapToGrid w:val="0"/>
          <w:color w:val="000000"/>
          <w:sz w:val="24"/>
          <w:szCs w:val="24"/>
        </w:rPr>
        <w:t>销方管理功能用于在系统中的对所有销方信息进行信息维护，操作内容包括增加、修改、查询销方信息，并可将暂时不使用的销方企业置为无效标志，如果再次使用时，则将销方企业置为有效标志。销方企业信息用于发票开具中自动填写相关信息。</w:t>
      </w:r>
    </w:p>
    <w:p>
      <w:pPr>
        <w:pStyle w:val="51"/>
        <w:numPr>
          <w:ilvl w:val="0"/>
          <w:numId w:val="41"/>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界面查询条件：销方税号，销方名称，有效标志；查询结果区内容包括：序号，销方税号，销方名称，企业经营地址，法人，联系电话，有效标志。</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增加</w:t>
      </w:r>
      <w:r>
        <w:rPr>
          <w:rFonts w:hint="eastAsia" w:asciiTheme="minorEastAsia" w:hAnsiTheme="minorEastAsia" w:eastAsiaTheme="minorEastAsia"/>
          <w:snapToGrid w:val="0"/>
          <w:sz w:val="24"/>
          <w:szCs w:val="24"/>
        </w:rPr>
        <w:t>增加销方企业信息</w:t>
      </w:r>
      <w:r>
        <w:rPr>
          <w:rFonts w:hint="eastAsia" w:asciiTheme="minorEastAsia" w:hAnsiTheme="minorEastAsia" w:eastAsiaTheme="minorEastAsia"/>
          <w:sz w:val="24"/>
          <w:szCs w:val="24"/>
        </w:rPr>
        <w:t>功能需求：需要增加企业时，点击增加按钮，进入增加企业信息界面，界面内容包括：销方税号，销方名称，上级企业税号，企业邮箱，企业经营地址，企业电话，传真电话，电子邮箱，法人，有效标志；录入企业信息后并保存，就增加了一个企业。</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修改</w:t>
      </w:r>
      <w:r>
        <w:rPr>
          <w:rFonts w:hint="eastAsia" w:asciiTheme="minorEastAsia" w:hAnsiTheme="minorEastAsia" w:eastAsiaTheme="minorEastAsia"/>
          <w:snapToGrid w:val="0"/>
          <w:sz w:val="24"/>
          <w:szCs w:val="24"/>
        </w:rPr>
        <w:t>销方企业信息功能</w:t>
      </w:r>
      <w:r>
        <w:rPr>
          <w:rFonts w:hint="eastAsia" w:asciiTheme="minorEastAsia" w:hAnsiTheme="minorEastAsia" w:eastAsiaTheme="minorEastAsia"/>
          <w:sz w:val="24"/>
          <w:szCs w:val="24"/>
        </w:rPr>
        <w:t>需求：当需要对某个企业信息进行修改时，选择该企业，点击修改按钮，进入修改企业信息界面，界面内容包括：销方税号，销方名称，上级企业税号，企业邮箱，企业经营地址，企业电话，传真电话，电子邮箱，法人，有效标志；修改企业信息后并保存，就对该企业信息进行了修改。</w:t>
      </w:r>
    </w:p>
    <w:p>
      <w:pPr>
        <w:pStyle w:val="61"/>
        <w:spacing w:line="360" w:lineRule="auto"/>
        <w:ind w:firstLine="420"/>
        <w:rPr>
          <w:rFonts w:asciiTheme="minorEastAsia" w:hAnsiTheme="minorEastAsia" w:eastAsiaTheme="minorEastAsia"/>
          <w:sz w:val="24"/>
          <w:szCs w:val="24"/>
        </w:rPr>
      </w:pPr>
      <w:r>
        <w:rPr>
          <w:rFonts w:hint="eastAsia" w:asciiTheme="minorEastAsia" w:hAnsiTheme="minorEastAsia" w:eastAsiaTheme="minorEastAsia"/>
          <w:snapToGrid w:val="0"/>
          <w:spacing w:val="0"/>
          <w:sz w:val="24"/>
          <w:szCs w:val="24"/>
        </w:rPr>
        <w:t>对于暂时不使用的销方企业置为无效标志，如果再次使用时，则将销方企业置为有效标志。</w:t>
      </w:r>
    </w:p>
    <w:p>
      <w:pPr>
        <w:pStyle w:val="51"/>
        <w:numPr>
          <w:ilvl w:val="0"/>
          <w:numId w:val="41"/>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查询结果数据项:序号，销方税号，销方名称，企业经营地址，法人，联系电话，有效标志；。</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增加企业信息数据项：销方税号，销方名称，上级企业税号，法人，有效标志；法人名称，所属行业，生产经营地址，开户银行及账号，企业登记注册类型，注册地址，电话号码，传真电话，电子邮箱，经营地址邮编，组织机构编码，是否为挂账企业，应税服务是否有扣除项目，有效标志。</w:t>
      </w:r>
    </w:p>
    <w:p>
      <w:pPr>
        <w:pStyle w:val="61"/>
        <w:spacing w:line="360"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修改企业信息数据项：销方税号，销方名称，上级企业税号，法人，有效标志；法人名称，所属行业，生产经营地址，开户银行及账号，企业登记注册类型，注册地址，电话号码，传真电话，电子邮箱，经营地址邮编，组织机构编码，是否为挂账企业，应税服务是否有扣除项目，有效标志。</w:t>
      </w:r>
    </w:p>
    <w:p>
      <w:pPr>
        <w:pStyle w:val="6"/>
        <w:numPr>
          <w:ilvl w:val="4"/>
          <w:numId w:val="0"/>
        </w:numPr>
        <w:spacing w:before="0" w:after="0" w:line="360" w:lineRule="auto"/>
        <w:ind w:left="402" w:leftChars="0"/>
      </w:pPr>
      <w:bookmarkStart w:id="280" w:name="_Toc30538"/>
      <w:r>
        <w:rPr>
          <w:rFonts w:hint="eastAsia"/>
        </w:rPr>
        <w:t>1.2.6</w:t>
      </w:r>
      <w:r>
        <w:t>购方管理</w:t>
      </w:r>
      <w:bookmarkEnd w:id="280"/>
    </w:p>
    <w:p>
      <w:pPr>
        <w:pStyle w:val="51"/>
        <w:numPr>
          <w:ilvl w:val="0"/>
          <w:numId w:val="42"/>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购方管理功能用于录入与企业发生业务关系，需要为其开具发票的客户信息，也可以对已录入的客户信息进行修改和删除，填开发票时，“购方信息”可以从购方编码库中取</w:t>
      </w:r>
      <w:r>
        <w:rPr>
          <w:rFonts w:asciiTheme="minorEastAsia" w:hAnsiTheme="minorEastAsia" w:eastAsiaTheme="minorEastAsia"/>
          <w:sz w:val="24"/>
          <w:szCs w:val="24"/>
        </w:rPr>
        <w:t>。</w:t>
      </w:r>
    </w:p>
    <w:p>
      <w:pPr>
        <w:pStyle w:val="51"/>
        <w:numPr>
          <w:ilvl w:val="0"/>
          <w:numId w:val="42"/>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界面查询条件：购方税号，购方名称，地址电话；查询结果区内容包括：序号，客户编码，购方税号，购方名称，地址电话，银行名称及账号，所属销方税号，所属销方名称，所属组织机构编号，所属机构名称，录入人员，使用级别。</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增加购方功能需求：需要增加购方信息时，点击增加按钮，进入增加购方信息界面，界面内容包括：客户编码，购方税号，购方名称，银行名称及账号，地址电话，所属销方税号，所属销方名称，所属组织机构编号，所属机构名称，录入人员，使用级别（同商品编码中的使用）；录入企业信息后并保存，就增加了一个企业。</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修改购方功能需求：当需要对某个企业信息进行修改时，选择该企业，点击修改按钮，进入修改企业信息界面，界面内容包括：销方税号，销方名称，上级企业税号，企业邮箱，企业经营地址，企业电话，传真电话，电子邮箱，法人，有效标志，所属销方税号，所属销方名称，所属组织机构编号，所属机构名称，录入人员，使用级别；修改企业信息后并保存，就对该企业信息进行了修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删除购方功能需求：当需求删除某个企业时，选择该企业，点击删除按钮，就可以对该企业进行删除。</w:t>
      </w:r>
    </w:p>
    <w:p>
      <w:pPr>
        <w:pStyle w:val="51"/>
        <w:numPr>
          <w:ilvl w:val="0"/>
          <w:numId w:val="42"/>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查询结果数据项:序号，客户编码，购方税号，购方名称，地址电话，银行名称及账号，所属销方税号，所属销方名称，所属组织机构编号，所属机构名称，录入人员，使用级别。</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增加购方信息数据项：销方税号，销方名称，上级企业税号，企业邮箱，企业经营地址，企业电话，传真电话，电子邮箱，法人，有效标志，所属销方税号，所属销方名称，所属组织机构编号，所属机构名称，录入人员，使用级别。</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修改企业信息数据项：销方税号，销方名称，上级企业税号，企业邮箱，企业经营地址，企业电话，传真电话，电子邮箱，法人，有效标志，所属销方税号，所属销方名称，所属组织机构编号，所属机构名称，录入人员，使用级别。</w:t>
      </w:r>
    </w:p>
    <w:p>
      <w:pPr>
        <w:pStyle w:val="5"/>
        <w:numPr>
          <w:ilvl w:val="3"/>
          <w:numId w:val="0"/>
        </w:numPr>
        <w:spacing w:before="0" w:after="0" w:line="360" w:lineRule="auto"/>
        <w:ind w:left="402" w:leftChars="0"/>
      </w:pPr>
      <w:bookmarkStart w:id="281" w:name="_Toc307"/>
      <w:r>
        <w:rPr>
          <w:rFonts w:hint="eastAsia"/>
        </w:rPr>
        <w:t>1.3日志管理</w:t>
      </w:r>
      <w:bookmarkEnd w:id="281"/>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日志管理包括：前台日志，后台日志等几个功能。</w:t>
      </w:r>
    </w:p>
    <w:p>
      <w:pPr>
        <w:pStyle w:val="51"/>
        <w:numPr>
          <w:ilvl w:val="0"/>
          <w:numId w:val="43"/>
        </w:numPr>
        <w:spacing w:line="360" w:lineRule="auto"/>
        <w:ind w:firstLineChars="0"/>
        <w:rPr>
          <w:rFonts w:asciiTheme="minorEastAsia" w:hAnsiTheme="minorEastAsia" w:eastAsiaTheme="minorEastAsia"/>
          <w:sz w:val="24"/>
          <w:szCs w:val="24"/>
        </w:rPr>
      </w:pPr>
      <w:r>
        <w:rPr>
          <w:rFonts w:asciiTheme="minorEastAsia" w:hAnsiTheme="minorEastAsia" w:eastAsiaTheme="minorEastAsia"/>
          <w:sz w:val="24"/>
          <w:szCs w:val="24"/>
        </w:rPr>
        <w:t>前台日志</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该功能主要用于记录用户对系统模块的操作痕迹进行详细记录，为操作痕迹跟踪提供数据基础，系统用户查看本级及其下级的前台操作日志。</w:t>
      </w:r>
    </w:p>
    <w:p>
      <w:pPr>
        <w:pStyle w:val="51"/>
        <w:numPr>
          <w:ilvl w:val="0"/>
          <w:numId w:val="43"/>
        </w:numPr>
        <w:spacing w:line="360" w:lineRule="auto"/>
        <w:ind w:firstLineChars="0"/>
        <w:rPr>
          <w:rFonts w:asciiTheme="minorEastAsia" w:hAnsiTheme="minorEastAsia" w:eastAsiaTheme="minorEastAsia"/>
          <w:sz w:val="24"/>
          <w:szCs w:val="24"/>
        </w:rPr>
      </w:pPr>
      <w:r>
        <w:rPr>
          <w:rFonts w:asciiTheme="minorEastAsia" w:hAnsiTheme="minorEastAsia" w:eastAsiaTheme="minorEastAsia"/>
          <w:sz w:val="24"/>
          <w:szCs w:val="24"/>
        </w:rPr>
        <w:t>后台日志</w:t>
      </w:r>
    </w:p>
    <w:p>
      <w:pPr>
        <w:pStyle w:val="61"/>
        <w:spacing w:line="360" w:lineRule="auto"/>
        <w:ind w:firstLine="412"/>
        <w:rPr>
          <w:rFonts w:asciiTheme="minorEastAsia" w:hAnsiTheme="minorEastAsia" w:eastAsiaTheme="minorEastAsia"/>
          <w:sz w:val="21"/>
          <w:szCs w:val="21"/>
        </w:rPr>
      </w:pPr>
      <w:r>
        <w:rPr>
          <w:rFonts w:hint="eastAsia" w:asciiTheme="minorEastAsia" w:hAnsiTheme="minorEastAsia" w:eastAsiaTheme="minorEastAsia"/>
          <w:sz w:val="24"/>
          <w:szCs w:val="24"/>
        </w:rPr>
        <w:t>后台日志主要用于系统用户查看系统后台存储过程、系统日志等，并可将日志文件下载到本地。</w:t>
      </w:r>
    </w:p>
    <w:p>
      <w:pPr>
        <w:pStyle w:val="4"/>
        <w:numPr>
          <w:ilvl w:val="2"/>
          <w:numId w:val="3"/>
        </w:numPr>
        <w:spacing w:before="0" w:after="0" w:line="360" w:lineRule="auto"/>
        <w:ind w:left="0" w:leftChars="0" w:firstLine="402" w:firstLineChars="0"/>
      </w:pPr>
      <w:bookmarkStart w:id="282" w:name="_Toc23099"/>
      <w:r>
        <w:rPr>
          <w:rFonts w:hint="eastAsia"/>
        </w:rPr>
        <w:t>销项管理</w:t>
      </w:r>
      <w:bookmarkEnd w:id="282"/>
    </w:p>
    <w:p>
      <w:pPr>
        <w:pStyle w:val="5"/>
        <w:numPr>
          <w:ilvl w:val="3"/>
          <w:numId w:val="0"/>
        </w:numPr>
        <w:spacing w:before="0" w:after="0" w:line="360" w:lineRule="auto"/>
        <w:ind w:left="402" w:leftChars="0"/>
      </w:pPr>
      <w:bookmarkStart w:id="283" w:name="_Toc1296"/>
      <w:r>
        <w:rPr>
          <w:rFonts w:hint="eastAsia"/>
        </w:rPr>
        <w:t>2.1监控管理</w:t>
      </w:r>
      <w:bookmarkEnd w:id="283"/>
    </w:p>
    <w:p>
      <w:pPr>
        <w:pStyle w:val="51"/>
        <w:numPr>
          <w:ilvl w:val="0"/>
          <w:numId w:val="44"/>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服务器管理</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服务器管理功能用于对所部属的开票服务器进行管理维护，并可以对开票服务器进行增加，删除，修改和查询操作功能，并能下钻到该开票服务器对应的所有下属开票点。</w:t>
      </w:r>
    </w:p>
    <w:p>
      <w:pPr>
        <w:pStyle w:val="51"/>
        <w:numPr>
          <w:ilvl w:val="0"/>
          <w:numId w:val="44"/>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开票点管理</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开票点管理功能用于对已经存在的开票点信息进行管理，并可以对开票点进行增加，对存在的开票点进行修改和删除，为其他模块提供数据支持。</w:t>
      </w:r>
    </w:p>
    <w:p>
      <w:pPr>
        <w:pStyle w:val="51"/>
        <w:numPr>
          <w:ilvl w:val="0"/>
          <w:numId w:val="44"/>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控制台管理</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控制台管理功能用于方便在一个点访问每台开票服务器的控制台应用系统。显示出全部开票服务器的控制台链接，点击后可链接打开相应开票服务器的控制台应用系统。用户在控制台中登录后，可以操作开票服务器相应的功能。</w:t>
      </w:r>
    </w:p>
    <w:p>
      <w:pPr>
        <w:pStyle w:val="51"/>
        <w:numPr>
          <w:ilvl w:val="0"/>
          <w:numId w:val="44"/>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开票控制</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开票控制功能用于对已经纳入该管理系统的开票服务器及所属的开票点的开关状态进行控制，通过对开票服务器及所属开票点的开关状态的改变，而对外部系统的访问进行控制。</w:t>
      </w:r>
    </w:p>
    <w:p>
      <w:pPr>
        <w:pStyle w:val="51"/>
        <w:numPr>
          <w:ilvl w:val="0"/>
          <w:numId w:val="44"/>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开票监控</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开票监控功能用于对纳入该系统的开票服务器及所属开票点的基本信息及对应的当前库存、本月已开发票信息进行准实时监控，并根据开票服务器及所属开票点的状态来进行区分。</w:t>
      </w:r>
    </w:p>
    <w:p>
      <w:pPr>
        <w:pStyle w:val="5"/>
        <w:numPr>
          <w:ilvl w:val="3"/>
          <w:numId w:val="0"/>
        </w:numPr>
        <w:spacing w:before="0" w:after="0" w:line="360" w:lineRule="auto"/>
        <w:ind w:left="402" w:leftChars="0"/>
      </w:pPr>
      <w:bookmarkStart w:id="284" w:name="_Toc21559"/>
      <w:r>
        <w:rPr>
          <w:rFonts w:hint="eastAsia"/>
        </w:rPr>
        <w:t>2.2销售单管理</w:t>
      </w:r>
      <w:bookmarkEnd w:id="284"/>
    </w:p>
    <w:p>
      <w:pPr>
        <w:pStyle w:val="6"/>
        <w:numPr>
          <w:ilvl w:val="4"/>
          <w:numId w:val="0"/>
        </w:numPr>
        <w:spacing w:before="0" w:after="0" w:line="360" w:lineRule="auto"/>
        <w:ind w:left="402" w:leftChars="0"/>
      </w:pPr>
      <w:bookmarkStart w:id="285" w:name="_Toc25469"/>
      <w:r>
        <w:rPr>
          <w:rFonts w:hint="eastAsia"/>
        </w:rPr>
        <w:t>2.2.1销售数据下传</w:t>
      </w:r>
      <w:bookmarkEnd w:id="285"/>
    </w:p>
    <w:p>
      <w:pPr>
        <w:pStyle w:val="51"/>
        <w:numPr>
          <w:ilvl w:val="0"/>
          <w:numId w:val="45"/>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lang w:eastAsia="zh-CN"/>
        </w:rPr>
        <w:t>xx卡运营平台、合作银行的电子收费业务</w:t>
      </w:r>
      <w:r>
        <w:rPr>
          <w:rFonts w:hint="eastAsia" w:asciiTheme="minorEastAsia" w:hAnsiTheme="minorEastAsia"/>
          <w:sz w:val="24"/>
          <w:szCs w:val="24"/>
        </w:rPr>
        <w:t>实现与税控系统对接，每天自动作业将需要开票的销售明细下传税控系统。</w:t>
      </w:r>
    </w:p>
    <w:p>
      <w:pPr>
        <w:pStyle w:val="51"/>
        <w:numPr>
          <w:ilvl w:val="0"/>
          <w:numId w:val="45"/>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该功能主要实现对从业务系统将需要开票的销售明细传入税控管理系统。</w:t>
      </w:r>
    </w:p>
    <w:p>
      <w:pPr>
        <w:pStyle w:val="51"/>
        <w:numPr>
          <w:ilvl w:val="0"/>
          <w:numId w:val="45"/>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销售单明细数据项：批次编号，单据编号，单据日期，单据状态，发票种类，发票类别代码，开票日期，发票号码、购货单位（名称，税号，地址和电话，开户行及账号）。商品名称，规格型号，计量单位，数量，单价（不含税），金额（不含税），税率，税额，价税合计，合计金额，合计税额，销货单位（名称，税号，地址及电话，开户行及账号，备注，收款人，复核人，开据人。</w:t>
      </w:r>
    </w:p>
    <w:p>
      <w:pPr>
        <w:pStyle w:val="6"/>
        <w:numPr>
          <w:ilvl w:val="4"/>
          <w:numId w:val="0"/>
        </w:numPr>
        <w:spacing w:before="0" w:after="0" w:line="360" w:lineRule="auto"/>
        <w:ind w:left="402" w:leftChars="0"/>
      </w:pPr>
      <w:bookmarkStart w:id="286" w:name="_Toc15466"/>
      <w:r>
        <w:rPr>
          <w:rFonts w:hint="eastAsia"/>
        </w:rPr>
        <w:t>2.2.2销售单查询</w:t>
      </w:r>
      <w:bookmarkEnd w:id="286"/>
    </w:p>
    <w:p>
      <w:pPr>
        <w:pStyle w:val="51"/>
        <w:numPr>
          <w:ilvl w:val="0"/>
          <w:numId w:val="46"/>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销售单查询功能用于通过接口读取从业务系统传入并对销售单数据进行校验通过后的销售单据数据，利用该模块功能对销售单信息进行查询。</w:t>
      </w:r>
    </w:p>
    <w:p>
      <w:pPr>
        <w:pStyle w:val="51"/>
        <w:numPr>
          <w:ilvl w:val="0"/>
          <w:numId w:val="46"/>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该功能主要实现对从业务系统传入进管理系统内的销售单数据信息按照一定的条件进行查询操作；并对查询出来的销售单信息，可以进行销售单明细信息进行查看。</w:t>
      </w:r>
    </w:p>
    <w:p>
      <w:pPr>
        <w:pStyle w:val="51"/>
        <w:numPr>
          <w:ilvl w:val="0"/>
          <w:numId w:val="46"/>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查询功能数据项：批次编号，销售单编号，单据状态，购方税号，购方名称，销方税号，销方名称，合计金额，合计税额，单据日期；</w:t>
      </w:r>
    </w:p>
    <w:p>
      <w:pPr>
        <w:pStyle w:val="61"/>
        <w:spacing w:line="360" w:lineRule="auto"/>
        <w:ind w:firstLine="412"/>
        <w:rPr>
          <w:rFonts w:asciiTheme="minorEastAsia" w:hAnsiTheme="minorEastAsia" w:eastAsiaTheme="minorEastAsia"/>
          <w:sz w:val="21"/>
          <w:szCs w:val="21"/>
        </w:rPr>
      </w:pPr>
      <w:r>
        <w:rPr>
          <w:rFonts w:hint="eastAsia" w:asciiTheme="minorEastAsia" w:hAnsiTheme="minorEastAsia" w:eastAsiaTheme="minorEastAsia"/>
          <w:sz w:val="24"/>
          <w:szCs w:val="24"/>
        </w:rPr>
        <w:t>销售单明细数据项：批次编号，单据编号，单据日期，单据状态，发票种类，发票类别代码，开票日期，发票号码、购货单位（名称，税号，地址和电话，开户行及账号）。商品名称，规格型号，计量单位，数量，单价（不含税），金额（不含税），税率，税额，价税合计，合计金额，合计税额，销货单位（名称，税号，地址及电话，开户行及账号，备注，收款人，复核人，开据人。</w:t>
      </w:r>
    </w:p>
    <w:p>
      <w:pPr>
        <w:pStyle w:val="6"/>
        <w:numPr>
          <w:ilvl w:val="4"/>
          <w:numId w:val="0"/>
        </w:numPr>
        <w:spacing w:before="0" w:after="0" w:line="360" w:lineRule="auto"/>
        <w:ind w:left="402" w:leftChars="0"/>
      </w:pPr>
      <w:bookmarkStart w:id="287" w:name="_Toc26259"/>
      <w:r>
        <w:rPr>
          <w:rFonts w:hint="eastAsia"/>
        </w:rPr>
        <w:t>2.2.3销售单拆分</w:t>
      </w:r>
      <w:bookmarkEnd w:id="287"/>
    </w:p>
    <w:p>
      <w:pPr>
        <w:pStyle w:val="51"/>
        <w:numPr>
          <w:ilvl w:val="0"/>
          <w:numId w:val="47"/>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实现对销售单按照一定规则进行自动拆分，拆分后的销售单生成待开发票，用来开具发票。</w:t>
      </w:r>
    </w:p>
    <w:p>
      <w:pPr>
        <w:pStyle w:val="51"/>
        <w:numPr>
          <w:ilvl w:val="0"/>
          <w:numId w:val="47"/>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界面内容包括：</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功能操作栏（查询，拆分），查询条件（销售单编号，机构名称，购方税号，购方名称，单据日期起，单据日期止，发票种类，业务系统，单据状态）。</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查询结果区（序号，批次编号，销售单编号，机构名称，业务系统，发票种类，单据状态，购方税号，购方名称，销方税号，销方名称，合计金额，单据日期）；设置查询条件，获取符合条件的销售单数据信息。</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单据明细功能需求：选择某一行销售单据信息，进入单据明细界面，界面内容包括：批次编号，单据编号，单据日期，单据状态，发票种类，发票类别代码，开票日期，发票号码、购货单位（名称，纳税人识别号，地址和电话，开户行及账号）。密码区，商品名称，规格型号，计量单位，数量，单价（不含税），金额（不含税），税率，税额，价税合计，合计金额，合计税额，销货单位（名称，纳税人识别号，地址及电话，开户行及账号，备注，收款人，复核人，开票人。</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待开发票数据信息功能需求：点击已经拆分的销售单据数据，在待开发票数据区显示拆分形成的待开发票数据信息：序号，单据编号，开票服务器名称，开票点名称，业务类型，购方税号，购方名称，销方税号，销方名称，发票种类，清单标志，合计金额，合计税额，单据日期，开票状态，发票行数；并可以选择某一行待开发票数据信息获取该张待开发票的详细信息数据（具体数据同增值税专票或普票票样）。</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通过功能栏可以对销售单信息进行拆分操作；其中拆分操作是按照一定的拆分规则对销售单拆分成对应的待开票信息。</w:t>
      </w:r>
    </w:p>
    <w:p>
      <w:pPr>
        <w:pStyle w:val="51"/>
        <w:numPr>
          <w:ilvl w:val="0"/>
          <w:numId w:val="47"/>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查询功能数据项：批次编号，销售单编号，单据状态，购方税号，购方名称，销方税号，销方名称，合计金额，合计税额，单据日期；</w:t>
      </w:r>
    </w:p>
    <w:p>
      <w:pPr>
        <w:pStyle w:val="61"/>
        <w:spacing w:line="360" w:lineRule="auto"/>
        <w:ind w:firstLine="412"/>
        <w:rPr>
          <w:rFonts w:asciiTheme="minorEastAsia" w:hAnsiTheme="minorEastAsia" w:eastAsiaTheme="minorEastAsia"/>
          <w:sz w:val="21"/>
          <w:szCs w:val="21"/>
        </w:rPr>
      </w:pPr>
      <w:r>
        <w:rPr>
          <w:rFonts w:hint="eastAsia" w:asciiTheme="minorEastAsia" w:hAnsiTheme="minorEastAsia" w:eastAsiaTheme="minorEastAsia"/>
          <w:sz w:val="24"/>
          <w:szCs w:val="24"/>
        </w:rPr>
        <w:t>销售单明细数据项：批次编号，单据编号，单据日期，单据状态，发票种类，发票类别代码，开票日期，发票号码、购货单位（名称，税号，地址和电话，开户行及账号）。商品名称，规格型号，计量单位，数量，单价（不含税），金额（不含税），税率，税额，价税合计，合计金额，合计税额，销货单位（名称，税号，地址及电话，开户行及账号，备注，收款人，复核人，开据人。</w:t>
      </w:r>
    </w:p>
    <w:p>
      <w:pPr>
        <w:pStyle w:val="6"/>
        <w:numPr>
          <w:ilvl w:val="4"/>
          <w:numId w:val="0"/>
        </w:numPr>
        <w:spacing w:before="0" w:after="0" w:line="360" w:lineRule="auto"/>
        <w:ind w:left="402" w:leftChars="0"/>
      </w:pPr>
      <w:bookmarkStart w:id="288" w:name="_Toc11708"/>
      <w:r>
        <w:rPr>
          <w:rFonts w:hint="eastAsia"/>
        </w:rPr>
        <w:t>2.2.4销售单合并</w:t>
      </w:r>
      <w:bookmarkEnd w:id="288"/>
    </w:p>
    <w:p>
      <w:pPr>
        <w:pStyle w:val="51"/>
        <w:numPr>
          <w:ilvl w:val="0"/>
          <w:numId w:val="48"/>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对销售单按照一定规则进行自动合并，以满足用户对多张销售单开具一张发票的需求。合并后的销售单生成待开发票，用来开具发票。</w:t>
      </w:r>
    </w:p>
    <w:p>
      <w:pPr>
        <w:pStyle w:val="51"/>
        <w:numPr>
          <w:ilvl w:val="0"/>
          <w:numId w:val="48"/>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界面内容包括：</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功能操作栏（查询，合并），查询条件（销售单编号，机构名称，购方税号，购方名称，单据日期起，单据日期止，发票种类，业务系统，单据状态）。</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查询结果区（序号，批次编号，销售单编号，机构名称，业务系统，发票种类，单据状态，购方税号，购方名称，销方税号，销方名称，合计金额，单据日期）；设置查询条件，获取符合条件的销售单数据信息。</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单据明细功能需求：选择某一行销售单据信息，进入单据明细界面，界面内容包括：批次编号，单据编号，单据日期，单据状态，发票种类，发票类别代码，开票日期，发票号码、购货单位（名称，税号，地址和电话，开户行及账号）。商品名称，规格型号，计量单位，数量，单价（不含税），金额（不含税），税率，税额，价税合计，合计金额，合计税额，销货单位（名称，税别号，地址及电话，开户行及账号，备注，收款人，复核人，开据人。</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待开发票数据信息功能需求：点击已经合并的销售单据数据，在待开发票数据区显示合并形成的待开发票数据信息：序号，单据编号，开票服务器名称，开票点名称，业务类型，购方税号，购方名称，销方税号，销方名称，发票种类，清单标志，合计金额，合计税额，单据日期，开票状态，发票行数；并可以选择某一行待开发票数据信息获取该张待开发票的详细信息数据（具体数据同增值税专票或普票票样）。</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通过功能栏可以对销售单信息进行合并操作；其中合并操作是按照一定的合并规则对多个销售单合并成对应的待开票信息。</w:t>
      </w:r>
    </w:p>
    <w:p>
      <w:pPr>
        <w:pStyle w:val="51"/>
        <w:numPr>
          <w:ilvl w:val="0"/>
          <w:numId w:val="48"/>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查询功能数据项：批次编号，销售单编号，单据状态，购方税号，购方名称，销方税号，销方名称，合计金额，合计税额，单据日期；</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销售单明细数据项：批次编号，单据编号，单据日期，单据状态，发票种类，发票类别代码，开票日期，发票号码、购货单位（名称，税号，地址和电话，开户行及账号）。商品名称，规格型号，计量单位，数量，单价（不含税），金额（不含税），税率，税额，价税合计，合计金额，合计税额，销货单位（名称，税号，地址及电话，开户行及账号，备注，收款人，复核人，开据人。</w:t>
      </w:r>
    </w:p>
    <w:p>
      <w:pPr>
        <w:pStyle w:val="6"/>
        <w:numPr>
          <w:ilvl w:val="4"/>
          <w:numId w:val="0"/>
        </w:numPr>
        <w:spacing w:before="0" w:after="0" w:line="360" w:lineRule="auto"/>
        <w:ind w:left="402" w:leftChars="0"/>
      </w:pPr>
      <w:bookmarkStart w:id="289" w:name="_Toc6659"/>
      <w:r>
        <w:rPr>
          <w:rFonts w:hint="eastAsia"/>
        </w:rPr>
        <w:t>2.2.5销售单还原</w:t>
      </w:r>
      <w:bookmarkEnd w:id="289"/>
    </w:p>
    <w:p>
      <w:pPr>
        <w:pStyle w:val="51"/>
        <w:numPr>
          <w:ilvl w:val="0"/>
          <w:numId w:val="49"/>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销售单拆分、合并的逆过程。对已经拆分或者已经合并的销售单，如果符合还原条件的，按照一定规则进行还原。</w:t>
      </w:r>
    </w:p>
    <w:p>
      <w:pPr>
        <w:pStyle w:val="51"/>
        <w:numPr>
          <w:ilvl w:val="0"/>
          <w:numId w:val="49"/>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界面内容包括：</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功能操作栏（查询，拆分还原，合并还原），查询条件（销售单编号，机构名称，购方税号，购方名称，单据日期起，单据日期止，发票种类，业务系统，单据状态）。</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查询结果区（序号，批次编号，销售单编号，机构名称，业务系统，发票种类，单据状态，购方税号，购方名称，销方税号，销方名称，合计金额，单据日期）；设置查询条件，获取符合条件的销售单数据信息。</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单据明细功能需求：选择某一行销售单据信息，进入单据明细界面，界面内容包括：单据编号，单据日期，单据状态，发票种类，发票类别代码，开票日期，发票号码、购货单位（名称，税号，地址和电话，开户行及账号）。商品名称，规格型号，计量单位，数量，单价（不含税），金额（不含税），税率，税额，价税合计，合计金额，合计税额，销货单位（名称，税号，地址及电话，开户行及账号，备注，收款人，复核人，开票人。</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通过功能栏可以对已经拆分或者已经合并的销售单信息进行还原操作；其中拆分还原操作是选择已经拆分的销售单数据信息，对该销售单进行还原操作；合并还原操作是选择已经合并形成的待开发票对已经合并的销售单进行还原操作。</w:t>
      </w:r>
    </w:p>
    <w:p>
      <w:pPr>
        <w:pStyle w:val="51"/>
        <w:numPr>
          <w:ilvl w:val="0"/>
          <w:numId w:val="49"/>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查询功能数据项：批次编号，销售单编号，操作，单据状态，购方税号，购方名称，销方税号，销方名称，合计金额，合计税额，单据日期；</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销售单明细数据项：批次编号，单据编号，单据日期，单据状态，发票种类，发票类别代码，开票日期，发票号码、购货单位（名称，税号，地址和电话，开户行及账号）。密码区，商品名称，规格型号，计量单位，数量，单价（不含税），金额（不含税），税率，税额，价税合计，合计金额，合计税额，销货单位（名称，税号，地址及电话，开户行及账号，备注，收款人，复核人，开据人。</w:t>
      </w:r>
    </w:p>
    <w:p>
      <w:pPr>
        <w:pStyle w:val="6"/>
        <w:numPr>
          <w:ilvl w:val="4"/>
          <w:numId w:val="0"/>
        </w:numPr>
        <w:spacing w:before="0" w:after="0" w:line="360" w:lineRule="auto"/>
        <w:ind w:left="402" w:leftChars="0"/>
      </w:pPr>
      <w:bookmarkStart w:id="290" w:name="_Toc6106"/>
      <w:r>
        <w:rPr>
          <w:rFonts w:hint="eastAsia"/>
        </w:rPr>
        <w:t>2.2.6销售单作废</w:t>
      </w:r>
      <w:bookmarkEnd w:id="290"/>
    </w:p>
    <w:p>
      <w:pPr>
        <w:pStyle w:val="51"/>
        <w:numPr>
          <w:ilvl w:val="0"/>
          <w:numId w:val="50"/>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对不需要拆分、合并成待开发票的销售单，做作废处理，销售单经作废处理后，可再由业务系统重新传入；对已经作废的销售单还可进行恢复。</w:t>
      </w:r>
    </w:p>
    <w:p>
      <w:pPr>
        <w:pStyle w:val="51"/>
        <w:numPr>
          <w:ilvl w:val="0"/>
          <w:numId w:val="50"/>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界面内容包括：</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功能操作栏（查询，作废，撤销），查询条件（销售单编号，机构名称，购方税号，购方名称，单据日期起，单据日期止，发票种类，业务系统，单据状态）。</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查询结果区（序号，批次编号，销售单编号，机构名称，业务系统，发票种类，单据状态，购方税号，购方名称，销方税号，销方名称，合计金额，单据日期）；设置查询条件，获取符合条件的销售单数据信息。</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单据明细功能需求：选择某一行销售单据信息，进入单据明细界面，界面内容包括：批次编号，单据编号，单据日期，单据状态，发票种类，发票类别代码，开票日期，发票号码、购货单位（名称，税号，地址和电话，开户行及账号）。商品名称，规格型号，计量单位，数量，单价（不含税），金额（不含税），税率，税额，价税合计，合计金额，合计税额，销货单位（名称，税号，地址及电话，开户行及账号，备注，收款人，复核人，开据人。</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作废功能需求：主要实现对不再使用的销售单数据信息进行作废，已经作废的销售单不能进行拆分合并操作；</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撤销功能需求：主要实现对已经作废的销售单数据信息进行复原操作，使得该销售单数据可以进行拆分或者合并操作。</w:t>
      </w:r>
    </w:p>
    <w:p>
      <w:pPr>
        <w:pStyle w:val="51"/>
        <w:numPr>
          <w:ilvl w:val="0"/>
          <w:numId w:val="50"/>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查询功能数据项：批次编号，销售单编号，操作，单据状态，购方税号，购方名称，销方税号，销方名称，合计金额，合计税额，单据日期；</w:t>
      </w:r>
    </w:p>
    <w:p>
      <w:pPr>
        <w:pStyle w:val="61"/>
        <w:spacing w:line="360" w:lineRule="auto"/>
        <w:ind w:firstLine="412"/>
        <w:rPr>
          <w:rFonts w:asciiTheme="minorEastAsia" w:hAnsiTheme="minorEastAsia" w:eastAsiaTheme="minorEastAsia"/>
          <w:sz w:val="21"/>
          <w:szCs w:val="21"/>
        </w:rPr>
      </w:pPr>
      <w:r>
        <w:rPr>
          <w:rFonts w:hint="eastAsia" w:asciiTheme="minorEastAsia" w:hAnsiTheme="minorEastAsia" w:eastAsiaTheme="minorEastAsia"/>
          <w:sz w:val="24"/>
          <w:szCs w:val="24"/>
        </w:rPr>
        <w:t>销售单明细数据项：批次编号，单据编号，单据日期，单据状态，发票种类，发票类别代码，开票日期，发票号码、购货单位（名称，税号，地址和电话，开户行及账号）。商品名称，规格型号，计量单位，数量，单价（不含税），金额（不含税），税率，税额，价税合计，合计金额，合计税额，销货单位（名称，税号，地址及电话，开户行及账号，备注，收款人，复核人，开据人。</w:t>
      </w:r>
    </w:p>
    <w:p>
      <w:pPr>
        <w:pStyle w:val="6"/>
        <w:numPr>
          <w:ilvl w:val="4"/>
          <w:numId w:val="0"/>
        </w:numPr>
        <w:spacing w:before="0" w:after="0" w:line="360" w:lineRule="auto"/>
        <w:ind w:left="402" w:leftChars="0"/>
      </w:pPr>
      <w:bookmarkStart w:id="291" w:name="_Toc32385"/>
      <w:r>
        <w:rPr>
          <w:rFonts w:hint="eastAsia"/>
        </w:rPr>
        <w:t>2.2.7异常销售单查询</w:t>
      </w:r>
      <w:bookmarkEnd w:id="291"/>
    </w:p>
    <w:p>
      <w:pPr>
        <w:pStyle w:val="51"/>
        <w:numPr>
          <w:ilvl w:val="0"/>
          <w:numId w:val="51"/>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通过接口读取从业务系统传入并对销售单数据进行校验后，存在错误的销售单据数据（即：异常销售单），异常销售单查询功能可用于对异常销售单信息进行查询。</w:t>
      </w:r>
    </w:p>
    <w:p>
      <w:pPr>
        <w:pStyle w:val="51"/>
        <w:numPr>
          <w:ilvl w:val="0"/>
          <w:numId w:val="51"/>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该功能主要实现对从业务系统传入进管理系统内的异常销售单数据（在从业务系统传入中校验有错误的销售单）信息按照一定的条件进行查询操作；并对查询出来的异常销售单信息，可以进行异常销售单明细信息进行查看。</w:t>
      </w:r>
    </w:p>
    <w:p>
      <w:pPr>
        <w:pStyle w:val="51"/>
        <w:numPr>
          <w:ilvl w:val="0"/>
          <w:numId w:val="51"/>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查询功能数据项：批次编号，销售单编号，单据状态，购方税号，购方名称，销方税号，销方名称，合计金额，合计税额，单据日期，错误代码，错误原因；</w:t>
      </w:r>
    </w:p>
    <w:p>
      <w:pPr>
        <w:pStyle w:val="61"/>
        <w:spacing w:line="360" w:lineRule="auto"/>
        <w:ind w:firstLine="412"/>
        <w:rPr>
          <w:rFonts w:asciiTheme="minorEastAsia" w:hAnsiTheme="minorEastAsia" w:eastAsiaTheme="minorEastAsia"/>
          <w:sz w:val="21"/>
          <w:szCs w:val="21"/>
        </w:rPr>
      </w:pPr>
      <w:r>
        <w:rPr>
          <w:rFonts w:hint="eastAsia" w:asciiTheme="minorEastAsia" w:hAnsiTheme="minorEastAsia" w:eastAsiaTheme="minorEastAsia"/>
          <w:sz w:val="24"/>
          <w:szCs w:val="24"/>
        </w:rPr>
        <w:t>销售单明细数据项：批次编号，单据编号，单据日期，单据状态，发票种类，发票类别代码，开票日期，发票号码、购货单位（名称，税号，地址和电话，开户行及账号）。商品名称，规格型号，计量单位，数量，单价（不含税），金额（不含税），税率，税额，价税合计，合计金额，合计税额，销货单位（名称，税号，地址及电话，开户行及账号，备注，收款人，复核人，开据人。</w:t>
      </w:r>
    </w:p>
    <w:p>
      <w:pPr>
        <w:pStyle w:val="6"/>
        <w:numPr>
          <w:ilvl w:val="4"/>
          <w:numId w:val="0"/>
        </w:numPr>
        <w:spacing w:before="0" w:after="0" w:line="360" w:lineRule="auto"/>
        <w:ind w:left="402" w:leftChars="0"/>
      </w:pPr>
      <w:bookmarkStart w:id="292" w:name="_Toc29049"/>
      <w:r>
        <w:rPr>
          <w:rFonts w:hint="eastAsia"/>
        </w:rPr>
        <w:t>2.2.8销售单开票查询</w:t>
      </w:r>
      <w:bookmarkEnd w:id="292"/>
    </w:p>
    <w:p>
      <w:pPr>
        <w:pStyle w:val="51"/>
        <w:numPr>
          <w:ilvl w:val="0"/>
          <w:numId w:val="52"/>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销售单开票查询功能用于通过销售单编号查询该销售单所开具发票的情况，包括正常开具，冲红、作废等过程。</w:t>
      </w:r>
    </w:p>
    <w:p>
      <w:pPr>
        <w:pStyle w:val="51"/>
        <w:numPr>
          <w:ilvl w:val="0"/>
          <w:numId w:val="52"/>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销售单经过拆分或者合并后，形成的待开发票开具成发票后，还可能再经过发票作废、发票重开、红字发票、负数发票等操作，可以通过对应的销售单信息查询出一个销售单对应的全部发票变化情况；</w:t>
      </w:r>
    </w:p>
    <w:p>
      <w:pPr>
        <w:pStyle w:val="51"/>
        <w:numPr>
          <w:ilvl w:val="0"/>
          <w:numId w:val="52"/>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1"/>
          <w:szCs w:val="21"/>
        </w:rPr>
      </w:pPr>
      <w:r>
        <w:rPr>
          <w:rFonts w:hint="eastAsia" w:asciiTheme="minorEastAsia" w:hAnsiTheme="minorEastAsia" w:eastAsiaTheme="minorEastAsia"/>
          <w:sz w:val="24"/>
          <w:szCs w:val="24"/>
        </w:rPr>
        <w:t>查询功能数据项：销售单编号，单据序号，蓝票代码，蓝票号码，发票种类，当前发票代码，当前发票号码，发票状态，销方名称，开票服务器，开票点，通知单编号。</w:t>
      </w:r>
    </w:p>
    <w:p>
      <w:pPr>
        <w:pStyle w:val="6"/>
        <w:numPr>
          <w:ilvl w:val="4"/>
          <w:numId w:val="0"/>
        </w:numPr>
        <w:spacing w:before="0" w:after="0" w:line="360" w:lineRule="auto"/>
        <w:ind w:left="402" w:leftChars="0"/>
      </w:pPr>
      <w:bookmarkStart w:id="293" w:name="_Toc3446"/>
      <w:r>
        <w:rPr>
          <w:rFonts w:hint="eastAsia"/>
        </w:rPr>
        <w:t>2.2.9单据交户日志</w:t>
      </w:r>
      <w:bookmarkEnd w:id="293"/>
    </w:p>
    <w:p>
      <w:pPr>
        <w:pStyle w:val="51"/>
        <w:numPr>
          <w:ilvl w:val="0"/>
          <w:numId w:val="53"/>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单据交互日志功能用于对管理系统与业务系统进行销售单数据交互日志信息进行查询和查看操作。</w:t>
      </w:r>
    </w:p>
    <w:p>
      <w:pPr>
        <w:pStyle w:val="51"/>
        <w:numPr>
          <w:ilvl w:val="0"/>
          <w:numId w:val="53"/>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该功能主要实现查询日志功能需求：通过设置的查询条件，获取与业务系统交互销售单数据信息时的日志信息，并进行查看明细信息的操作，还可以对交互的销售单信息报文及处理结果报文信息进行查看操作；</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主要数据项包括：批次编号，销售单来源（业务系统），传输时间，传入内容，处理结果，单据总数量，正常单据数量，异常单据数量等信息。</w:t>
      </w:r>
    </w:p>
    <w:p>
      <w:pPr>
        <w:pStyle w:val="51"/>
        <w:numPr>
          <w:ilvl w:val="0"/>
          <w:numId w:val="53"/>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1"/>
          <w:szCs w:val="21"/>
        </w:rPr>
      </w:pPr>
      <w:r>
        <w:rPr>
          <w:rFonts w:hint="eastAsia" w:asciiTheme="minorEastAsia" w:hAnsiTheme="minorEastAsia" w:eastAsiaTheme="minorEastAsia"/>
          <w:sz w:val="24"/>
          <w:szCs w:val="24"/>
        </w:rPr>
        <w:t>查询功能数据项：序号，批次编号，销售单来源（业务系统），传输时间，传入内容，处理结果，单据总数量，正常单据数量，异常单据数量。</w:t>
      </w:r>
    </w:p>
    <w:p>
      <w:pPr>
        <w:pStyle w:val="5"/>
        <w:numPr>
          <w:ilvl w:val="3"/>
          <w:numId w:val="0"/>
        </w:numPr>
        <w:spacing w:before="0" w:after="0" w:line="360" w:lineRule="auto"/>
        <w:ind w:left="402" w:leftChars="0"/>
      </w:pPr>
      <w:bookmarkStart w:id="294" w:name="_Toc24002"/>
      <w:r>
        <w:rPr>
          <w:rFonts w:hint="eastAsia"/>
        </w:rPr>
        <w:t>2.3 开票管理</w:t>
      </w:r>
      <w:bookmarkEnd w:id="294"/>
    </w:p>
    <w:p>
      <w:pPr>
        <w:pStyle w:val="6"/>
        <w:numPr>
          <w:ilvl w:val="4"/>
          <w:numId w:val="0"/>
        </w:numPr>
        <w:spacing w:before="0" w:after="0" w:line="360" w:lineRule="auto"/>
        <w:ind w:left="402" w:leftChars="0"/>
      </w:pPr>
      <w:bookmarkStart w:id="295" w:name="_Toc14146"/>
      <w:r>
        <w:rPr>
          <w:rFonts w:hint="eastAsia"/>
        </w:rPr>
        <w:t>2.3.1开票申请</w:t>
      </w:r>
      <w:bookmarkEnd w:id="295"/>
    </w:p>
    <w:p>
      <w:pPr>
        <w:pStyle w:val="51"/>
        <w:numPr>
          <w:ilvl w:val="0"/>
          <w:numId w:val="54"/>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对于无法通过接口从业务系统中获取销售单开具增值税发票，需要手工填写开具增值税发票申请单，经过审批后才能开具增值税发票。手工开票申请是对此申请单的管理，包括对发票开具申请单进行增加，修改和删除操作。</w:t>
      </w:r>
    </w:p>
    <w:p>
      <w:pPr>
        <w:pStyle w:val="51"/>
        <w:numPr>
          <w:ilvl w:val="0"/>
          <w:numId w:val="54"/>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界面内容包括：手工开票申请功能栏（查询，增加，修改，删除，折扣，复制，商品行增加、商品行删除、含税价，清单）；查询条件：机构名称，申请单编号，填写日期起，填写日期至；查询结果区：序号，机构名称，申请单编号，申请人，申请日期；当进入增加申请单或修改申请单界面时，功能栏中的：折扣，复制，商品行增加、商品行删除、含税价，清单按钮图标才可以进行操作。</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增加申请单功能需求：进入增加申请单界面，界面内容包括：申请单编号，发票种类，发票类别代码，开票日期，发票号码、购货单位（名称，纳税人识别号，地址和电话，开户行及账号）。密码区，商品名称，规格型号，计量单位，数量，单价（不含税），金额（不含税），税率，税额，价税合计，合计金额，合计税额，销货单位（名称，纳税人识别号，地址及电话，开户行及账号，备注，申请机构名称，申请人，申请人电话，申请日期，申请理由。录入申请单信息后，保存数据信息，则生成一个手工开票申请单。</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修改申请单功能需求：选择获取的申请单信息，进入申请单修改界面，界面内容包括：申请单编号，发票种类，发票类别代码，开票日期，发票号码、购货单位（名称，纳税人识别号，地址和电话，开户行及账号）。密码区，商品名称，规格型号，计量单位，数量，单价（不含税），金额（不含税），税率，税额，价税合计，合计金额，合计税额，销货单位（名称，纳税人识别号，地址及电话，开户行及账号，备注，申请机构名称，申请人，申请人电话，申请日期，申请理由。</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选择手工开票申请单主界面功能栏的“折扣”按钮图标，进入折扣对话框，对话框内容包括：折扣行数，商品金额，折扣率，折扣金额；可以对开具的商品进行折扣。</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在手工开票申请单中，如果选中“清单”按钮图标，则系统在保存发票信息时，自动转换为清单形式（注：当商品信息超过8行时，可利用销货清单的功能来开具带销货清单的发票）；如果用户选中“含税价”按钮图标后，则商品信息区内的商品金额会自动转换成含税金额（即含税金额=不含税金额+税额）；如果点击发票开具主界面功能栏上的添加行按钮，则在商品信息光标所在行下面新添加一行；选择删除行按钮，则在商品信息光标所在行进行删除；</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选择“复制”按钮图标，进入复制发票选择对话框界面，界面内容包括：功能操作栏（查询，选择），查询条件（发票种类，发票代码，发票起始号码，发票截止号码，购方纳税人识别号，购方名称，开票起始日期，开票截止日期，发票性质，作废标志，打印标志），查询结果区（发票种类，发票代码，发票号码，购方纳税人识别号，购方名称，金额，税率，税额），可以根据查询出的发票信息，并选择一条发票信息，显示到手工开票申请单界面上。</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删除申请单功能需求：选择需要删除的申请单信息，就可以对该申请单进行删除操作。</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导出功能需求：在查询列表中，点击“导出xls”按钮，可导出该列表到Excel文档中。</w:t>
      </w:r>
    </w:p>
    <w:p>
      <w:pPr>
        <w:pStyle w:val="51"/>
        <w:numPr>
          <w:ilvl w:val="0"/>
          <w:numId w:val="54"/>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查询数据项：序号，机构名称，申请单编号，申请人，申请日期。</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增加手工开票申请单数据项：申请单编号，发票种类，发票类别代码，开票日期，发票号码、购货单位（名称，纳税人识别号，地址和电话，开户行及账号）。密码区，商品名称，规格型号，计量单位，数量，单价（不含税），金额（不含税），税率，税额，价税合计，合计金额，合计税额，销货单位（名称，纳税人识别号，地址及电话，开户行及账号，备注，申请机构名称，申请人，申请人电话，申请日期，申请理由；</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修改手工开票申请单数据项：申请单编号，发票种类，发票类别代码，开票日期，发票号码、购货单位（名称，纳税人识别号，地址和电话，开户行及账号）。密码区，商品名称，规格型号，计量单位，数量，单价（不含税），金额（不含税），税率，税额，价税合计，合计金额，合计税额，销货单位（名称，纳税人识别号，地址及电话，开户行及账号，备注，申请机构名称，申请人，申请人电话，申请日期，申请理由。</w:t>
      </w:r>
    </w:p>
    <w:p>
      <w:pPr>
        <w:pStyle w:val="6"/>
        <w:numPr>
          <w:ilvl w:val="4"/>
          <w:numId w:val="0"/>
        </w:numPr>
        <w:spacing w:before="0" w:after="0" w:line="360" w:lineRule="auto"/>
        <w:ind w:left="402" w:leftChars="0"/>
      </w:pPr>
      <w:bookmarkStart w:id="296" w:name="_Toc26120"/>
      <w:r>
        <w:rPr>
          <w:rFonts w:hint="eastAsia"/>
        </w:rPr>
        <w:t>2.3.2开票审核</w:t>
      </w:r>
      <w:bookmarkEnd w:id="296"/>
    </w:p>
    <w:p>
      <w:pPr>
        <w:pStyle w:val="51"/>
        <w:numPr>
          <w:ilvl w:val="0"/>
          <w:numId w:val="55"/>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手工开票审核功能用于对已经填写完成的手工开票申请单信息进行审核，只有审核通过的手工开票申请单开票信息才可以进行手工开票。</w:t>
      </w:r>
    </w:p>
    <w:p>
      <w:pPr>
        <w:pStyle w:val="51"/>
        <w:numPr>
          <w:ilvl w:val="0"/>
          <w:numId w:val="55"/>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界面内容包括：手工开票审核功能栏（查询，审核）；查询条件：机构名称，申请单编号，审核状态，审核日期起，审核日期至；查询结果区：序号，机构名称，申请单编号，申请人，申请日期，审核状态，审核人，审核组织机构，审核日期，申请单明细。</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审核功能需求：选择获取的手工开票申请单信息，进入手工开票申请单审核界面，界面内容包括：申请单编号，发票种类，发票类别代码，开票日期，发票号码、购货单位（名称，纳税人识别号，地址和电话，开户行及账号）。密码区，商品名称，规格型号，计量单位，数量，单价（不含税），金额（不含税），税率，税额，价税合计，合计金额，合计税额，销货单位（名称，纳税人识别号，地址及电话，开户行及账号，备注，申请机构名称，申请人，申请人电话，申请日期，申请理由，审核人，审核人电话，审核组织机构，审核建议，审核日期；审核人对界面数据进行审核，并对符合审核条件的申请单进行审核通过，对不符合条件的进行审核不通过。</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申请单明细功能需求：选择某一行手工开票申请单信息上的申请单明细按钮，进入申请单明细界面，界面内容包括：申请单编号，发票种类，发票类别代码，开票日期，发票号码、购货单位（名称，纳税人识别号，地址和电话，开户行及账号）。密码区，商品名称，规格型号，计量单位，数量，单价（不含税），金额（不含税），税率，税额，价税合计，合计金额，合计税额，销货单位（名称，纳税人识别号，地址及电话，开户行及账号，备注，申请机构名称，申请人，申请人电话，申请日期，申请理由，审核人，审核人电话，审核组织机构，审核建议，审核日期。</w:t>
      </w:r>
    </w:p>
    <w:p>
      <w:pPr>
        <w:pStyle w:val="51"/>
        <w:numPr>
          <w:ilvl w:val="0"/>
          <w:numId w:val="55"/>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查询数据项：序号，机构名称，申请单编号，申请人，申请日期，审核状态，审核人，审核组织机构，审核日期，申请单明细；</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审核手工开票申请单数据项：申请单编号，发票种类，发票类别代码，开票日期，发票号码、购货单位（名称，纳税人识别号，地址和电话，开户行及账号）。密码区，商品名称，规格型号，计量单位，数量，单价（不含税），金额（不含税），税率，税额，价税合计，合计金额，合计税额，销货单位（名称，纳税人识别号，地址及电话，开户行及账号，备注，申请机构名称，申请人，申请人电话，申请日期，申请理由，审核人，审核人电话，审核组织机构，审核建议，审核日期；</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申请单明细界面数据项：申请单编号，发票种类，发票类别代码，开票日期，发票号码、购货单位（名称，纳税人识别号，地址和电话，开户行及账号）。密码区，商品名称，规格型号，计量单位，数量，单价（不含税），金额（不含税），税率，税额，价税合计，合计金额，合计税额，销货单位（名称，纳税人识别号，地址及电话，开户行及账号，备注，申请机构名称，申请人，申请人电话，申请日期，申请理由，审核人，审核人电话，审核组织机构，审核建议，审核日期。</w:t>
      </w:r>
    </w:p>
    <w:p>
      <w:pPr>
        <w:pStyle w:val="6"/>
        <w:numPr>
          <w:ilvl w:val="4"/>
          <w:numId w:val="0"/>
        </w:numPr>
        <w:spacing w:before="0" w:after="0" w:line="360" w:lineRule="auto"/>
        <w:ind w:left="402" w:leftChars="0"/>
      </w:pPr>
      <w:bookmarkStart w:id="297" w:name="_Toc6295"/>
      <w:r>
        <w:rPr>
          <w:rFonts w:hint="eastAsia"/>
        </w:rPr>
        <w:t>2.3.3待开票管理</w:t>
      </w:r>
      <w:bookmarkEnd w:id="297"/>
    </w:p>
    <w:p>
      <w:pPr>
        <w:pStyle w:val="51"/>
        <w:numPr>
          <w:ilvl w:val="0"/>
          <w:numId w:val="56"/>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待开票管理功能用于对销售单拆分出来的待开发票、开票申请单形成的待开发票，红</w:t>
      </w:r>
      <w:r>
        <w:rPr>
          <w:rFonts w:hint="eastAsia" w:asciiTheme="minorEastAsia" w:hAnsiTheme="minorEastAsia"/>
          <w:sz w:val="24"/>
          <w:szCs w:val="24"/>
          <w:lang w:eastAsia="zh-CN"/>
        </w:rPr>
        <w:t>**</w:t>
      </w:r>
      <w:r>
        <w:rPr>
          <w:rFonts w:hint="eastAsia" w:asciiTheme="minorEastAsia" w:hAnsiTheme="minorEastAsia"/>
          <w:sz w:val="24"/>
          <w:szCs w:val="24"/>
        </w:rPr>
        <w:t>知单形成的待开发票数据以及形成的已开发票数据做查询管理。</w:t>
      </w:r>
    </w:p>
    <w:p>
      <w:pPr>
        <w:pStyle w:val="51"/>
        <w:numPr>
          <w:ilvl w:val="0"/>
          <w:numId w:val="56"/>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界面内容包括：待开票管理功能栏（查询）；查询条件：数据来源（销售单据，单据号码，机构名称，销方税号，销方名称，发票种类，购方税号，购方名称）；查询结果区：序号，单据号码（如果数据来源是销售单数据，则显示销售单编号，如果数据来源是开票申请单，则显示申请单编号，否则显示通知单号），机构名称，发票种类，销方税号，销方名称，购方税号，购方名称，税率，合计金额，操作日期，数据来源（销售单据，申请单据，红票申请单）、开票标志（未开、已开、重开）、发票状态（正常、作废），开票服务器名称，开票点名称，操作（查看明细）；获取形成的待开票及已开发票数据信息。</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看待开票明细功能需求：选择某一行待开票数据，点击查看明细按钮，进入待开票查看明细页面，页面分两部分内容：基础信息和待开发票内容。其中基础信息需展示数据项：单据号码，机构名称，数据来源、开票标志、发票状态、开票服务器名称，开票点名称。发票内容需展示数据项：发票种类，发票代码，开票日期，发票号码，购货单位（名称，纳税人识别号，地址和电话，开户行及账号）。商品名称，规格型号，计量单位，数量，单价（不含税），金额（不含税），税率，税额，价税合计，合计金额，合计税额，销货单位（名称，纳税人识别号，地址及电话，开户行及账号）。注意：发票代码、发票号码内容项必须是空。</w:t>
      </w:r>
    </w:p>
    <w:p>
      <w:pPr>
        <w:pStyle w:val="51"/>
        <w:numPr>
          <w:ilvl w:val="0"/>
          <w:numId w:val="56"/>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序号，单据号码，机构名称，发票种类，销方税号，销方名称，购方税号，购方名称，税率，合计金额，操作日期，数据来源，开票标志，发票状态，开票服务器名称，开票点名称。</w:t>
      </w:r>
    </w:p>
    <w:p>
      <w:pPr>
        <w:pStyle w:val="6"/>
        <w:numPr>
          <w:ilvl w:val="4"/>
          <w:numId w:val="0"/>
        </w:numPr>
        <w:spacing w:before="0" w:after="0" w:line="360" w:lineRule="auto"/>
        <w:ind w:left="402" w:leftChars="0"/>
      </w:pPr>
      <w:bookmarkStart w:id="298" w:name="_Toc12850"/>
      <w:r>
        <w:rPr>
          <w:rFonts w:hint="eastAsia"/>
        </w:rPr>
        <w:t>2.3.4重开票管理</w:t>
      </w:r>
      <w:bookmarkEnd w:id="298"/>
    </w:p>
    <w:p>
      <w:pPr>
        <w:pStyle w:val="51"/>
        <w:numPr>
          <w:ilvl w:val="0"/>
          <w:numId w:val="57"/>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用于对已经开过发票的发票信息作废后进行重开的需求，如果需要重开发票，一定要经过审核才可再开发票。</w:t>
      </w:r>
    </w:p>
    <w:p>
      <w:pPr>
        <w:pStyle w:val="51"/>
        <w:numPr>
          <w:ilvl w:val="0"/>
          <w:numId w:val="57"/>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界面内容包括查询条件和查询结果，根据查询条件获取对应权限机构的作废发票信息，并对需要重开发票信息进行重开操作，还可以对已经重开未提交审核的重开票信息进行撤销操作。</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查询条件：机构名称，发票种类，发票代码，发票起始号码，发票截止号码，开票标志，销方税号，销方名称，购方税号，购方名称，重开状态。</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查询结果：单据号码，机构名称，发票种类，发票代码，发票号码，销方税号，销方名称，购方税号，购方名称，税率，合计金额，开票日期，开票标志，重开状态，数据来源、开票服务器名称、开票点名称。</w:t>
      </w:r>
    </w:p>
    <w:p>
      <w:pPr>
        <w:pStyle w:val="51"/>
        <w:numPr>
          <w:ilvl w:val="0"/>
          <w:numId w:val="57"/>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查询条件数据项：机构名称，发票种类，发票代码，发票起始号码，发票截止号码，开票标志，销方税号，销方名称，购方税号，购方名称，重开状态；</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结果数据项：单据号码，机构名称，发票种类，发票代码，发票号码，销方税号，销方名称，购方税号，购方名称，税率，合计金额，开票日期，开票标志，重开状态，数据来源、开票服务器名称、开票点名称。</w:t>
      </w:r>
    </w:p>
    <w:p>
      <w:pPr>
        <w:pStyle w:val="6"/>
        <w:numPr>
          <w:ilvl w:val="4"/>
          <w:numId w:val="0"/>
        </w:numPr>
        <w:spacing w:before="0" w:after="0" w:line="360" w:lineRule="auto"/>
        <w:ind w:left="402" w:leftChars="0"/>
      </w:pPr>
      <w:bookmarkStart w:id="299" w:name="_Toc18364"/>
      <w:r>
        <w:rPr>
          <w:rFonts w:hint="eastAsia"/>
        </w:rPr>
        <w:t>2.3.5重开票审核</w:t>
      </w:r>
      <w:bookmarkEnd w:id="299"/>
    </w:p>
    <w:p>
      <w:pPr>
        <w:pStyle w:val="51"/>
        <w:numPr>
          <w:ilvl w:val="0"/>
          <w:numId w:val="58"/>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用于对已经开过发票的发票信息修改开票状态为重开时，如果需要重开发票，一定要经过审核才可再开发票。</w:t>
      </w:r>
    </w:p>
    <w:p>
      <w:pPr>
        <w:pStyle w:val="51"/>
        <w:numPr>
          <w:ilvl w:val="0"/>
          <w:numId w:val="58"/>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界面内容包括查询条件和查询结果，根据查询条件获取对应权限机构的重开发票信息，并对需要审核的重开发票信息进行审核，只有审核通过的重开发票信息才可以进行开票。</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查询条件：数据来源，单据号码，机构名称，发票种类，销方税号，销方名称，购方税号，购方名称。</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查询结果：单据号码，机构名称，发票种类，销方税号，销方名称，购方税号，购方名称，税率，合计金额，操作日期，数据来源、开票标志（重开）、发票状态（正常），开票服务器名称，开票点名称。</w:t>
      </w:r>
    </w:p>
    <w:p>
      <w:pPr>
        <w:pStyle w:val="51"/>
        <w:numPr>
          <w:ilvl w:val="0"/>
          <w:numId w:val="58"/>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查询条件数据项：数据来源，单据号码，机构名称，发票种类，销方税号，销方名称，购方税号，购方名称；</w:t>
      </w:r>
    </w:p>
    <w:p>
      <w:pPr>
        <w:pStyle w:val="61"/>
        <w:spacing w:line="360" w:lineRule="auto"/>
        <w:ind w:firstLine="412"/>
        <w:rPr>
          <w:rFonts w:asciiTheme="minorEastAsia" w:hAnsiTheme="minorEastAsia" w:eastAsiaTheme="minorEastAsia"/>
          <w:sz w:val="21"/>
          <w:szCs w:val="21"/>
        </w:rPr>
      </w:pPr>
      <w:r>
        <w:rPr>
          <w:rFonts w:hint="eastAsia" w:asciiTheme="minorEastAsia" w:hAnsiTheme="minorEastAsia" w:eastAsiaTheme="minorEastAsia"/>
          <w:sz w:val="24"/>
          <w:szCs w:val="24"/>
        </w:rPr>
        <w:t>查询结果数据项：单据号码，机构名称，发票种类，销方税号，销方名称，购方税号，购方名称，税率，合计金额，操作日期，数据来源、开票标志（重开）、发票状态（正常），开票服务器名称，开票点名称。</w:t>
      </w:r>
    </w:p>
    <w:p>
      <w:pPr>
        <w:pStyle w:val="6"/>
        <w:numPr>
          <w:ilvl w:val="4"/>
          <w:numId w:val="0"/>
        </w:numPr>
        <w:spacing w:before="0" w:after="0" w:line="360" w:lineRule="auto"/>
        <w:ind w:left="402" w:leftChars="0"/>
      </w:pPr>
      <w:bookmarkStart w:id="300" w:name="_Toc15747"/>
      <w:r>
        <w:rPr>
          <w:rFonts w:hint="eastAsia"/>
        </w:rPr>
        <w:t>2.3.6发票批量开具</w:t>
      </w:r>
      <w:bookmarkEnd w:id="300"/>
    </w:p>
    <w:p>
      <w:pPr>
        <w:pStyle w:val="51"/>
        <w:numPr>
          <w:ilvl w:val="0"/>
          <w:numId w:val="59"/>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电子发票</w:t>
      </w:r>
    </w:p>
    <w:p>
      <w:pPr>
        <w:spacing w:line="360" w:lineRule="auto"/>
        <w:ind w:firstLine="424" w:firstLineChars="177"/>
        <w:rPr>
          <w:rFonts w:asciiTheme="minorEastAsia" w:hAnsiTheme="minorEastAsia"/>
          <w:szCs w:val="21"/>
        </w:rPr>
      </w:pPr>
      <w:r>
        <w:rPr>
          <w:rFonts w:hint="eastAsia" w:asciiTheme="minorEastAsia" w:hAnsiTheme="minorEastAsia"/>
          <w:sz w:val="24"/>
          <w:szCs w:val="24"/>
        </w:rPr>
        <w:t>电子发票系统与</w:t>
      </w:r>
      <w:r>
        <w:rPr>
          <w:rFonts w:hint="eastAsia" w:asciiTheme="minorEastAsia" w:hAnsiTheme="minorEastAsia"/>
          <w:sz w:val="24"/>
          <w:szCs w:val="24"/>
          <w:lang w:eastAsia="zh-CN"/>
        </w:rPr>
        <w:t>xx卡运营平台、合作银行的电子收费业务</w:t>
      </w:r>
      <w:r>
        <w:rPr>
          <w:rFonts w:hint="eastAsia" w:asciiTheme="minorEastAsia" w:hAnsiTheme="minorEastAsia"/>
          <w:sz w:val="24"/>
          <w:szCs w:val="24"/>
        </w:rPr>
        <w:t>对接，通过接口实现电子发票自动批量开具，发票数据实现与税务机关发票平台系统信息交互。</w:t>
      </w:r>
    </w:p>
    <w:p>
      <w:pPr>
        <w:pStyle w:val="6"/>
        <w:numPr>
          <w:ilvl w:val="4"/>
          <w:numId w:val="0"/>
        </w:numPr>
        <w:spacing w:before="0" w:after="0" w:line="360" w:lineRule="auto"/>
        <w:ind w:left="402" w:leftChars="0"/>
      </w:pPr>
      <w:bookmarkStart w:id="301" w:name="_Toc24746"/>
      <w:r>
        <w:rPr>
          <w:rFonts w:hint="eastAsia"/>
        </w:rPr>
        <w:t>2.3.7发票开具管理</w:t>
      </w:r>
      <w:bookmarkEnd w:id="301"/>
    </w:p>
    <w:p>
      <w:pPr>
        <w:pStyle w:val="51"/>
        <w:numPr>
          <w:ilvl w:val="0"/>
          <w:numId w:val="60"/>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发票开具管理功能用于对已经形成的待开发票进行发票开具操作，并可以待开发票信息进行详细信息查看。</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可以开具纸质普通发票、电子发票、增值税专用发票。</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电子发票开具：</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企业将开票信息传递给电子发票服务平台，服务平台自动调取该企业的发票号码、发票代码、签章信息等与企业传输的交易信息、发票填开信息等自动生成电子发票，同时附加电子签章信息，生产电子发票文件（</w:t>
      </w:r>
      <w:r>
        <w:rPr>
          <w:rFonts w:asciiTheme="minorEastAsia" w:hAnsiTheme="minorEastAsia"/>
          <w:sz w:val="24"/>
          <w:szCs w:val="24"/>
        </w:rPr>
        <w:t>PDF</w:t>
      </w:r>
      <w:r>
        <w:rPr>
          <w:rFonts w:hint="eastAsia" w:asciiTheme="minorEastAsia" w:hAnsiTheme="minorEastAsia"/>
          <w:sz w:val="24"/>
          <w:szCs w:val="24"/>
        </w:rPr>
        <w:t>文件），电子发票文件可回传输给企业平台，供受票方下载，也可从服务平台直接下载。</w:t>
      </w:r>
    </w:p>
    <w:p>
      <w:pPr>
        <w:pStyle w:val="51"/>
        <w:numPr>
          <w:ilvl w:val="0"/>
          <w:numId w:val="60"/>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界面内容包括：发票开具功能栏（查询，开票，查看）；查询条件：数据来源，单据号码，机构名称，购方税号，购方名称，发票种类，销方税号，开票服务器号，开票点号；查询结果区：序号，单据号码，机构名称，发票种类，销方税号，销方名称，购方税号，购方名称，税率，合计金额，操作日期，开票标志，发票状态，数据来源，开票服务器名称，开票点名称。</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开票功能需求：选中一条待开票信息，进入发票开具界面，界面内容包括：发票种类，发票类别代码，开票日期，发票号码、购货单位（名称，纳税人识别号，地址和电话，开户行及账号）。密码区，商品名称，规格型号，计量单位，数量，单价（不含税），金额（不含税），税率，税额，价税合计，合计金额，合计税额，销货单位（名称，纳税人识别号，地址及电话，开户行及账号，备注，收款人，复核人，开票人。把待开票信息显示在弹出的发票开具页面上，进行发票开具和发票打印操作。</w:t>
      </w:r>
    </w:p>
    <w:p>
      <w:pPr>
        <w:pStyle w:val="51"/>
        <w:numPr>
          <w:ilvl w:val="0"/>
          <w:numId w:val="60"/>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查询数据项：序号，单据号码，机构名称，发票种类，销方税号，销方名称，购方税号，购方名称，税率，合计金额，操作日期，开票标志，发票状态，数据来源，开票服务器名称，开票点名称；</w:t>
      </w:r>
    </w:p>
    <w:p>
      <w:pPr>
        <w:pStyle w:val="61"/>
        <w:spacing w:line="360" w:lineRule="auto"/>
        <w:ind w:firstLine="412"/>
        <w:rPr>
          <w:rFonts w:asciiTheme="minorEastAsia" w:hAnsiTheme="minorEastAsia" w:eastAsiaTheme="minorEastAsia"/>
          <w:sz w:val="21"/>
          <w:szCs w:val="21"/>
        </w:rPr>
      </w:pPr>
      <w:r>
        <w:rPr>
          <w:rFonts w:hint="eastAsia" w:asciiTheme="minorEastAsia" w:hAnsiTheme="minorEastAsia" w:eastAsiaTheme="minorEastAsia"/>
          <w:sz w:val="24"/>
          <w:szCs w:val="24"/>
        </w:rPr>
        <w:t>发票开具页面信息数据项：发票种类，发票类别代码，开票日期，购货单位名称，购货单位纳税人识别号，购货单位地址和电话，购货单位开户行及账号，密码区，商品名称，规格型号，计量单位，数量，单价，金额，税率，税额，价税合计，合计金额，合计税额，销货单位名称，销货单位纳税人识别号，销货单位地址及电话，销货单位开户行及账号，备注，收款人，复核人，开票人。</w:t>
      </w:r>
    </w:p>
    <w:p>
      <w:pPr>
        <w:pStyle w:val="6"/>
        <w:numPr>
          <w:ilvl w:val="4"/>
          <w:numId w:val="0"/>
        </w:numPr>
        <w:spacing w:before="0" w:after="0" w:line="360" w:lineRule="auto"/>
        <w:ind w:left="402" w:leftChars="0"/>
      </w:pPr>
      <w:bookmarkStart w:id="302" w:name="_Toc12974"/>
      <w:r>
        <w:rPr>
          <w:rFonts w:hint="eastAsia"/>
        </w:rPr>
        <w:t>2.3.8发票作废</w:t>
      </w:r>
      <w:bookmarkEnd w:id="302"/>
    </w:p>
    <w:p>
      <w:pPr>
        <w:pStyle w:val="51"/>
        <w:numPr>
          <w:ilvl w:val="0"/>
          <w:numId w:val="61"/>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一般纳税人在开具专用发票当月，发生销货退回、开票有误等情形，收到退回的发票联、抵扣联符合作废条件的，按作废处理；开具时发现有误的，可即时作废。</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发票作废功能用于当企业所开发票有误或者由于商品质量等问题购方退货时，若该张所开发票尚未抄税，则可利用该功能作废该张发票的电子信息。</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可以作废纸质普通发票、电子发票、增值税专用发票。</w:t>
      </w:r>
    </w:p>
    <w:p>
      <w:pPr>
        <w:pStyle w:val="51"/>
        <w:numPr>
          <w:ilvl w:val="0"/>
          <w:numId w:val="61"/>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界面内容包括：功能操作栏（查询，作废）查询条件（发票种类，发票代码，发票起始号码，发票截止号码，购方纳税人识别号，购方名称，开票起始日期，开票截止日期，作废标志，打印标志，清单标志），查询结果区（序号，发票种类，发票代码，发票号码，开票机号，开票日期，购方纳税人识别号，购方名称，金额，税额，价税合计，税率，备注，开票人）；</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选择作废按钮，可以对选中的发票进行作废；</w:t>
      </w:r>
    </w:p>
    <w:p>
      <w:pPr>
        <w:pStyle w:val="51"/>
        <w:numPr>
          <w:ilvl w:val="0"/>
          <w:numId w:val="61"/>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1"/>
          <w:szCs w:val="21"/>
        </w:rPr>
      </w:pPr>
      <w:r>
        <w:rPr>
          <w:rFonts w:hint="eastAsia" w:asciiTheme="minorEastAsia" w:hAnsiTheme="minorEastAsia" w:eastAsiaTheme="minorEastAsia"/>
          <w:sz w:val="24"/>
          <w:szCs w:val="24"/>
        </w:rPr>
        <w:t>查询功能数据项：序号，发票种类，发票代码，发票号码，开票机号，开票日期，购方纳税人识别号，购方名称，金额，税额，价税合计，税率，备注，开票人；</w:t>
      </w:r>
    </w:p>
    <w:p>
      <w:pPr>
        <w:pStyle w:val="6"/>
        <w:numPr>
          <w:ilvl w:val="4"/>
          <w:numId w:val="0"/>
        </w:numPr>
        <w:spacing w:before="0" w:after="0" w:line="360" w:lineRule="auto"/>
        <w:ind w:left="402" w:leftChars="0"/>
      </w:pPr>
      <w:bookmarkStart w:id="303" w:name="_Toc28523"/>
      <w:r>
        <w:rPr>
          <w:rFonts w:hint="eastAsia"/>
        </w:rPr>
        <w:t>2.3.9发票批量打印</w:t>
      </w:r>
      <w:bookmarkEnd w:id="303"/>
    </w:p>
    <w:p>
      <w:pPr>
        <w:pStyle w:val="51"/>
        <w:numPr>
          <w:ilvl w:val="0"/>
          <w:numId w:val="62"/>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发票批量打印功能可对已开具未打印的单张或多张发票进行打印操作。</w:t>
      </w:r>
    </w:p>
    <w:p>
      <w:pPr>
        <w:pStyle w:val="51"/>
        <w:numPr>
          <w:ilvl w:val="0"/>
          <w:numId w:val="62"/>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界面包括：功能操作栏（查询，打印，打印清单），查询条件（购方税号，购方名称，发票种类，销方税号，销方名称，开票服务器名称，发票代码，发票起始号码，发票截止号码，开票点名称，开票日期起，开票日期止），查询结果区（序号，发票种类，发票代码，发票号码，开票服务器名称，开票点名称，购方税号，购方名称，销方税号，销方名称，开票日期，金额，税额，作废标志，打印标志，清单标志，查看明细）。</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选择查看明细按钮，进入该条发票信息的开具界面对话框，界面内容包括：发票种类，发票类别代码，发票号码，开票日期，购货单位（名称，纳税人识别号，地址和电话，开户行及账号）。密码区，商品名称，规格型号，计量单位，数量，单价（不含税），金额（不含税），税率，税额，价税合计，合计金额，合计税额，销货单位（名称，纳税人识别号，地址及电话，开户行及账号），备注，收款人，复核人，开票人；就可以在开具界面进行直接打印；</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选择“打印”按钮，进入打印预览界面，系统获取的界面信息包括：发票种类，发票类别代码，发票号码，开票日期，购货单位（名称，纳税人识别号，地址和电话，开户行及账号）。密码区，商品名称，规格型号，计量单位，数量，单价（不含税），金额（不含税），税率，税额，价税合计，合计金额，合计税额，销货单位（名称，纳税人识别号，地址及电话，开户行及账号），备注，收款人，复核人，开票人；就可以在开具界面进行直接打印。</w:t>
      </w:r>
    </w:p>
    <w:p>
      <w:pPr>
        <w:pStyle w:val="51"/>
        <w:numPr>
          <w:ilvl w:val="0"/>
          <w:numId w:val="62"/>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查询结果信息数据项：序号，发票种类，发票代码，发票号码，开票日期，购方纳税人识别号，购方名称，金额，税额，开票人，打印标志，查看；</w:t>
      </w:r>
    </w:p>
    <w:p>
      <w:pPr>
        <w:pStyle w:val="61"/>
        <w:spacing w:line="360" w:lineRule="auto"/>
        <w:ind w:firstLine="412"/>
        <w:rPr>
          <w:rFonts w:asciiTheme="minorEastAsia" w:hAnsiTheme="minorEastAsia" w:eastAsiaTheme="minorEastAsia"/>
          <w:sz w:val="21"/>
          <w:szCs w:val="21"/>
        </w:rPr>
      </w:pPr>
      <w:r>
        <w:rPr>
          <w:rFonts w:hint="eastAsia" w:asciiTheme="minorEastAsia" w:hAnsiTheme="minorEastAsia" w:eastAsiaTheme="minorEastAsia"/>
          <w:sz w:val="24"/>
          <w:szCs w:val="24"/>
        </w:rPr>
        <w:t>开具界面界面信息数据项：发票种类，发票类别代码，发票号码，开票日期，购货单位（名称，纳税人识别号，地址和电话，开户行及账号）。密码区，商品名称，规格型号，计量单位，数量，单价（不含税），金额（不含税），税率，税额，价税合计，合计金额，合计税额，销货单位（名称，纳税人识别号，地址及电话，开户行及账号），备注，收款人，复核人，开票人。</w:t>
      </w:r>
    </w:p>
    <w:p>
      <w:pPr>
        <w:pStyle w:val="6"/>
        <w:numPr>
          <w:ilvl w:val="4"/>
          <w:numId w:val="0"/>
        </w:numPr>
        <w:spacing w:before="0" w:after="0" w:line="360" w:lineRule="auto"/>
        <w:ind w:firstLine="420" w:firstLineChars="0"/>
      </w:pPr>
      <w:bookmarkStart w:id="304" w:name="_Toc12615"/>
      <w:r>
        <w:rPr>
          <w:rFonts w:hint="eastAsia"/>
        </w:rPr>
        <w:t>2.3.10抄报管理</w:t>
      </w:r>
      <w:bookmarkEnd w:id="304"/>
    </w:p>
    <w:p>
      <w:pPr>
        <w:pStyle w:val="51"/>
        <w:numPr>
          <w:ilvl w:val="0"/>
          <w:numId w:val="63"/>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用于用户对已经开具的发票数据信息进行抄报税操作，并实现对抄税、报税的功能需求。</w:t>
      </w:r>
    </w:p>
    <w:p>
      <w:pPr>
        <w:pStyle w:val="51"/>
        <w:numPr>
          <w:ilvl w:val="0"/>
          <w:numId w:val="63"/>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界面包括：抄报税功能性解释，确定按钮。</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选择确定按钮，进入远程抄报税界面，界面内容包括：基本设置（开票服务器IP地址，端口，远程抄报服务器IP地址，端口，报税文件导出路径，结果文件导入路径，保存按钮）；远程报税（操作内容，提示内容，生成报税资料，上传报税资料）；报税结果；清卡操作。</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基本设置功能需求：主要是对远程抄报税基本信息的设置，录入对应的信息后，并对基本信息进行保存。</w:t>
      </w:r>
    </w:p>
    <w:p>
      <w:pPr>
        <w:pStyle w:val="61"/>
        <w:spacing w:line="360" w:lineRule="auto"/>
        <w:ind w:firstLine="412"/>
        <w:rPr>
          <w:rFonts w:asciiTheme="minorEastAsia" w:hAnsiTheme="minorEastAsia" w:eastAsiaTheme="minorEastAsia"/>
          <w:color w:val="0000FF"/>
          <w:sz w:val="24"/>
          <w:szCs w:val="24"/>
        </w:rPr>
      </w:pPr>
      <w:r>
        <w:rPr>
          <w:rFonts w:hint="eastAsia" w:asciiTheme="minorEastAsia" w:hAnsiTheme="minorEastAsia" w:eastAsiaTheme="minorEastAsia"/>
          <w:sz w:val="24"/>
          <w:szCs w:val="24"/>
        </w:rPr>
        <w:t>远程报税功能需求：选择生成报税资料，界面在操作内容显示出操作的内容信息，并在提示内容里显示出：发票数量，剩余时间，已用时间，并用进度条显示生成的进度过程。生成完成后，选择上传报税资料，对生成的报税资料进行上传，并显示上传报税资料结果信息。</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报税结果功能需求：首先对报税盘进行认证处理；获取对应的报税结果信息，界面内容包括：专用发票（期初库存，新购发票，期末库存，退回发票，分配分厂，分厂退回，正票金额，正票税额）；普通发票（期初库存，新购发票，期末库存，退回发票，分配分厂，分厂退回，正票金额，正票税额）。</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清卡操作功能需求：进入清卡操作界面，并显示清卡的提示信息和清卡结果信息。</w:t>
      </w:r>
    </w:p>
    <w:p>
      <w:pPr>
        <w:pStyle w:val="51"/>
        <w:numPr>
          <w:ilvl w:val="0"/>
          <w:numId w:val="63"/>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基本设置界面数据项：开票服务器IP地址，端口，远程抄报服务器IP地址，端口，报税文件导出路径，结果文件导入路径，保存按钮；</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远程报税界面数据项：操作内容，提示内容，生成报税资料，上传报税资料；</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报税结果界面内容包括：专用发票（期初库存，新购发票，期末库存，退回发票，分配分厂，分厂退回，正票金额，正票税额）；普通发票（期初库存，新购发票，期末库存，退回发票，分配分厂，分厂退回，正票金额，正票税额）。</w:t>
      </w:r>
    </w:p>
    <w:p>
      <w:pPr>
        <w:pStyle w:val="5"/>
        <w:numPr>
          <w:ilvl w:val="3"/>
          <w:numId w:val="0"/>
        </w:numPr>
        <w:spacing w:before="0" w:after="0" w:line="360" w:lineRule="auto"/>
        <w:ind w:firstLine="420" w:firstLineChars="0"/>
      </w:pPr>
      <w:bookmarkStart w:id="305" w:name="_Toc4647"/>
      <w:r>
        <w:rPr>
          <w:rFonts w:hint="eastAsia"/>
        </w:rPr>
        <w:t>2.4红票管理</w:t>
      </w:r>
      <w:bookmarkEnd w:id="305"/>
    </w:p>
    <w:p>
      <w:pPr>
        <w:pStyle w:val="6"/>
        <w:numPr>
          <w:ilvl w:val="4"/>
          <w:numId w:val="0"/>
        </w:numPr>
        <w:spacing w:before="0" w:after="0" w:line="360" w:lineRule="auto"/>
        <w:ind w:left="402" w:leftChars="0"/>
      </w:pPr>
      <w:bookmarkStart w:id="306" w:name="_Toc4123"/>
      <w:r>
        <w:rPr>
          <w:rFonts w:hint="eastAsia"/>
        </w:rPr>
        <w:t>2.4.1申请单填开</w:t>
      </w:r>
      <w:bookmarkEnd w:id="306"/>
    </w:p>
    <w:p>
      <w:pPr>
        <w:pStyle w:val="51"/>
        <w:numPr>
          <w:ilvl w:val="0"/>
          <w:numId w:val="64"/>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申请单填开功能用于企业由于某些原因，需要开具销项负数发票。在开具负数发票之前，应先填报红字发票申请单。用户选择作为购方或者销方进行红字申请单填开，并输入蓝票号码，代码（如果是购方已抵扣则不必输入），系统根据蓝票自动转换或手工编辑红票申请单，生成红字申请单后提交给税局进行审核。</w:t>
      </w:r>
    </w:p>
    <w:p>
      <w:pPr>
        <w:pStyle w:val="51"/>
        <w:numPr>
          <w:ilvl w:val="0"/>
          <w:numId w:val="64"/>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界面内容包括开具红字发票信息选择和对应篮子专用发票信息两个部分，开具红字发票信息选择：购买方申请：1、已抵扣；2、未抵扣（(1).无法认证；(2).纳税人识别号认证不符；(3).增值税专用发票代码、代码认证不符；(4).所购货物不属于增值税扣税项目范围）。销售方申请：1、因开票有误购方拒收的；2、因开票有误等原因尚未交付的。对应蓝字专用发票信息：发票种类，发票代码，发票号码。选择销售方申请或者购买方申请的未抵扣中的申请理由时，必须录入对应的蓝字专用发票信息中的发票代码和发票号码。</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校验录入的蓝票信息，如果查出对应的蓝票号码，则在申请单填开界面，把原来的蓝票信息自动带出，否则，则进行手工录入。进入申请单填开界面，界面内容包括：填开日期，申请方经办人，申请单号，销货方名称，销货方纳税人识别号，销货方汉字防伪标识：是汉字防伪企业，不是汉字防伪企业；购货方名称，购货方纳税人识别号，商品名称，计量单位，数量，单价（不含税），金额（不含税），税率，税额，合计金额，合计税额，并带出上一页面填写的申请理由和对应蓝字发票信息，联系电话，申请理由；</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点击保存并打印按钮，对所申请的红字发票申请单进行打印。</w:t>
      </w:r>
    </w:p>
    <w:p>
      <w:pPr>
        <w:pStyle w:val="51"/>
        <w:numPr>
          <w:ilvl w:val="0"/>
          <w:numId w:val="64"/>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申请单填开界面数据项：填开日期，申请方经办人，申请单号，销货方名称，销货方纳税人识别号，销货方汉字防伪标识：是汉字防伪企业，不是汉字防伪企业；购货方名称，购货方纳税人识别号，商品名称，计量单位，数量，单价（不含税），金额（不含税），税率，税额，合计金额，合计税额，并带出上一页面填写的申请理由和对应蓝字发票信息，联系电话，申请理由。</w:t>
      </w:r>
    </w:p>
    <w:p>
      <w:pPr>
        <w:pStyle w:val="6"/>
        <w:numPr>
          <w:ilvl w:val="4"/>
          <w:numId w:val="0"/>
        </w:numPr>
        <w:spacing w:before="0" w:after="0" w:line="360" w:lineRule="auto"/>
        <w:ind w:left="402" w:leftChars="0"/>
      </w:pPr>
      <w:bookmarkStart w:id="307" w:name="_Toc14516"/>
      <w:r>
        <w:rPr>
          <w:rFonts w:hint="eastAsia"/>
        </w:rPr>
        <w:t>2.4.2逾期申请单</w:t>
      </w:r>
      <w:bookmarkEnd w:id="307"/>
    </w:p>
    <w:p>
      <w:pPr>
        <w:pStyle w:val="51"/>
        <w:numPr>
          <w:ilvl w:val="0"/>
          <w:numId w:val="65"/>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逾期申请单功能用于企业在申请红字发票申请单时，对应的蓝字专用发票超过开票日期的180天后没有去认证，就需要进行逾期申请单的填开。</w:t>
      </w:r>
    </w:p>
    <w:p>
      <w:pPr>
        <w:pStyle w:val="51"/>
        <w:numPr>
          <w:ilvl w:val="0"/>
          <w:numId w:val="65"/>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界面内容包括造成逾期的客观原因和对应蓝字专用发票信息两个部分，造成逾期的客观原因：1.自然灾害、社会突发事件等不可抗力因素，2.增值税发票被盗、抢，或者邮寄丢失、误递，3.有关司法、行政机关在办理业务或者审查中，扣押增值税发票，4.税务机关操作问题或技术问题，5.买卖双方因经济纠纷，购方发票未认证超过验证期限退回，6.纳税人变更纳税地点，注销旧户和重新办理税务登记的时间过长，7.企业办税人员伤亡、突发危重疾病或者擅自离职，未能办理交接手续，8.国家税务总局规定的其他情形；对应蓝字专用发票信息：发票种类，发票代码，发票号码。</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录入数据信息后，点击下一步按钮，进入对蓝字专用发票校验界面，校验该张蓝字发票是否可以开逾期红字发票申请单，当不可能开具时，要显示所输入蓝字发票的代码和号码，并要说明原因，当可以开具时，则要显示该蓝字发票的基本信息：发票代码，发票号码，购方名称，购方税号，购方地址，购方银行名称及账号，合计金额（不含税），合计税额，主要产品名称，所属月份，开票日期，开票人，打印标记，报税标记，作废标记；</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点击确定按钮，进入逾期申请单填开界面，界面内容包括：填开日期，申请方经办人，法人代表，申请单号，销货方名称，销货方纳税人识别号，销货方汉字防伪标识：是汉字防伪企业，不是汉字防伪企业；购货方名称，购货方纳税人识别号，商品名称，计量单位，数量，单价（不含税），金额（不含税），税率，税额，合计金额，合计税额，并带出上一页面填写的申请理由和对应蓝字发票信息，联系电话，申请理由；</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点击保存并打印按钮，对所申请的红字发票申请单进行打印。</w:t>
      </w:r>
    </w:p>
    <w:p>
      <w:pPr>
        <w:pStyle w:val="51"/>
        <w:numPr>
          <w:ilvl w:val="0"/>
          <w:numId w:val="65"/>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1"/>
          <w:szCs w:val="21"/>
        </w:rPr>
      </w:pPr>
      <w:r>
        <w:rPr>
          <w:rFonts w:hint="eastAsia" w:asciiTheme="minorEastAsia" w:hAnsiTheme="minorEastAsia" w:eastAsiaTheme="minorEastAsia"/>
          <w:sz w:val="24"/>
          <w:szCs w:val="24"/>
        </w:rPr>
        <w:t>查询功能数据项：填开日期，申请方经办人，法人代表，申请单号，销货方名称，销货方纳税人识别号，销货方汉字防伪标识：是汉字防伪企业，不是汉字防伪企业；购货方名称，购货方纳税人识别号，商品名称，计量单位，数量，单价（不含税），金额（不含税），税率，税额，合计金额，合计税额，并带出上一页面填写的申请理由和对应蓝字发票信息，联系电话，申请理由。</w:t>
      </w:r>
    </w:p>
    <w:p>
      <w:pPr>
        <w:pStyle w:val="6"/>
        <w:numPr>
          <w:ilvl w:val="4"/>
          <w:numId w:val="0"/>
        </w:numPr>
        <w:spacing w:before="0" w:after="0" w:line="360" w:lineRule="auto"/>
        <w:ind w:left="402" w:leftChars="0"/>
      </w:pPr>
      <w:bookmarkStart w:id="308" w:name="_Toc2808"/>
      <w:r>
        <w:rPr>
          <w:rFonts w:hint="eastAsia"/>
        </w:rPr>
        <w:t>2.4.3申请单管理</w:t>
      </w:r>
      <w:bookmarkEnd w:id="308"/>
    </w:p>
    <w:p>
      <w:pPr>
        <w:pStyle w:val="51"/>
        <w:numPr>
          <w:ilvl w:val="0"/>
          <w:numId w:val="66"/>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申请单管功能理用于用户对已经开具的红字发票申请单进行查询，打印，修改，删除，查看明细以及导出已填开的红字发票申请单。</w:t>
      </w:r>
    </w:p>
    <w:p>
      <w:pPr>
        <w:pStyle w:val="51"/>
        <w:numPr>
          <w:ilvl w:val="0"/>
          <w:numId w:val="66"/>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界面内容包括查询条件和查询结果两个部分，查询条件：组织机构，销方税号，销方名称，申请单号，购方税号，购方名称，申请单类型，填开日期起，填开日期止；设置查询条件，点击“查询”按钮，系统根据查询条件获取已开的红字发票申请单信息，查询结果显示信息：序号，组织机构，申请单号，申请单类型，发票种类，发票代码，发票号码，购方税号，购方名称，销方税号，销方名称，合计金额，税率，合计税额，填开日期，所属月份。</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打印功能：选择需要打印的申请单信息，点击打印按钮，对该条申请单进行打印。</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修改功能：对已经生成的申请单，进行信息修改。选择需要进行修改的申请单信息，点击修改按钮，进入申请单修改界面，界面内容包括：填开日期，申请方经办人，法人代表，申请单号，销货方名称，销货方纳税人识别号，销货方汉字防伪标识：是汉字防伪企业，不是汉字防伪企业；购货方名称，购货方纳税人识别号，商品名称，计量单位，数量，单价（不含税），金额（不含税），税率，税额，合计金额，合计税额，并带出上一页面填写的申请理由和对应蓝字发票信息，联系电话，申请理由；对该申请单进行修改保存。</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删除功能：删除已经生成的申请单。选中需要删除的申请单信息，点击删除按钮，对申请单进行删除。</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导出功能：导出已经生成的申请单，导出申请单时，可以选择一次导出一个申请单，也可以一次导出多个申请单。每个申请单对应导出一个 XML文件。在查询列表中，点击“导出”按钮，可导出该列表到文档中。</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看明细功能：选中需要查看明细的申请单，点击查看明细按钮，进入申请单明细界面，界面内容包括：填开日期，申请方经办人，法人代表，申请单号，销货方名称，销货方纳税人识别号，销货方汉字防伪标识：是汉字防伪企业，不是汉字防伪企业；购货方名称，购货方纳税人识别号，商品名称，计量单位，数量，单价（不含税），金额（不含税），税率，税额，合计金额，合计税额，并带出上一页面填写的申请理由和对应蓝字发票信息，联系电话，申请理由。</w:t>
      </w:r>
    </w:p>
    <w:p>
      <w:pPr>
        <w:pStyle w:val="51"/>
        <w:numPr>
          <w:ilvl w:val="0"/>
          <w:numId w:val="66"/>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查询功能数据项：序号，组织机构，申请单号，申请单类型，发票种类，发票代码，发票号码，购方税号，购方名称，销方税号，销方名称，合计金额，税率，合计税额，填开日期，所属月份；</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申请单修改界面数据项：填开日期，申请方经办人，法人代表，申请单号，销货方名称，销货方纳税人识别号，销货方汉字防伪标识：是汉字防伪企业，不是汉字防伪企业；购货方名称，购货方纳税人识别号，商品名称，计量单位，数量，单价（不含税），金额（不含税），税率，税额，合计金额，合计税额，并带出上一页面填写的申请理由和对应蓝字发票信息，联系电话，申请理由；</w:t>
      </w:r>
    </w:p>
    <w:p>
      <w:pPr>
        <w:pStyle w:val="61"/>
        <w:spacing w:line="360" w:lineRule="auto"/>
        <w:ind w:firstLine="412"/>
        <w:rPr>
          <w:rFonts w:asciiTheme="minorEastAsia" w:hAnsiTheme="minorEastAsia" w:eastAsiaTheme="minorEastAsia"/>
          <w:sz w:val="21"/>
          <w:szCs w:val="21"/>
        </w:rPr>
      </w:pPr>
      <w:r>
        <w:rPr>
          <w:rFonts w:hint="eastAsia" w:asciiTheme="minorEastAsia" w:hAnsiTheme="minorEastAsia" w:eastAsiaTheme="minorEastAsia"/>
          <w:sz w:val="24"/>
          <w:szCs w:val="24"/>
        </w:rPr>
        <w:t>查看申请单明细数据项：填开日期，申请方经办人，法人代表，申请单号，销货方名称，销货方纳税人识别号，销货方汉字防伪标识：是汉字防伪企业，不是汉字防伪企业；购货方名称，购货方纳税人识别号，商品名称，计量单位，数量，单价（不含税），金额（不含税），税率，税额，合计金额，合计税额，并带出上一页面填写的申请理由和对应蓝字发票信息，联系电话，申请理由。</w:t>
      </w:r>
    </w:p>
    <w:p>
      <w:pPr>
        <w:pStyle w:val="6"/>
        <w:numPr>
          <w:ilvl w:val="4"/>
          <w:numId w:val="0"/>
        </w:numPr>
        <w:spacing w:before="0" w:after="0" w:line="360" w:lineRule="auto"/>
        <w:ind w:left="402" w:leftChars="0"/>
      </w:pPr>
      <w:bookmarkStart w:id="309" w:name="_Toc21938"/>
      <w:r>
        <w:rPr>
          <w:rFonts w:hint="eastAsia"/>
        </w:rPr>
        <w:t>2.4.4通知单管理</w:t>
      </w:r>
      <w:bookmarkEnd w:id="309"/>
    </w:p>
    <w:p>
      <w:pPr>
        <w:pStyle w:val="51"/>
        <w:numPr>
          <w:ilvl w:val="0"/>
          <w:numId w:val="67"/>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该功能主要是建立红票申请单、红</w:t>
      </w:r>
      <w:r>
        <w:rPr>
          <w:rFonts w:hint="eastAsia" w:asciiTheme="minorEastAsia" w:hAnsiTheme="minorEastAsia"/>
          <w:sz w:val="24"/>
          <w:szCs w:val="24"/>
          <w:lang w:eastAsia="zh-CN"/>
        </w:rPr>
        <w:t>**</w:t>
      </w:r>
      <w:r>
        <w:rPr>
          <w:rFonts w:hint="eastAsia" w:asciiTheme="minorEastAsia" w:hAnsiTheme="minorEastAsia"/>
          <w:sz w:val="24"/>
          <w:szCs w:val="24"/>
        </w:rPr>
        <w:t>知单、红字发票三方的连接；对通知单进行：增加、删除、修改、查询；增加是录入或者导入红</w:t>
      </w:r>
      <w:r>
        <w:rPr>
          <w:rFonts w:hint="eastAsia" w:asciiTheme="minorEastAsia" w:hAnsiTheme="minorEastAsia"/>
          <w:sz w:val="24"/>
          <w:szCs w:val="24"/>
          <w:lang w:eastAsia="zh-CN"/>
        </w:rPr>
        <w:t>**</w:t>
      </w:r>
      <w:r>
        <w:rPr>
          <w:rFonts w:hint="eastAsia" w:asciiTheme="minorEastAsia" w:hAnsiTheme="minorEastAsia"/>
          <w:sz w:val="24"/>
          <w:szCs w:val="24"/>
        </w:rPr>
        <w:t>知单，导入的时候，要先选定对应的红票申请单，导入通知单后直接生成待开红票；如果是录入通知单，则从红票申请单中生成待开红票。待开红票进入红票审核流程，审核通过后才可开红票。红票开具成功后，需要在通知单中更新开票标志，标识对应的红票代码、发票号码。</w:t>
      </w:r>
    </w:p>
    <w:p>
      <w:pPr>
        <w:pStyle w:val="51"/>
        <w:numPr>
          <w:ilvl w:val="0"/>
          <w:numId w:val="67"/>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界面内容主要包括：查询条件和查询结果两部分内容；查询条件包括：销方税号，销方名称，购方税号，购方名称，填开开始日期，填开截止日期，通知单号；查询结果项：序号，通知单号，申请单号，发票种类，发票代码，发票号码，购方税号，购方名称，销方税号，销方名称，税率，合计金额，合计税额，填开日期，所属月份，通知单状态。系统根据查询条件获取查询结果信息。</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在该功能中，可以对通知单进行增加，修改，删除，查看明细及导出操作，通知单具体界面数据项：申请方单选框，申请单号，红字通知单号，购方地址电话，购方银行账号，销方地址电话，销方银行账号，开票服务器号，开票点号，蓝票发票代码，蓝票发票号码，填开日期，申请方经办人，发票代码，发票号码，销方名称，销方税号，是否汉字防伪单选框，购方名称，购方税号，商品名称，计量单位，数量，单价，金额，税率，税额，合计金额，合计税额；</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在生成通知单时，需要校验在有效数据中是否存在相同的通知单号；如果存在则该通知单已经使用，不能再次使用。</w:t>
      </w:r>
    </w:p>
    <w:p>
      <w:pPr>
        <w:pStyle w:val="51"/>
        <w:numPr>
          <w:ilvl w:val="0"/>
          <w:numId w:val="67"/>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查询功能数据项：序号，通知单号，申请单号，发票种类，发票代码，发票号码，购方税号，购方名称，销方税号，销方名称，税率，合计金额，合计税额，填开日期，所属月份，通知单状态；</w:t>
      </w:r>
    </w:p>
    <w:p>
      <w:pPr>
        <w:pStyle w:val="6"/>
        <w:numPr>
          <w:ilvl w:val="4"/>
          <w:numId w:val="0"/>
        </w:numPr>
        <w:spacing w:before="0" w:after="0" w:line="360" w:lineRule="auto"/>
        <w:ind w:left="402" w:leftChars="0"/>
      </w:pPr>
      <w:bookmarkStart w:id="310" w:name="_Toc32736"/>
      <w:r>
        <w:rPr>
          <w:rFonts w:hint="eastAsia"/>
        </w:rPr>
        <w:t>2.4.5通知单审核</w:t>
      </w:r>
      <w:bookmarkEnd w:id="310"/>
    </w:p>
    <w:p>
      <w:pPr>
        <w:pStyle w:val="51"/>
        <w:numPr>
          <w:ilvl w:val="0"/>
          <w:numId w:val="68"/>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通知单审核功能主要是对未审核的通知单进行审核确认，审核通过的才可由开票员在待开发票管理中查询，并开具红字发票。</w:t>
      </w:r>
    </w:p>
    <w:p>
      <w:pPr>
        <w:pStyle w:val="51"/>
        <w:numPr>
          <w:ilvl w:val="0"/>
          <w:numId w:val="68"/>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color w:val="000000"/>
          <w:sz w:val="24"/>
          <w:szCs w:val="24"/>
        </w:rPr>
      </w:pPr>
      <w:r>
        <w:rPr>
          <w:rFonts w:hint="eastAsia" w:asciiTheme="minorEastAsia" w:hAnsiTheme="minorEastAsia" w:eastAsiaTheme="minorEastAsia"/>
          <w:sz w:val="24"/>
          <w:szCs w:val="24"/>
        </w:rPr>
        <w:t>界面内容包括查询条件和查询结果两个部分内容，查询条件数据项：销方税号，销方名称，购方税号，购方名称，填开日期起，填开日期止，通知单号；查询结果数据项：序号，通知单号，</w:t>
      </w:r>
      <w:r>
        <w:rPr>
          <w:rFonts w:hint="eastAsia" w:asciiTheme="minorEastAsia" w:hAnsiTheme="minorEastAsia" w:eastAsiaTheme="minorEastAsia"/>
          <w:color w:val="000000"/>
          <w:sz w:val="24"/>
          <w:szCs w:val="24"/>
        </w:rPr>
        <w:t>申请单号，发票种类，发票代码，发票号码，购方税号，购方名称，销方税号，销方名称，税率，合计金额，合计税额，填开日期；系统根据设置的查询条件，获取未审核的通知单信息。</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color w:val="000000"/>
          <w:sz w:val="24"/>
          <w:szCs w:val="24"/>
        </w:rPr>
        <w:t>审核功能需求：对未审核的通知单数据信息进行数据合法性审核，可以对通知单审核通过或者驳回操作；审核通过的数据就进入到待开票数据信息内，驳回的通知单，则通知单数据返回到通知单管理内进行修改或者删除。</w:t>
      </w:r>
    </w:p>
    <w:p>
      <w:pPr>
        <w:pStyle w:val="51"/>
        <w:numPr>
          <w:ilvl w:val="0"/>
          <w:numId w:val="68"/>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1"/>
          <w:szCs w:val="21"/>
        </w:rPr>
      </w:pPr>
      <w:r>
        <w:rPr>
          <w:rFonts w:hint="eastAsia" w:asciiTheme="minorEastAsia" w:hAnsiTheme="minorEastAsia" w:eastAsiaTheme="minorEastAsia"/>
          <w:sz w:val="24"/>
          <w:szCs w:val="24"/>
        </w:rPr>
        <w:t>查询结果数据项：序号，通知单号，</w:t>
      </w:r>
      <w:r>
        <w:rPr>
          <w:rFonts w:hint="eastAsia" w:asciiTheme="minorEastAsia" w:hAnsiTheme="minorEastAsia" w:eastAsiaTheme="minorEastAsia"/>
          <w:color w:val="000000"/>
          <w:sz w:val="24"/>
          <w:szCs w:val="24"/>
        </w:rPr>
        <w:t>申请单号，发票种类，发票代码，发票号码，购方税号，购方名称，销方税号，销方名称，税率，合计金额，合计税额，填开日期。</w:t>
      </w:r>
    </w:p>
    <w:p>
      <w:pPr>
        <w:pStyle w:val="5"/>
        <w:numPr>
          <w:ilvl w:val="3"/>
          <w:numId w:val="0"/>
        </w:numPr>
        <w:spacing w:before="0" w:after="0" w:line="360" w:lineRule="auto"/>
        <w:ind w:left="402" w:leftChars="0"/>
      </w:pPr>
      <w:bookmarkStart w:id="311" w:name="_Toc13686"/>
      <w:r>
        <w:rPr>
          <w:rFonts w:hint="eastAsia"/>
        </w:rPr>
        <w:t>2.5 查询统计</w:t>
      </w:r>
      <w:bookmarkEnd w:id="311"/>
    </w:p>
    <w:p>
      <w:pPr>
        <w:pStyle w:val="6"/>
        <w:numPr>
          <w:ilvl w:val="4"/>
          <w:numId w:val="0"/>
        </w:numPr>
        <w:spacing w:before="0" w:after="0" w:line="360" w:lineRule="auto"/>
        <w:ind w:left="402" w:leftChars="0"/>
      </w:pPr>
      <w:bookmarkStart w:id="312" w:name="_Toc16070"/>
      <w:r>
        <w:rPr>
          <w:rFonts w:hint="eastAsia"/>
        </w:rPr>
        <w:t>2.</w:t>
      </w:r>
      <w:r>
        <w:rPr>
          <w:rFonts w:hint="eastAsia"/>
          <w:lang w:val="en-US" w:eastAsia="zh-CN"/>
        </w:rPr>
        <w:t>5</w:t>
      </w:r>
      <w:r>
        <w:rPr>
          <w:rFonts w:hint="eastAsia"/>
        </w:rPr>
        <w:t>.1发票库存查询</w:t>
      </w:r>
      <w:bookmarkEnd w:id="312"/>
    </w:p>
    <w:p>
      <w:pPr>
        <w:pStyle w:val="51"/>
        <w:numPr>
          <w:ilvl w:val="0"/>
          <w:numId w:val="69"/>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发票库存管理功能用于提供对本级及本下级单位的发票库存信息的管理，从后台服务器数据库中，查询整个系统中本级及本下级单位的库存发票，再累计出库存发票数据信息，页面中提供EXCEL导出功能。</w:t>
      </w:r>
    </w:p>
    <w:p>
      <w:pPr>
        <w:pStyle w:val="51"/>
        <w:numPr>
          <w:ilvl w:val="0"/>
          <w:numId w:val="69"/>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spacing w:line="360" w:lineRule="auto"/>
        <w:ind w:firstLine="472" w:firstLineChars="200"/>
        <w:rPr>
          <w:rFonts w:asciiTheme="minorEastAsia" w:hAnsiTheme="minorEastAsia"/>
          <w:sz w:val="24"/>
          <w:szCs w:val="24"/>
        </w:rPr>
      </w:pPr>
      <w:r>
        <w:rPr>
          <w:rFonts w:hint="eastAsia" w:asciiTheme="minorEastAsia" w:hAnsiTheme="minorEastAsia"/>
          <w:spacing w:val="-2"/>
          <w:sz w:val="24"/>
          <w:szCs w:val="24"/>
        </w:rPr>
        <w:t>界面内容包括查询条件和统计结果两个部分，</w:t>
      </w:r>
      <w:r>
        <w:rPr>
          <w:rFonts w:hint="eastAsia" w:asciiTheme="minorEastAsia" w:hAnsiTheme="minorEastAsia"/>
          <w:sz w:val="24"/>
          <w:szCs w:val="24"/>
        </w:rPr>
        <w:t>界面查询条件：组织机构，销方税号，销方名称，申请单号，购方税号，购方名称，申请单类型，填开开始日期，填开截止日期。查询结果区内容包括：序号，组织机构，申请单号，发票种类，发票代码，发票号码，购方税号，购方名称，税率，合计金额，合计税额，填开日期，所属月份；设置查询条件，点击“查询”按钮，系统按所设置的查询条件，获取查询结果信息。</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导出功能需求：在查询列表中，点击“导出”按钮，可把查询出来的数据信息导出到Excel文档中。</w:t>
      </w:r>
    </w:p>
    <w:p>
      <w:pPr>
        <w:pStyle w:val="51"/>
        <w:numPr>
          <w:ilvl w:val="0"/>
          <w:numId w:val="69"/>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1"/>
          <w:szCs w:val="21"/>
        </w:rPr>
      </w:pPr>
      <w:r>
        <w:rPr>
          <w:rFonts w:hint="eastAsia" w:asciiTheme="minorEastAsia" w:hAnsiTheme="minorEastAsia" w:eastAsiaTheme="minorEastAsia"/>
          <w:sz w:val="24"/>
          <w:szCs w:val="24"/>
        </w:rPr>
        <w:t>查询统计数据项：序号，发票种类，销方税号，销方名称，卷号，发票代码，发票号码（首张），发票数量，发票剩余数量，开票限额，购买日期；</w:t>
      </w:r>
    </w:p>
    <w:p>
      <w:pPr>
        <w:pStyle w:val="6"/>
        <w:numPr>
          <w:ilvl w:val="4"/>
          <w:numId w:val="0"/>
        </w:numPr>
        <w:spacing w:before="0" w:after="0" w:line="360" w:lineRule="auto"/>
        <w:ind w:left="402" w:leftChars="0"/>
      </w:pPr>
      <w:bookmarkStart w:id="313" w:name="_Toc4429"/>
      <w:r>
        <w:rPr>
          <w:rFonts w:hint="eastAsia"/>
        </w:rPr>
        <w:t>2.</w:t>
      </w:r>
      <w:r>
        <w:rPr>
          <w:rFonts w:hint="eastAsia"/>
          <w:lang w:val="en-US" w:eastAsia="zh-CN"/>
        </w:rPr>
        <w:t>5</w:t>
      </w:r>
      <w:r>
        <w:rPr>
          <w:rFonts w:hint="eastAsia"/>
        </w:rPr>
        <w:t>.2发票分配查询</w:t>
      </w:r>
      <w:bookmarkEnd w:id="313"/>
    </w:p>
    <w:p>
      <w:pPr>
        <w:pStyle w:val="51"/>
        <w:numPr>
          <w:ilvl w:val="0"/>
          <w:numId w:val="70"/>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发票分配查询功能用于从后台服务器中查询整个系统中各个开票服务器、开票点的发票分配数据，可将查询结果导出到EXCEL。</w:t>
      </w:r>
    </w:p>
    <w:p>
      <w:pPr>
        <w:pStyle w:val="51"/>
        <w:numPr>
          <w:ilvl w:val="0"/>
          <w:numId w:val="70"/>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spacing w:line="360" w:lineRule="auto"/>
        <w:ind w:firstLine="472" w:firstLineChars="200"/>
        <w:rPr>
          <w:rFonts w:asciiTheme="minorEastAsia" w:hAnsiTheme="minorEastAsia"/>
          <w:sz w:val="24"/>
          <w:szCs w:val="24"/>
        </w:rPr>
      </w:pPr>
      <w:r>
        <w:rPr>
          <w:rFonts w:hint="eastAsia" w:asciiTheme="minorEastAsia" w:hAnsiTheme="minorEastAsia"/>
          <w:spacing w:val="-2"/>
          <w:sz w:val="24"/>
          <w:szCs w:val="24"/>
        </w:rPr>
        <w:t>界面内容包括查询条件和统计结果两个区域，</w:t>
      </w:r>
      <w:r>
        <w:rPr>
          <w:rFonts w:hint="eastAsia" w:asciiTheme="minorEastAsia" w:hAnsiTheme="minorEastAsia"/>
          <w:sz w:val="24"/>
          <w:szCs w:val="24"/>
        </w:rPr>
        <w:t>界面查询条件：组织机构，销方税号，销方名称，发票种类，操作日期起，操作日期止；查询结果区内容包括：序号，发票种类，销方税号，销方名称，发票代码，发票起始号码，操作类型，发票数量，操作日期；设置查询条件，点击“查询”按钮，系统按所选择查询条件，获取对应的查询数据信息。</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导出功能需求：在查询列表中，点击“导出”按钮，可把查询出来的数据信息导出到Excel文档中。</w:t>
      </w:r>
    </w:p>
    <w:p>
      <w:pPr>
        <w:pStyle w:val="51"/>
        <w:numPr>
          <w:ilvl w:val="0"/>
          <w:numId w:val="70"/>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1"/>
          <w:szCs w:val="21"/>
        </w:rPr>
      </w:pPr>
      <w:r>
        <w:rPr>
          <w:rFonts w:hint="eastAsia" w:asciiTheme="minorEastAsia" w:hAnsiTheme="minorEastAsia" w:eastAsiaTheme="minorEastAsia"/>
          <w:sz w:val="24"/>
          <w:szCs w:val="24"/>
        </w:rPr>
        <w:t>查询统计数据项：序号，发票种类，销方税号，销方名称，发票代码，发票起始号码，操作类型，发票数量，操作日期；</w:t>
      </w:r>
    </w:p>
    <w:p>
      <w:pPr>
        <w:pStyle w:val="6"/>
        <w:numPr>
          <w:ilvl w:val="4"/>
          <w:numId w:val="0"/>
        </w:numPr>
        <w:spacing w:before="0" w:after="0" w:line="360" w:lineRule="auto"/>
        <w:ind w:left="402" w:leftChars="0"/>
      </w:pPr>
      <w:bookmarkStart w:id="314" w:name="_Toc18501"/>
      <w:r>
        <w:rPr>
          <w:rFonts w:hint="eastAsia"/>
        </w:rPr>
        <w:t>2.</w:t>
      </w:r>
      <w:r>
        <w:rPr>
          <w:rFonts w:hint="eastAsia"/>
          <w:lang w:val="en-US" w:eastAsia="zh-CN"/>
        </w:rPr>
        <w:t>5</w:t>
      </w:r>
      <w:r>
        <w:rPr>
          <w:rFonts w:hint="eastAsia"/>
        </w:rPr>
        <w:t>.3已开发票查询</w:t>
      </w:r>
      <w:bookmarkEnd w:id="314"/>
    </w:p>
    <w:p>
      <w:pPr>
        <w:pStyle w:val="51"/>
        <w:numPr>
          <w:ilvl w:val="0"/>
          <w:numId w:val="71"/>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已开发票查询功能用于从后台服务器的数据库中，根据查询条件，查询整个系统中每个纳税人所开具的发票数据信息，可以将查询结果进行导出。</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未开票的销售明细统计及已开票的发票明细查询。</w:t>
      </w:r>
    </w:p>
    <w:p>
      <w:pPr>
        <w:pStyle w:val="51"/>
        <w:numPr>
          <w:ilvl w:val="0"/>
          <w:numId w:val="71"/>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界面内容包括查询条件和查询结果信息，查询关键字：组织机构，所属期，，发票种类，发票代码，发票号码起，发票号码止，销方税号，销方名称”，购方税号，购方名称，作废标志，打印标志，清单标志，商品名称，金额范围，其中“组织机构”加载本级及本下级组织机构，默认显示用户所属的组织机构，也可以根据需要通过下拉框选择所属下辖的所有组织机构。“所属期”指销项发票的开票日期，默认显示当月。“纳税人识别号”和“纳税人名称”支持模糊查询。纳税人识别号和纳税人名称可以为空，若为空则只根据其他查询条件查询。商品名称支持模糊查询，查询结果数据信息包括：序号，发票种类，发票代码，发票号码，开票日期，购方税号，购方名称，销方税号，销方名称，金额（元），税率，税额（元），作废标志，打印标志，清单标志，发票明细。</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点击统计结果中的“发票明细”，打开发票明细页面，页面内容信息为：序号，商品名称，单位，数量。</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导出功能：在查询列表中，点击“导出”按钮，可导出该列表到Excel文档中。</w:t>
      </w:r>
    </w:p>
    <w:p>
      <w:pPr>
        <w:pStyle w:val="51"/>
        <w:numPr>
          <w:ilvl w:val="0"/>
          <w:numId w:val="71"/>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查询数据项：序号，发票种类，发票代码，发票号码，开票日期，购方税号，购方名称，销方税号，销方名称，金额（元），税率，税额（元），作废标志，打印标志，清单标志，发票明细；</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发票明细页面数据项：序号，商品名称，单位，数量。</w:t>
      </w:r>
    </w:p>
    <w:p>
      <w:pPr>
        <w:pStyle w:val="6"/>
        <w:numPr>
          <w:ilvl w:val="4"/>
          <w:numId w:val="0"/>
        </w:numPr>
        <w:spacing w:before="0" w:after="0" w:line="360" w:lineRule="auto"/>
        <w:ind w:left="402" w:leftChars="0"/>
      </w:pPr>
      <w:bookmarkStart w:id="315" w:name="_Toc27107"/>
      <w:r>
        <w:rPr>
          <w:rFonts w:hint="eastAsia"/>
        </w:rPr>
        <w:t>2.</w:t>
      </w:r>
      <w:r>
        <w:rPr>
          <w:rFonts w:hint="eastAsia"/>
          <w:lang w:val="en-US" w:eastAsia="zh-CN"/>
        </w:rPr>
        <w:t>5</w:t>
      </w:r>
      <w:r>
        <w:rPr>
          <w:rFonts w:hint="eastAsia"/>
        </w:rPr>
        <w:t>.4发票月度统计</w:t>
      </w:r>
      <w:bookmarkEnd w:id="315"/>
    </w:p>
    <w:p>
      <w:pPr>
        <w:pStyle w:val="51"/>
        <w:numPr>
          <w:ilvl w:val="0"/>
          <w:numId w:val="72"/>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发票月度统计功能用于销项发票数据信息按照组织机构，日期，地域三维度统计已开蓝票、红票、作废票等信息。</w:t>
      </w:r>
    </w:p>
    <w:p>
      <w:pPr>
        <w:pStyle w:val="51"/>
        <w:numPr>
          <w:ilvl w:val="0"/>
          <w:numId w:val="72"/>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spacing w:line="360" w:lineRule="auto"/>
        <w:ind w:firstLine="472" w:firstLineChars="200"/>
        <w:rPr>
          <w:rFonts w:asciiTheme="minorEastAsia" w:hAnsiTheme="minorEastAsia"/>
          <w:sz w:val="24"/>
          <w:szCs w:val="24"/>
        </w:rPr>
      </w:pPr>
      <w:r>
        <w:rPr>
          <w:rFonts w:hint="eastAsia" w:asciiTheme="minorEastAsia" w:hAnsiTheme="minorEastAsia"/>
          <w:spacing w:val="-2"/>
          <w:sz w:val="24"/>
          <w:szCs w:val="24"/>
        </w:rPr>
        <w:t>界面内容包括查询条件和查询结果两个部分，</w:t>
      </w:r>
      <w:r>
        <w:rPr>
          <w:rFonts w:hint="eastAsia" w:asciiTheme="minorEastAsia" w:hAnsiTheme="minorEastAsia"/>
          <w:sz w:val="24"/>
          <w:szCs w:val="24"/>
        </w:rPr>
        <w:t>界面查询条件：组织机构，所属期月份起，所属期月份止，发票种类，设置查询条件，点击“查询”按钮，系统按所选择组织机构汇总销项发票月度统计情况，统计结果信息内容为：序号，单位机构名称，发票种类，销方税号，销方名称，蓝字发票（发票份数，合计金额，合计税额），红字发票（发票份数，合计金额，合计税额），作废票（蓝票）（发票份数，合计金额，合计税额），作废票（红票）（发票份数，合计金额，合计税额），发票月份。</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导出功能需求：在查询列表中，点击“导出”按钮，可把查询出来的数据信息导出到Excel文档中。</w:t>
      </w:r>
    </w:p>
    <w:p>
      <w:pPr>
        <w:pStyle w:val="51"/>
        <w:numPr>
          <w:ilvl w:val="0"/>
          <w:numId w:val="72"/>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统计数据项：序号，单位机构名称，发票种类，销方税号，销方名称，蓝字发票（发票份数，合计金额，合计税额），红字发票（发票份数，合计金额，合计税额），作废票（蓝票）（发票份数，合计金额，合计税额），作废票（红票）（发票份数，合计金额，合计税额），发票月份；</w:t>
      </w:r>
    </w:p>
    <w:p>
      <w:pPr>
        <w:pStyle w:val="6"/>
        <w:numPr>
          <w:ilvl w:val="4"/>
          <w:numId w:val="0"/>
        </w:numPr>
        <w:spacing w:before="0" w:after="0" w:line="360" w:lineRule="auto"/>
        <w:ind w:left="402" w:leftChars="0"/>
      </w:pPr>
      <w:bookmarkStart w:id="316" w:name="_Toc31470"/>
      <w:r>
        <w:rPr>
          <w:rFonts w:hint="eastAsia"/>
        </w:rPr>
        <w:t>2.</w:t>
      </w:r>
      <w:r>
        <w:rPr>
          <w:rFonts w:hint="eastAsia"/>
          <w:lang w:val="en-US" w:eastAsia="zh-CN"/>
        </w:rPr>
        <w:t>5</w:t>
      </w:r>
      <w:r>
        <w:rPr>
          <w:rFonts w:hint="eastAsia"/>
        </w:rPr>
        <w:t>.5发票汇总统计</w:t>
      </w:r>
      <w:bookmarkEnd w:id="316"/>
    </w:p>
    <w:p>
      <w:pPr>
        <w:pStyle w:val="51"/>
        <w:numPr>
          <w:ilvl w:val="0"/>
          <w:numId w:val="73"/>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发票资料汇总统计功能用于从后台服务器的数据库中，查询系统中发票情况汇总数据，包括期初库存、期末库存等信息，并可将查询结果导出。</w:t>
      </w:r>
    </w:p>
    <w:p>
      <w:pPr>
        <w:pStyle w:val="51"/>
        <w:numPr>
          <w:ilvl w:val="0"/>
          <w:numId w:val="73"/>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spacing w:line="360" w:lineRule="auto"/>
        <w:ind w:firstLine="472" w:firstLineChars="200"/>
        <w:rPr>
          <w:rFonts w:asciiTheme="minorEastAsia" w:hAnsiTheme="minorEastAsia"/>
          <w:sz w:val="24"/>
          <w:szCs w:val="24"/>
        </w:rPr>
      </w:pPr>
      <w:r>
        <w:rPr>
          <w:rFonts w:hint="eastAsia" w:asciiTheme="minorEastAsia" w:hAnsiTheme="minorEastAsia"/>
          <w:spacing w:val="-2"/>
          <w:sz w:val="24"/>
          <w:szCs w:val="24"/>
        </w:rPr>
        <w:t>界面内容包括查询条件和查询结果两个部分，</w:t>
      </w:r>
      <w:r>
        <w:rPr>
          <w:rFonts w:hint="eastAsia" w:asciiTheme="minorEastAsia" w:hAnsiTheme="minorEastAsia"/>
          <w:sz w:val="24"/>
          <w:szCs w:val="24"/>
        </w:rPr>
        <w:t>界面查询条件：组织机构，销方税号，所属期月份起，所属期月份止，发票种类，设置查询条件，点击“查询”按钮，系统按所选择组织机构汇总发票信息统计情况，统计结果信息内容为：序号，单位机构名称，发票种类，销方税号，销方名称，期初库存，本期购进，蓝字发票份数，红字发票份数，蓝字废票份数，红字废票份数，期末库存，实际销售金额，实际销售税额，发票月份。</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导出功能需求：在查询列表中，点击“导出”按钮，可把查询出来的数据信息导出到Excel文档中。</w:t>
      </w:r>
    </w:p>
    <w:p>
      <w:pPr>
        <w:pStyle w:val="51"/>
        <w:numPr>
          <w:ilvl w:val="0"/>
          <w:numId w:val="73"/>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统计数据项：序号，单位机构名称，发票种类，销方税号，销方名称，期初库存，本期购进，蓝字发票份数，红字发票份数，蓝字废票份数，红字废票份数，期末库存，实际销售金额，实际销售税额，发票月份；</w:t>
      </w:r>
    </w:p>
    <w:p>
      <w:pPr>
        <w:pStyle w:val="4"/>
        <w:numPr>
          <w:ilvl w:val="2"/>
          <w:numId w:val="3"/>
        </w:numPr>
        <w:spacing w:before="0" w:after="0" w:line="360" w:lineRule="auto"/>
        <w:ind w:left="0" w:leftChars="0" w:firstLine="402" w:firstLineChars="0"/>
      </w:pPr>
      <w:bookmarkStart w:id="317" w:name="_Toc18893"/>
      <w:r>
        <w:rPr>
          <w:rFonts w:hint="eastAsia"/>
        </w:rPr>
        <w:t>开票服务</w:t>
      </w:r>
      <w:bookmarkEnd w:id="317"/>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电子发票服务平台依据发票开具数据制作电子发票版式文件并签章、对电子发票版式文件提供存储、管理等功能，并向企业和消费者提供发票版式文件下载、查询统计、版式文件校验、发票归集等功能。</w:t>
      </w:r>
    </w:p>
    <w:p>
      <w:pPr>
        <w:pStyle w:val="5"/>
        <w:numPr>
          <w:ilvl w:val="3"/>
          <w:numId w:val="0"/>
        </w:numPr>
        <w:spacing w:before="0" w:after="0" w:line="360" w:lineRule="auto"/>
        <w:ind w:left="402" w:leftChars="0"/>
        <w:rPr>
          <w:sz w:val="24"/>
          <w:szCs w:val="24"/>
        </w:rPr>
      </w:pPr>
      <w:bookmarkStart w:id="318" w:name="_Toc27678"/>
      <w:r>
        <w:rPr>
          <w:rFonts w:hint="eastAsia"/>
          <w:sz w:val="24"/>
          <w:szCs w:val="24"/>
        </w:rPr>
        <w:t>3.1版式文件封装</w:t>
      </w:r>
      <w:bookmarkEnd w:id="318"/>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电子发票服务平台接收电子发票信息后，使用符合国家税务总局格式要求的电子发票模板文件，将电子发票数据分装成发票版式文件。</w:t>
      </w:r>
    </w:p>
    <w:p>
      <w:pPr>
        <w:pStyle w:val="5"/>
        <w:numPr>
          <w:ilvl w:val="3"/>
          <w:numId w:val="0"/>
        </w:numPr>
        <w:spacing w:before="0" w:after="0" w:line="360" w:lineRule="auto"/>
        <w:ind w:left="402" w:leftChars="0"/>
        <w:rPr>
          <w:sz w:val="24"/>
          <w:szCs w:val="24"/>
        </w:rPr>
      </w:pPr>
      <w:bookmarkStart w:id="319" w:name="_Toc22926"/>
      <w:r>
        <w:rPr>
          <w:rFonts w:hint="eastAsia"/>
          <w:sz w:val="24"/>
          <w:szCs w:val="24"/>
        </w:rPr>
        <w:t>3.2版式文件签章</w:t>
      </w:r>
      <w:bookmarkEnd w:id="319"/>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电子发票服务平台将电子发票信息封装成发票版式文件后，调用电子签章服务，使用与电子发票开具信息中名称、税号相一致的电子印章对版式文件签章，生成具有法律效力的电子发票版式文件。</w:t>
      </w:r>
    </w:p>
    <w:p>
      <w:pPr>
        <w:pStyle w:val="5"/>
        <w:numPr>
          <w:ilvl w:val="3"/>
          <w:numId w:val="0"/>
        </w:numPr>
        <w:spacing w:before="0" w:after="0" w:line="360" w:lineRule="auto"/>
        <w:ind w:left="402" w:leftChars="0"/>
        <w:rPr>
          <w:sz w:val="24"/>
          <w:szCs w:val="24"/>
        </w:rPr>
      </w:pPr>
      <w:bookmarkStart w:id="320" w:name="_Toc20611"/>
      <w:r>
        <w:rPr>
          <w:rFonts w:hint="eastAsia"/>
          <w:sz w:val="24"/>
          <w:szCs w:val="24"/>
        </w:rPr>
        <w:t>3.3版式文件存储</w:t>
      </w:r>
      <w:bookmarkEnd w:id="320"/>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电子发票服务平台对完成电子签章的电子发票版式文件进行存储管理，按税号、生成日期等信息为索引进行文件存储管理，依托大数据分布式存储技术，确保电子发票版式文件的安全存储和高效利用。</w:t>
      </w:r>
    </w:p>
    <w:p>
      <w:pPr>
        <w:pStyle w:val="5"/>
        <w:numPr>
          <w:ilvl w:val="3"/>
          <w:numId w:val="0"/>
        </w:numPr>
        <w:spacing w:before="0" w:after="0" w:line="360" w:lineRule="auto"/>
        <w:ind w:left="402" w:leftChars="0"/>
        <w:rPr>
          <w:sz w:val="24"/>
          <w:szCs w:val="24"/>
        </w:rPr>
      </w:pPr>
      <w:bookmarkStart w:id="321" w:name="_Toc14474"/>
      <w:r>
        <w:rPr>
          <w:rFonts w:hint="eastAsia"/>
          <w:sz w:val="24"/>
          <w:szCs w:val="24"/>
        </w:rPr>
        <w:t>3.4签章制作</w:t>
      </w:r>
      <w:bookmarkEnd w:id="321"/>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使用符合国密局标准的第三方CA证书、企业发票专用章印模制作电子签章，电子签章的制作也必须符合国密局相关标准。</w:t>
      </w:r>
    </w:p>
    <w:p>
      <w:pPr>
        <w:pStyle w:val="5"/>
        <w:numPr>
          <w:ilvl w:val="3"/>
          <w:numId w:val="0"/>
        </w:numPr>
        <w:spacing w:before="0" w:after="0" w:line="360" w:lineRule="auto"/>
        <w:ind w:left="402" w:leftChars="0"/>
        <w:rPr>
          <w:sz w:val="24"/>
          <w:szCs w:val="24"/>
        </w:rPr>
      </w:pPr>
      <w:bookmarkStart w:id="322" w:name="_Toc14766"/>
      <w:r>
        <w:rPr>
          <w:rFonts w:hint="eastAsia"/>
          <w:sz w:val="24"/>
          <w:szCs w:val="24"/>
        </w:rPr>
        <w:t>3.5签章管理</w:t>
      </w:r>
      <w:bookmarkEnd w:id="322"/>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提供电子签章导入功能，将制作好的电子签章通过本功能导入签章服务器中，并对电子签章进行相应管理设置，实现通过纳税人识别号调用对应的电子印章完成对发票版式文件的签章操作。</w:t>
      </w:r>
    </w:p>
    <w:p>
      <w:pPr>
        <w:pStyle w:val="5"/>
        <w:numPr>
          <w:ilvl w:val="3"/>
          <w:numId w:val="0"/>
        </w:numPr>
        <w:spacing w:before="0" w:after="0" w:line="360" w:lineRule="auto"/>
        <w:ind w:left="402" w:leftChars="0"/>
        <w:rPr>
          <w:sz w:val="24"/>
          <w:szCs w:val="24"/>
        </w:rPr>
      </w:pPr>
      <w:bookmarkStart w:id="323" w:name="_Toc27332"/>
      <w:r>
        <w:rPr>
          <w:rFonts w:hint="eastAsia"/>
          <w:sz w:val="24"/>
          <w:szCs w:val="24"/>
        </w:rPr>
        <w:t>3.6模板管理</w:t>
      </w:r>
      <w:bookmarkEnd w:id="323"/>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提供电子发票模板维护功能，通过本模块实现电子发票PDF模板的新增、编辑、删除等操作。为电子发票生成的版式配置相应的模板。</w:t>
      </w:r>
    </w:p>
    <w:p>
      <w:pPr>
        <w:pStyle w:val="5"/>
        <w:numPr>
          <w:ilvl w:val="3"/>
          <w:numId w:val="0"/>
        </w:numPr>
        <w:spacing w:before="0" w:after="0" w:line="360" w:lineRule="auto"/>
        <w:ind w:left="402" w:leftChars="0"/>
        <w:rPr>
          <w:sz w:val="24"/>
          <w:szCs w:val="24"/>
        </w:rPr>
      </w:pPr>
      <w:bookmarkStart w:id="324" w:name="_Toc22894"/>
      <w:r>
        <w:rPr>
          <w:rFonts w:hint="eastAsia"/>
          <w:sz w:val="24"/>
          <w:szCs w:val="24"/>
        </w:rPr>
        <w:t>3.7发票信息回传</w:t>
      </w:r>
      <w:bookmarkEnd w:id="324"/>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增值税普通发票、增值税专用发票、电子发票的蓝字发票、红字发票开票信息回传</w:t>
      </w:r>
      <w:r>
        <w:rPr>
          <w:rFonts w:hint="eastAsia" w:asciiTheme="minorEastAsia" w:hAnsiTheme="minorEastAsia"/>
          <w:sz w:val="24"/>
          <w:szCs w:val="24"/>
          <w:lang w:eastAsia="zh-CN"/>
        </w:rPr>
        <w:t>xx卡</w:t>
      </w:r>
      <w:r>
        <w:rPr>
          <w:rFonts w:hint="eastAsia" w:asciiTheme="minorEastAsia" w:hAnsiTheme="minorEastAsia"/>
          <w:sz w:val="24"/>
          <w:szCs w:val="24"/>
        </w:rPr>
        <w:t>运营平台、合作银行的电子收费业务。</w:t>
      </w:r>
    </w:p>
    <w:p>
      <w:pPr>
        <w:pStyle w:val="5"/>
        <w:numPr>
          <w:ilvl w:val="3"/>
          <w:numId w:val="0"/>
        </w:numPr>
        <w:spacing w:before="0" w:after="0" w:line="360" w:lineRule="auto"/>
        <w:ind w:left="402" w:leftChars="0"/>
        <w:rPr>
          <w:sz w:val="24"/>
          <w:szCs w:val="24"/>
        </w:rPr>
      </w:pPr>
      <w:bookmarkStart w:id="325" w:name="_Toc26971"/>
      <w:r>
        <w:rPr>
          <w:rFonts w:hint="eastAsia"/>
          <w:sz w:val="24"/>
          <w:szCs w:val="24"/>
        </w:rPr>
        <w:t>3.8电子发票推送</w:t>
      </w:r>
      <w:bookmarkEnd w:id="325"/>
    </w:p>
    <w:p>
      <w:pPr>
        <w:pStyle w:val="51"/>
        <w:numPr>
          <w:ilvl w:val="0"/>
          <w:numId w:val="74"/>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电子发票开具完成后，电子发票服务平台根据消费者填写的接收方式，可通过短信、邮件、微信、APP等多种方式推送给消费者和电子发票接收单位，使消费者和电子发票接收单位方便及时获取发票信息。</w:t>
      </w:r>
    </w:p>
    <w:p>
      <w:pPr>
        <w:pStyle w:val="51"/>
        <w:numPr>
          <w:ilvl w:val="0"/>
          <w:numId w:val="74"/>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需求实现</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推送的电子发票为PDF文件，提供定期推送功能，已经推送过的电子发票可以再次推送，记录电子发票推送日志，提供电子发票推送信息的查询、统计、导出等功能。</w:t>
      </w:r>
    </w:p>
    <w:p>
      <w:pPr>
        <w:pStyle w:val="51"/>
        <w:numPr>
          <w:ilvl w:val="0"/>
          <w:numId w:val="74"/>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主要业务项</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电子发票PDF文件。</w:t>
      </w:r>
    </w:p>
    <w:p>
      <w:pPr>
        <w:pStyle w:val="5"/>
        <w:numPr>
          <w:ilvl w:val="3"/>
          <w:numId w:val="0"/>
        </w:numPr>
        <w:spacing w:before="0" w:after="0" w:line="360" w:lineRule="auto"/>
        <w:ind w:left="402" w:leftChars="0"/>
        <w:rPr>
          <w:sz w:val="24"/>
          <w:szCs w:val="24"/>
        </w:rPr>
      </w:pPr>
      <w:bookmarkStart w:id="326" w:name="_Toc16582"/>
      <w:r>
        <w:rPr>
          <w:rFonts w:hint="eastAsia"/>
          <w:sz w:val="24"/>
          <w:szCs w:val="24"/>
        </w:rPr>
        <w:t>3.9电子发票下载</w:t>
      </w:r>
      <w:bookmarkEnd w:id="326"/>
    </w:p>
    <w:p>
      <w:pPr>
        <w:pStyle w:val="51"/>
        <w:numPr>
          <w:ilvl w:val="0"/>
          <w:numId w:val="75"/>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客户录入发票主要信息，通过推送的链接，查询电子发票信息，并可自行下载、保存电子发票版式文件。</w:t>
      </w:r>
    </w:p>
    <w:p>
      <w:pPr>
        <w:pStyle w:val="51"/>
        <w:numPr>
          <w:ilvl w:val="0"/>
          <w:numId w:val="75"/>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需求实现</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客户输入发票代码、发票号码、开票日期、发票金额，点“查询”按钮；系统检查输入内容是否合法；输入合法，系统根据输入内容查询发票，有符合条件的发票，显示发票信息，点“下载发票”按钮下载版式发票文件。</w:t>
      </w:r>
    </w:p>
    <w:p>
      <w:pPr>
        <w:pStyle w:val="51"/>
        <w:numPr>
          <w:ilvl w:val="0"/>
          <w:numId w:val="75"/>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发票代码、发票号码、开票日期、发票金额、电子发票PDF文件。</w:t>
      </w:r>
    </w:p>
    <w:p>
      <w:pPr>
        <w:pStyle w:val="5"/>
        <w:numPr>
          <w:ilvl w:val="3"/>
          <w:numId w:val="0"/>
        </w:numPr>
        <w:spacing w:before="0" w:after="0" w:line="360" w:lineRule="auto"/>
        <w:ind w:left="402" w:leftChars="0"/>
        <w:rPr>
          <w:sz w:val="24"/>
          <w:szCs w:val="24"/>
        </w:rPr>
      </w:pPr>
      <w:bookmarkStart w:id="327" w:name="_Toc5152"/>
      <w:r>
        <w:rPr>
          <w:rFonts w:hint="eastAsia"/>
          <w:sz w:val="24"/>
          <w:szCs w:val="24"/>
        </w:rPr>
        <w:t>3.10发票查验</w:t>
      </w:r>
      <w:bookmarkEnd w:id="327"/>
    </w:p>
    <w:p>
      <w:pPr>
        <w:pStyle w:val="51"/>
        <w:numPr>
          <w:ilvl w:val="0"/>
          <w:numId w:val="76"/>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为消费者提供电子发票真伪查询服务。</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电子发票开具后，由于电子发票信息的集中存储，受票方可以通过多种方式完成电子发票的查验工作，及时获取发票的真伪信息。查验方式的方便快捷，可以有效加大发票监管力度。发票查验途径可通过电子发票服务平台进行发票查验，也可税务机关官方网站进行发票查验。发票查验手段为，手机发票查验APP，可扫描二维码或手工录入，电脑发票查验客户端，可扫描二维码，或批量导入，可单张或批量查验。可通过专用接口查验，服务平台提供专用的查验接口，可进行自动查验。</w:t>
      </w:r>
    </w:p>
    <w:p>
      <w:pPr>
        <w:pStyle w:val="51"/>
        <w:numPr>
          <w:ilvl w:val="0"/>
          <w:numId w:val="76"/>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需求实现</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输入或扫描发票信息，包括发票代码、发票号码、开票日期、发票金额、验证码，系统检查输入内容及格式是否合法；如果输入数据合法系统查询发票，给出发票查验结果。</w:t>
      </w:r>
    </w:p>
    <w:p>
      <w:pPr>
        <w:pStyle w:val="51"/>
        <w:numPr>
          <w:ilvl w:val="0"/>
          <w:numId w:val="76"/>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spacing w:line="360" w:lineRule="auto"/>
        <w:ind w:firstLine="424" w:firstLineChars="177"/>
        <w:rPr>
          <w:rFonts w:asciiTheme="minorEastAsia" w:hAnsiTheme="minorEastAsia"/>
          <w:sz w:val="24"/>
          <w:szCs w:val="24"/>
        </w:rPr>
      </w:pPr>
      <w:r>
        <w:rPr>
          <w:rFonts w:hint="eastAsia" w:asciiTheme="minorEastAsia" w:hAnsiTheme="minorEastAsia"/>
          <w:sz w:val="24"/>
          <w:szCs w:val="24"/>
        </w:rPr>
        <w:t>输入要素：发票代码、发票号码、开票日期、发票金额、验证码；二维码；防伪码；批量数据</w:t>
      </w:r>
    </w:p>
    <w:p>
      <w:pPr>
        <w:spacing w:line="360" w:lineRule="auto"/>
        <w:ind w:firstLine="424" w:firstLineChars="177"/>
        <w:rPr>
          <w:rFonts w:asciiTheme="minorEastAsia" w:hAnsiTheme="minorEastAsia"/>
          <w:szCs w:val="21"/>
        </w:rPr>
      </w:pPr>
      <w:r>
        <w:rPr>
          <w:rFonts w:hint="eastAsia" w:asciiTheme="minorEastAsia" w:hAnsiTheme="minorEastAsia"/>
          <w:sz w:val="24"/>
          <w:szCs w:val="24"/>
        </w:rPr>
        <w:t>输出要素：查验</w:t>
      </w:r>
      <w:r>
        <w:rPr>
          <w:rFonts w:asciiTheme="minorEastAsia" w:hAnsiTheme="minorEastAsia"/>
          <w:sz w:val="24"/>
          <w:szCs w:val="24"/>
        </w:rPr>
        <w:t>结果</w:t>
      </w:r>
      <w:r>
        <w:rPr>
          <w:rFonts w:hint="eastAsia" w:asciiTheme="minorEastAsia" w:hAnsiTheme="minorEastAsia"/>
          <w:sz w:val="24"/>
          <w:szCs w:val="24"/>
        </w:rPr>
        <w:t>，包括发票代码、发票号码、防伪码、开票日期、开票金额、客户名称、客户识别号、开票方名称、开票方税号、网络订单号、冲红标志。</w:t>
      </w:r>
    </w:p>
    <w:p>
      <w:pPr>
        <w:pStyle w:val="4"/>
        <w:numPr>
          <w:ilvl w:val="2"/>
          <w:numId w:val="3"/>
        </w:numPr>
        <w:spacing w:before="0" w:after="0" w:line="360" w:lineRule="auto"/>
        <w:ind w:left="0" w:leftChars="0" w:firstLine="402" w:firstLineChars="0"/>
      </w:pPr>
      <w:bookmarkStart w:id="328" w:name="_Toc32692"/>
      <w:r>
        <w:rPr>
          <w:rFonts w:hint="eastAsia"/>
        </w:rPr>
        <w:t>发票管理</w:t>
      </w:r>
      <w:bookmarkEnd w:id="328"/>
    </w:p>
    <w:p>
      <w:pPr>
        <w:pStyle w:val="5"/>
        <w:numPr>
          <w:ilvl w:val="3"/>
          <w:numId w:val="0"/>
        </w:numPr>
        <w:spacing w:before="0" w:after="0" w:line="360" w:lineRule="auto"/>
        <w:ind w:left="402" w:leftChars="0"/>
        <w:rPr>
          <w:sz w:val="24"/>
          <w:szCs w:val="24"/>
        </w:rPr>
      </w:pPr>
      <w:bookmarkStart w:id="329" w:name="_Toc29890"/>
      <w:r>
        <w:rPr>
          <w:rFonts w:hint="eastAsia"/>
          <w:sz w:val="24"/>
          <w:szCs w:val="24"/>
        </w:rPr>
        <w:t>4.1发票入库</w:t>
      </w:r>
      <w:bookmarkEnd w:id="329"/>
    </w:p>
    <w:p>
      <w:pPr>
        <w:pStyle w:val="51"/>
        <w:numPr>
          <w:ilvl w:val="0"/>
          <w:numId w:val="77"/>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color w:val="000000"/>
          <w:sz w:val="24"/>
          <w:szCs w:val="24"/>
        </w:rPr>
        <w:t>发票入库主要用于实现对增值税普通发票的库存信息进行采集，实现对发送过来的发货单对应的发票信息进行入库领取确认操作，并实现对发过来的缴销单进行退回入库操作以及对发票库存不足时进行提醒</w:t>
      </w:r>
      <w:r>
        <w:rPr>
          <w:rFonts w:hint="eastAsia" w:asciiTheme="minorEastAsia" w:hAnsiTheme="minorEastAsia" w:eastAsiaTheme="minorEastAsia"/>
          <w:sz w:val="24"/>
          <w:szCs w:val="24"/>
        </w:rPr>
        <w:t>。</w:t>
      </w:r>
    </w:p>
    <w:p>
      <w:pPr>
        <w:pStyle w:val="61"/>
        <w:spacing w:line="360" w:lineRule="auto"/>
        <w:ind w:firstLine="412"/>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管理实物发票入库情况，一种是手工录入模式，另一种是接收发货单的确认，还有一种是接收退回单。数据项-发票类型，入库类型（购买、请领、退回），发票起始号码，数量，领购人，入库操作人。</w:t>
      </w:r>
    </w:p>
    <w:p>
      <w:pPr>
        <w:pStyle w:val="51"/>
        <w:numPr>
          <w:ilvl w:val="0"/>
          <w:numId w:val="77"/>
        </w:numPr>
        <w:spacing w:line="360" w:lineRule="auto"/>
        <w:ind w:firstLineChars="0"/>
        <w:rPr>
          <w:rFonts w:asciiTheme="minorEastAsia" w:hAnsiTheme="minorEastAsia" w:eastAsiaTheme="minorEastAsia"/>
          <w:sz w:val="24"/>
          <w:szCs w:val="24"/>
        </w:rPr>
      </w:pPr>
      <w:r>
        <w:rPr>
          <w:rFonts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界面内容包括：功能操作栏（查询，增加，修改，删除，接收发货单，接收缴销单，导出）；查询条件（机构名称，发票类型，入库类型（包括：购买，请领，退回），操作日期起，操作日期止）；查询结果区（序号，发票类型，入库类型，发票起始号码，发票截止号码，发票数量，开票限额，单据状态（未入库，已入库，未退回，已退回），领购人，入库操作人）；查询功能是根据用户设定查询条件的本级及本下级的发票库存信息及需要接收的发货单信息和缴销单信息；当发票库存信息的发票剩余数量在系统设置的发票预警值范围内，则对用户进行提醒。</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增加库存信息功能需求：进入增加库存信息界面，界面内容包括：发票类型，入库类型，发票起始号码，发票截止号码，发票数量，发票剩余数量，开票限额，领购人，入库操作人；然后对发票信息进行保存入库。</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修改库存信息功能需求：进入修改库存信息界面，界面内容包括：发票类型，入库类型，发票起始号码，发票截止号码，发票数量，发票剩余数量，开票限额，领购人，入库操作人；然后对查询的发票库存信息进行修改保存。</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删除库存信息功能需求：可以对获取的数据信息进行删除。</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接收发货单功能需求：在接收到发送过来的发货单信息后，选择单据状态为未入库的发货单信息，对该发货单信息进行领取入库确认操作。</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接收缴销单功能需求：在接收到发送过来的缴销单信息后，选择单据状态为未退回的缴销单信息，对该缴销单信息进行退回入库确认操作，退回原则是对应请领单来之哪个组织机构，则退回到哪个组织机构的库存。</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导出功能需求：在查询列表中，点击“导出xls”按钮，可导出该列表到Excel文档中。</w:t>
      </w:r>
    </w:p>
    <w:p>
      <w:pPr>
        <w:pStyle w:val="51"/>
        <w:numPr>
          <w:ilvl w:val="0"/>
          <w:numId w:val="77"/>
        </w:numPr>
        <w:spacing w:line="360" w:lineRule="auto"/>
        <w:ind w:firstLineChars="0"/>
        <w:rPr>
          <w:rFonts w:asciiTheme="minorEastAsia" w:hAnsiTheme="minorEastAsia" w:eastAsiaTheme="minorEastAsia"/>
          <w:sz w:val="24"/>
          <w:szCs w:val="24"/>
        </w:rPr>
      </w:pPr>
      <w:r>
        <w:rPr>
          <w:rFonts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查询功能数据项：选择，序号，发票类型，入库类型，发票起始号码，发票截止号码，发票数量，开票限额，单据状态（未入库，已入库，未退回，已退回），领购人，入库操作人）；</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增加库存信息数据项：发票类型，入库类型，发票起始号码，发票截止号码，发票数量，发票剩余数量，开票限额，领购人，入库操作人；</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修改库存信息数据项：发票类型，入库类型，发票起始号码，发票截止号码，发票数量，发票剩余数量，开票限额，领购人，入库操作人。</w:t>
      </w:r>
    </w:p>
    <w:p>
      <w:pPr>
        <w:pStyle w:val="5"/>
        <w:numPr>
          <w:ilvl w:val="3"/>
          <w:numId w:val="0"/>
        </w:numPr>
        <w:spacing w:before="0" w:after="0" w:line="360" w:lineRule="auto"/>
        <w:ind w:left="402" w:leftChars="0"/>
        <w:rPr>
          <w:sz w:val="24"/>
          <w:szCs w:val="24"/>
        </w:rPr>
      </w:pPr>
      <w:bookmarkStart w:id="330" w:name="_Toc29741"/>
      <w:r>
        <w:rPr>
          <w:rFonts w:hint="eastAsia"/>
          <w:sz w:val="24"/>
          <w:szCs w:val="24"/>
        </w:rPr>
        <w:t>4.2发票请领</w:t>
      </w:r>
      <w:bookmarkEnd w:id="330"/>
    </w:p>
    <w:p>
      <w:pPr>
        <w:pStyle w:val="51"/>
        <w:numPr>
          <w:ilvl w:val="0"/>
          <w:numId w:val="78"/>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pStyle w:val="61"/>
        <w:spacing w:line="360" w:lineRule="auto"/>
        <w:ind w:firstLine="412"/>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管理领取发票情况，一种是从系统中手工填写的请领单，另一种是接收业务系统发过来的请领单。创建请领单，数据项：请领单号码，发票类型，数量，申请人；注：一个请领单上可以同时包括多种类型的发票，可以请领退回的发票，数量为负数。注：要求对应的业务系统传过来的请领单数据符合此项要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color w:val="000000"/>
          <w:sz w:val="24"/>
          <w:szCs w:val="24"/>
        </w:rPr>
        <w:t>发票请领主要用于实现对增值税普通发票的请领单的填写，打印功能，并可以对已经填写好的或未审核通过的请领单信息进行修改和删除，可以为请领单审核提供基础数据</w:t>
      </w:r>
      <w:r>
        <w:rPr>
          <w:rFonts w:hint="eastAsia" w:asciiTheme="minorEastAsia" w:hAnsiTheme="minorEastAsia" w:eastAsiaTheme="minorEastAsia"/>
          <w:sz w:val="24"/>
          <w:szCs w:val="24"/>
        </w:rPr>
        <w:t>。</w:t>
      </w:r>
    </w:p>
    <w:p>
      <w:pPr>
        <w:pStyle w:val="51"/>
        <w:numPr>
          <w:ilvl w:val="0"/>
          <w:numId w:val="78"/>
        </w:numPr>
        <w:spacing w:line="360" w:lineRule="auto"/>
        <w:ind w:firstLineChars="0"/>
        <w:rPr>
          <w:rFonts w:asciiTheme="minorEastAsia" w:hAnsiTheme="minorEastAsia" w:eastAsiaTheme="minorEastAsia"/>
          <w:sz w:val="24"/>
          <w:szCs w:val="24"/>
        </w:rPr>
      </w:pPr>
      <w:r>
        <w:rPr>
          <w:rFonts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界面内容包括：功能操作栏（查询，增加，修改，删除，打印，导出）；查询条件（机构名称，发票类型，单据来源（包括采集，传入），操作日期起，操作日期止）；查询结果区（序号，</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单编号，发票数量，申请人，</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单明细）；查询功能是根据用户设定查询条件的本级及本下级的</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单信息。</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增加</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单功能需求：进入增加</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单界面，界面内容包括：</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单编号，发票类型，发票起始号码，发票截止号码，发票数量，发票面额（定额发票），开票限额，申请人，申请日期。</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修改</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单功能需求：进入修改</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单界面，界面内容包括：</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单编号，发票类型，发票起始号码，发票截止号码，发票数量，发票面额（定额发票），开票限额，申请人，申请日期；可以对信息进行修改，并保存。</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删除</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单信息功能需求：可以对获取的数据信息进行删除。</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单明细功能需求：进入</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单明细界面，界面内容包括：</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单编号，发票类型，发票起始号码，发票截止号码，发票数量，发票面额（定额发票），开票限额，申请人，申请日期。</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导出功能需求：在查询列表中，点击“导出xls”按钮，可导出该列表到Excel文档中。</w:t>
      </w:r>
    </w:p>
    <w:p>
      <w:pPr>
        <w:pStyle w:val="51"/>
        <w:numPr>
          <w:ilvl w:val="0"/>
          <w:numId w:val="78"/>
        </w:numPr>
        <w:spacing w:line="360" w:lineRule="auto"/>
        <w:ind w:firstLineChars="0"/>
        <w:rPr>
          <w:rFonts w:asciiTheme="minorEastAsia" w:hAnsiTheme="minorEastAsia" w:eastAsiaTheme="minorEastAsia"/>
          <w:sz w:val="24"/>
          <w:szCs w:val="24"/>
        </w:rPr>
      </w:pPr>
      <w:r>
        <w:rPr>
          <w:rFonts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查询功能数据项：序号，</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单编号，发票数量，申请人，</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单明细；</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增加</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单信息数据项：</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单编号，发票类型，发票起始号码，发票截止号码，发票数量，发票面额（定额发票），开票限额，申请人，申请日期；</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修改</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单信息数据项：</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单编号，发票类型，发票起始号码，发票截止号码，发票数量，发票面额（定额发票），开票限额，申请人，申请日期；</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单明细数据项：进入申请单明细界面，界面内容包括：</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单编号，发票类型，发票起始号码，发票截止号码，发票数量，发票面额（定额发票），开票限额，申请人，申请日期。</w:t>
      </w:r>
    </w:p>
    <w:p>
      <w:pPr>
        <w:pStyle w:val="5"/>
        <w:numPr>
          <w:ilvl w:val="3"/>
          <w:numId w:val="0"/>
        </w:numPr>
        <w:spacing w:before="0" w:after="0" w:line="360" w:lineRule="auto"/>
        <w:ind w:left="402" w:leftChars="0"/>
        <w:rPr>
          <w:sz w:val="24"/>
          <w:szCs w:val="24"/>
        </w:rPr>
      </w:pPr>
      <w:bookmarkStart w:id="331" w:name="_Toc2138"/>
      <w:r>
        <w:rPr>
          <w:rFonts w:hint="eastAsia"/>
          <w:sz w:val="24"/>
          <w:szCs w:val="24"/>
        </w:rPr>
        <w:t>4.3请领单审核</w:t>
      </w:r>
      <w:bookmarkEnd w:id="331"/>
    </w:p>
    <w:p>
      <w:pPr>
        <w:pStyle w:val="51"/>
        <w:numPr>
          <w:ilvl w:val="0"/>
          <w:numId w:val="79"/>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color w:val="000000"/>
          <w:sz w:val="24"/>
          <w:szCs w:val="24"/>
        </w:rPr>
        <w:t>请领单审核功能主要用于实现对已经填写好的增值税普通发票的请领单信息进行数据信息审核，只有审核通过的才可以进行发票的发货调拨</w:t>
      </w:r>
      <w:r>
        <w:rPr>
          <w:rFonts w:hint="eastAsia" w:asciiTheme="minorEastAsia" w:hAnsiTheme="minorEastAsia" w:eastAsiaTheme="minorEastAsia"/>
          <w:sz w:val="24"/>
          <w:szCs w:val="24"/>
        </w:rPr>
        <w:t>。</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对发票请领单进行审核，已审核才可发货，在请领单上增列填写：审批数量，审批人。接收请领单，可以修改批复申请的发票数量。</w:t>
      </w:r>
    </w:p>
    <w:p>
      <w:pPr>
        <w:pStyle w:val="51"/>
        <w:numPr>
          <w:ilvl w:val="0"/>
          <w:numId w:val="79"/>
        </w:numPr>
        <w:spacing w:line="360" w:lineRule="auto"/>
        <w:ind w:firstLineChars="0"/>
        <w:rPr>
          <w:rFonts w:asciiTheme="minorEastAsia" w:hAnsiTheme="minorEastAsia" w:eastAsiaTheme="minorEastAsia"/>
          <w:sz w:val="24"/>
          <w:szCs w:val="24"/>
        </w:rPr>
      </w:pPr>
      <w:r>
        <w:rPr>
          <w:rFonts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界面内容包括：功能操作栏（查询，增加，修改，删除，打印，导出）；查询条件（机构名称，发票类型，单据来源（包括采集，传入），操作日期起，操作日期止）；查询结果区（序号，</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单编号，发票数量，申请人，</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单明细）；查询功能是根据用户设定查询条件的本级及本下级的</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单信息。</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增加</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单功能需求：进入增加</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单界面，界面内容包括：</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单编号，发票类型，发票起始号码，发票截止号码，发票数量，发票面额（定额发票），开票限额，申请人，申请日期。</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修改</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单功能需求：进入修改</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单界面，界面内容包括：</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单编号，发票类型，发票起始号码，发票截止号码，发票数量，发票面额（定额发票），开票限额，申请人，申请日期；可以对信息进行修改，并保存。</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删除</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单信息功能需求：可以对获取的数据信息进行删除。</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单明细功能需求：进入</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单明细界面，界面内容包括：</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单编号，发票类型，发票起始号码，发票截止号码，发票数量，发票面额（定额发票），开票限额，申请人，申请日期。</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导出功能需求：在查询列表中，点击“导出xls”按钮，可导出该列表到Excel文档中。</w:t>
      </w:r>
    </w:p>
    <w:p>
      <w:pPr>
        <w:pStyle w:val="51"/>
        <w:numPr>
          <w:ilvl w:val="0"/>
          <w:numId w:val="79"/>
        </w:numPr>
        <w:spacing w:line="360" w:lineRule="auto"/>
        <w:ind w:firstLineChars="0"/>
        <w:rPr>
          <w:rFonts w:asciiTheme="minorEastAsia" w:hAnsiTheme="minorEastAsia" w:eastAsiaTheme="minorEastAsia"/>
          <w:sz w:val="24"/>
          <w:szCs w:val="24"/>
        </w:rPr>
      </w:pPr>
      <w:r>
        <w:rPr>
          <w:rFonts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查询功能数据项：序号，</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单编号，发票数量，申请人，</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单明细；</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增加</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单信息数据项：</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单编号，发票类型，发票起始号码，发票截止号码，发票数量，发票面额（定额发票），开票限额，申请人，申请日期；</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修改</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单信息数据项：</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单编号，发票类型，发票起始号码，发票截止号码，发票数量，发票面额（定额发票），开票限额，申请人，申请日期；</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单明细数据项：进入申请单明细界面，界面内容包括：</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单编号，发票类型，发票起始号码，发票截止号码，发票数量，发票面额（定额发票），开票限额，申请人，申请日期。</w:t>
      </w:r>
    </w:p>
    <w:p>
      <w:pPr>
        <w:pStyle w:val="5"/>
        <w:numPr>
          <w:ilvl w:val="3"/>
          <w:numId w:val="0"/>
        </w:numPr>
        <w:spacing w:before="0" w:after="0" w:line="360" w:lineRule="auto"/>
        <w:ind w:left="402" w:leftChars="0"/>
        <w:rPr>
          <w:sz w:val="24"/>
          <w:szCs w:val="24"/>
        </w:rPr>
      </w:pPr>
      <w:bookmarkStart w:id="332" w:name="_Toc18935"/>
      <w:r>
        <w:rPr>
          <w:rFonts w:hint="eastAsia"/>
          <w:sz w:val="24"/>
          <w:szCs w:val="24"/>
        </w:rPr>
        <w:t>4.4发票发货</w:t>
      </w:r>
      <w:bookmarkEnd w:id="332"/>
    </w:p>
    <w:p>
      <w:pPr>
        <w:pStyle w:val="51"/>
        <w:numPr>
          <w:ilvl w:val="0"/>
          <w:numId w:val="80"/>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color w:val="000000"/>
          <w:sz w:val="24"/>
          <w:szCs w:val="24"/>
        </w:rPr>
        <w:t>发票发货功能主要用于实现依据已经审核通过的发票申请单的发票信息进行发票发货调拨，如果请领单来自业务系统，则把发货单的信息传回到业务系统</w:t>
      </w:r>
      <w:r>
        <w:rPr>
          <w:rFonts w:hint="eastAsia" w:asciiTheme="minorEastAsia" w:hAnsiTheme="minorEastAsia" w:eastAsiaTheme="minorEastAsia"/>
          <w:sz w:val="24"/>
          <w:szCs w:val="24"/>
        </w:rPr>
        <w:t>。</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管理发票发货情况，根据审核过的发票请领单，在请领单上填写发票发货信息并发货，发货数量必须不大于审批的数量。创建发货单，继承请领单上全部环节的数据，并增加，发货单号，发货的发票起止号码，发货发票数量，剩余未发货发票数量，发货人。注：如果请领单是来自业务系统，则发货单需要传给业务系统，业务系统将签收情况：签收人，签收数量再传回本系统中。</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注：请领单号码，发货单号码的编码规则：用户的机构编码_YYYYMMDD_流水号。</w:t>
      </w:r>
    </w:p>
    <w:p>
      <w:pPr>
        <w:pStyle w:val="51"/>
        <w:numPr>
          <w:ilvl w:val="0"/>
          <w:numId w:val="80"/>
        </w:numPr>
        <w:spacing w:line="360" w:lineRule="auto"/>
        <w:ind w:firstLineChars="0"/>
        <w:rPr>
          <w:rFonts w:asciiTheme="minorEastAsia" w:hAnsiTheme="minorEastAsia" w:eastAsiaTheme="minorEastAsia"/>
          <w:sz w:val="24"/>
          <w:szCs w:val="24"/>
        </w:rPr>
      </w:pPr>
      <w:r>
        <w:rPr>
          <w:rFonts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界面内容包括：功能操作栏（查询，发票发货）查询条件（机构名称，请领单编号，发货单号码，发票发货日期起，发票发货日期止），查询结果区包括：</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编号，发票类型，发票起始号码，发票截止号码，发票数量，发票面额（定额发票），开票限额，申请人，申请日期，发货单编号，审核数量，审核人，审核日期；查询功能是根据用户设定查询条件的本级及本下级的需要发票发货的请领单信息。</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发票发货功能需求：选择查询出来的需要发票发货的请领单信息（只对已经审核通过的请领单进行发票发货操作），进入发票发货界面，界面内容包括：请领单信息：</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编号，发票类型，发票起始号码，发票截止号码，发票数量，发票面额（定额发票），开票限额，申请人，申请日期，审核数量，审核人，审核日期；发货信息：发货单号码，发票类型，发货发票数量（小于等于审核数量），发货发票起始号码，发货发票截止号码，发货人，剩余未发发票数量；对该请领单信息所对应的组织机构进行发票发货，并生成发货单，发票接受组织机构可以在发票入库模块进行接收发货单。</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当请领单的单据来源是业务系统，则发货单同时传送给业务系统，并能获取业务系统反馈的接收发货单的信息：签收人，签收发票数量。</w:t>
      </w:r>
    </w:p>
    <w:p>
      <w:pPr>
        <w:pStyle w:val="51"/>
        <w:numPr>
          <w:ilvl w:val="0"/>
          <w:numId w:val="80"/>
        </w:numPr>
        <w:spacing w:line="360" w:lineRule="auto"/>
        <w:ind w:firstLineChars="0"/>
        <w:rPr>
          <w:rFonts w:asciiTheme="minorEastAsia" w:hAnsiTheme="minorEastAsia" w:eastAsiaTheme="minorEastAsia"/>
          <w:sz w:val="24"/>
          <w:szCs w:val="24"/>
        </w:rPr>
      </w:pPr>
      <w:r>
        <w:rPr>
          <w:rFonts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查询功能数据项：</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单编号，发票类型，发票起始号码，发票截止号码，发票数量，发票面额（定额发票），开票限额，申请人，申请日期，发货单编号，审核数量，审核人，审核日期；</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发货界面数据项：请领单信息：</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编号，发票类型，发票起始号码，发票截止号码，发票数量，发票面额（定额发票），开票限额，申请人，申请日期，审核数量，审核人，审核日期；发货信息：发货单号码，发票类型，发货发票数量，发货发票起始号码，发货发票截止号码，发货人，剩余未发发票数量。</w:t>
      </w:r>
    </w:p>
    <w:p>
      <w:pPr>
        <w:pStyle w:val="5"/>
        <w:numPr>
          <w:ilvl w:val="3"/>
          <w:numId w:val="0"/>
        </w:numPr>
        <w:spacing w:before="0" w:after="0" w:line="360" w:lineRule="auto"/>
        <w:ind w:left="402" w:leftChars="0"/>
        <w:rPr>
          <w:sz w:val="24"/>
          <w:szCs w:val="24"/>
        </w:rPr>
      </w:pPr>
      <w:bookmarkStart w:id="333" w:name="_Toc10851"/>
      <w:r>
        <w:rPr>
          <w:rFonts w:hint="eastAsia"/>
          <w:sz w:val="24"/>
          <w:szCs w:val="24"/>
        </w:rPr>
        <w:t>4.5发票缴销</w:t>
      </w:r>
      <w:bookmarkEnd w:id="333"/>
    </w:p>
    <w:p>
      <w:pPr>
        <w:pStyle w:val="51"/>
        <w:numPr>
          <w:ilvl w:val="0"/>
          <w:numId w:val="81"/>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color w:val="000000"/>
          <w:sz w:val="24"/>
          <w:szCs w:val="24"/>
        </w:rPr>
        <w:t>发票缴销功能主要用于实现对增值税普通发票的</w:t>
      </w:r>
      <w:r>
        <w:rPr>
          <w:rFonts w:hint="eastAsia" w:asciiTheme="minorEastAsia" w:hAnsiTheme="minorEastAsia" w:eastAsiaTheme="minorEastAsia"/>
          <w:sz w:val="24"/>
          <w:szCs w:val="24"/>
        </w:rPr>
        <w:t>破损或者空白问题发票及已开具的发票创建缴销单并进行缴销。</w:t>
      </w:r>
    </w:p>
    <w:p>
      <w:pPr>
        <w:pStyle w:val="51"/>
        <w:numPr>
          <w:ilvl w:val="0"/>
          <w:numId w:val="81"/>
        </w:numPr>
        <w:spacing w:line="360" w:lineRule="auto"/>
        <w:ind w:firstLineChars="0"/>
        <w:rPr>
          <w:rFonts w:asciiTheme="minorEastAsia" w:hAnsiTheme="minorEastAsia" w:eastAsiaTheme="minorEastAsia"/>
          <w:sz w:val="24"/>
          <w:szCs w:val="24"/>
        </w:rPr>
      </w:pPr>
      <w:r>
        <w:rPr>
          <w:rFonts w:asciiTheme="minorEastAsia" w:hAnsiTheme="minorEastAsia" w:eastAsiaTheme="minorEastAsia"/>
          <w:sz w:val="24"/>
          <w:szCs w:val="24"/>
        </w:rPr>
        <w:t>实现需求</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界面内容包括：功能操作栏（查询，增加，修改，删除，缴销，导出）查询条件（机构名称，发票类型，缴销类型（包括：正常，破损，空白，作废），缴销日期起，缴销日期止），查询结果区（序号，</w:t>
      </w:r>
      <w:r>
        <w:rPr>
          <w:rFonts w:hint="eastAsia" w:asciiTheme="minorEastAsia" w:hAnsiTheme="minorEastAsia" w:eastAsiaTheme="minorEastAsia"/>
          <w:color w:val="000000"/>
          <w:sz w:val="24"/>
          <w:szCs w:val="24"/>
        </w:rPr>
        <w:t>缴销单</w:t>
      </w:r>
      <w:r>
        <w:rPr>
          <w:rFonts w:hint="eastAsia" w:asciiTheme="minorEastAsia" w:hAnsiTheme="minorEastAsia" w:eastAsiaTheme="minorEastAsia"/>
          <w:sz w:val="24"/>
          <w:szCs w:val="24"/>
        </w:rPr>
        <w:t>编号，发票数量，发票起始号码，发票截止号码，缴销金额（缴销类型为“正常”时，该字段显示），缴销类型，申请人，缴销状态（已缴销，未缴销））；查询功能是根据用户设定查询条件的本级及本下级的</w:t>
      </w:r>
      <w:r>
        <w:rPr>
          <w:rFonts w:hint="eastAsia" w:asciiTheme="minorEastAsia" w:hAnsiTheme="minorEastAsia" w:eastAsiaTheme="minorEastAsia"/>
          <w:color w:val="000000"/>
          <w:sz w:val="24"/>
          <w:szCs w:val="24"/>
        </w:rPr>
        <w:t>缴销</w:t>
      </w:r>
      <w:r>
        <w:rPr>
          <w:rFonts w:hint="eastAsia" w:asciiTheme="minorEastAsia" w:hAnsiTheme="minorEastAsia" w:eastAsiaTheme="minorEastAsia"/>
          <w:sz w:val="24"/>
          <w:szCs w:val="24"/>
        </w:rPr>
        <w:t>单信息。</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增加</w:t>
      </w:r>
      <w:r>
        <w:rPr>
          <w:rFonts w:hint="eastAsia" w:asciiTheme="minorEastAsia" w:hAnsiTheme="minorEastAsia" w:eastAsiaTheme="minorEastAsia"/>
          <w:color w:val="000000"/>
          <w:sz w:val="24"/>
          <w:szCs w:val="24"/>
        </w:rPr>
        <w:t>缴销</w:t>
      </w:r>
      <w:r>
        <w:rPr>
          <w:rFonts w:hint="eastAsia" w:asciiTheme="minorEastAsia" w:hAnsiTheme="minorEastAsia" w:eastAsiaTheme="minorEastAsia"/>
          <w:sz w:val="24"/>
          <w:szCs w:val="24"/>
        </w:rPr>
        <w:t>单功能需求：进入增加</w:t>
      </w:r>
      <w:r>
        <w:rPr>
          <w:rFonts w:hint="eastAsia" w:asciiTheme="minorEastAsia" w:hAnsiTheme="minorEastAsia" w:eastAsiaTheme="minorEastAsia"/>
          <w:color w:val="000000"/>
          <w:sz w:val="24"/>
          <w:szCs w:val="24"/>
        </w:rPr>
        <w:t>缴销</w:t>
      </w:r>
      <w:r>
        <w:rPr>
          <w:rFonts w:hint="eastAsia" w:asciiTheme="minorEastAsia" w:hAnsiTheme="minorEastAsia" w:eastAsiaTheme="minorEastAsia"/>
          <w:sz w:val="24"/>
          <w:szCs w:val="24"/>
        </w:rPr>
        <w:t>单界面，界面内容包括：</w:t>
      </w:r>
      <w:r>
        <w:rPr>
          <w:rFonts w:hint="eastAsia" w:asciiTheme="minorEastAsia" w:hAnsiTheme="minorEastAsia" w:eastAsiaTheme="minorEastAsia"/>
          <w:color w:val="000000"/>
          <w:sz w:val="24"/>
          <w:szCs w:val="24"/>
        </w:rPr>
        <w:t>缴销单</w:t>
      </w:r>
      <w:r>
        <w:rPr>
          <w:rFonts w:hint="eastAsia" w:asciiTheme="minorEastAsia" w:hAnsiTheme="minorEastAsia" w:eastAsiaTheme="minorEastAsia"/>
          <w:sz w:val="24"/>
          <w:szCs w:val="24"/>
        </w:rPr>
        <w:t>编号，发票类型，发票数量，发票起始号码，发票截止号码，缴销金额（缴销类型为“正常”时，该字段显示），缴销类型，申请人，申请日期；正常开具和作废的发票：手工发票需要手工填写发票数量和金额，通用机打发票需要从业务系统中读取本月已开发票数据，并汇总发票的数量和金额，自动填入缴销单对应字段中。</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修改</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单功能需求：进入修改</w:t>
      </w:r>
      <w:r>
        <w:rPr>
          <w:rFonts w:hint="eastAsia" w:asciiTheme="minorEastAsia" w:hAnsiTheme="minorEastAsia" w:eastAsiaTheme="minorEastAsia"/>
          <w:color w:val="000000"/>
          <w:sz w:val="24"/>
          <w:szCs w:val="24"/>
        </w:rPr>
        <w:t>请领</w:t>
      </w:r>
      <w:r>
        <w:rPr>
          <w:rFonts w:hint="eastAsia" w:asciiTheme="minorEastAsia" w:hAnsiTheme="minorEastAsia" w:eastAsiaTheme="minorEastAsia"/>
          <w:sz w:val="24"/>
          <w:szCs w:val="24"/>
        </w:rPr>
        <w:t>单界面，界面内容包括：</w:t>
      </w:r>
      <w:r>
        <w:rPr>
          <w:rFonts w:hint="eastAsia" w:asciiTheme="minorEastAsia" w:hAnsiTheme="minorEastAsia" w:eastAsiaTheme="minorEastAsia"/>
          <w:color w:val="000000"/>
          <w:sz w:val="24"/>
          <w:szCs w:val="24"/>
        </w:rPr>
        <w:t>缴销单</w:t>
      </w:r>
      <w:r>
        <w:rPr>
          <w:rFonts w:hint="eastAsia" w:asciiTheme="minorEastAsia" w:hAnsiTheme="minorEastAsia" w:eastAsiaTheme="minorEastAsia"/>
          <w:sz w:val="24"/>
          <w:szCs w:val="24"/>
        </w:rPr>
        <w:t>编号，发票类型，发票数量，发票起始号码，发票截止号码，缴销金额（缴销类型为“正常”时，该字段显示），缴销类型，申请人，申请日期；可以对信息进行修改，并保存。</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删除</w:t>
      </w:r>
      <w:r>
        <w:rPr>
          <w:rFonts w:hint="eastAsia" w:asciiTheme="minorEastAsia" w:hAnsiTheme="minorEastAsia" w:eastAsiaTheme="minorEastAsia"/>
          <w:color w:val="000000"/>
          <w:sz w:val="24"/>
          <w:szCs w:val="24"/>
        </w:rPr>
        <w:t>缴销</w:t>
      </w:r>
      <w:r>
        <w:rPr>
          <w:rFonts w:hint="eastAsia" w:asciiTheme="minorEastAsia" w:hAnsiTheme="minorEastAsia" w:eastAsiaTheme="minorEastAsia"/>
          <w:sz w:val="24"/>
          <w:szCs w:val="24"/>
        </w:rPr>
        <w:t>单信息功能需求：可以对获取的数据信息进行删除。</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color w:val="000000"/>
          <w:sz w:val="24"/>
          <w:szCs w:val="24"/>
        </w:rPr>
        <w:t>缴销功能需求：选择获取的未缴销的缴销单，对该缴销单进行缴销，缴销原则是：缴销发票对应的请领单来之哪个组织机构，缴销单会发送到哪个组织机构，由该组织机构在发票入库模块进行接收缴销单操作</w:t>
      </w:r>
      <w:r>
        <w:rPr>
          <w:rFonts w:hint="eastAsia" w:asciiTheme="minorEastAsia" w:hAnsiTheme="minorEastAsia" w:eastAsiaTheme="minorEastAsia"/>
          <w:sz w:val="24"/>
          <w:szCs w:val="24"/>
        </w:rPr>
        <w:t>。</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导出功能需求：在查询列表中，点击“导出xls”按钮，可导出该列表到Excel文档中。</w:t>
      </w:r>
    </w:p>
    <w:p>
      <w:pPr>
        <w:pStyle w:val="51"/>
        <w:numPr>
          <w:ilvl w:val="0"/>
          <w:numId w:val="81"/>
        </w:numPr>
        <w:spacing w:line="360" w:lineRule="auto"/>
        <w:ind w:firstLineChars="0"/>
        <w:rPr>
          <w:rFonts w:asciiTheme="minorEastAsia" w:hAnsiTheme="minorEastAsia" w:eastAsiaTheme="minorEastAsia"/>
          <w:sz w:val="24"/>
          <w:szCs w:val="24"/>
        </w:rPr>
      </w:pPr>
      <w:r>
        <w:rPr>
          <w:rFonts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查询功能数据项：序号，</w:t>
      </w:r>
      <w:r>
        <w:rPr>
          <w:rFonts w:hint="eastAsia" w:asciiTheme="minorEastAsia" w:hAnsiTheme="minorEastAsia" w:eastAsiaTheme="minorEastAsia"/>
          <w:color w:val="000000"/>
          <w:sz w:val="24"/>
          <w:szCs w:val="24"/>
        </w:rPr>
        <w:t>缴销单</w:t>
      </w:r>
      <w:r>
        <w:rPr>
          <w:rFonts w:hint="eastAsia" w:asciiTheme="minorEastAsia" w:hAnsiTheme="minorEastAsia" w:eastAsiaTheme="minorEastAsia"/>
          <w:sz w:val="24"/>
          <w:szCs w:val="24"/>
        </w:rPr>
        <w:t>编号，发票类型，发票数量，发票起始号码，发票截止号码，缴销金额（缴销类型为“正常”时，该字段显示），缴销类型，申请人，缴销状态（已缴销，未缴销）；</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新建缴销单数据项：</w:t>
      </w:r>
      <w:r>
        <w:rPr>
          <w:rFonts w:hint="eastAsia" w:asciiTheme="minorEastAsia" w:hAnsiTheme="minorEastAsia" w:eastAsiaTheme="minorEastAsia"/>
          <w:color w:val="000000"/>
          <w:sz w:val="24"/>
          <w:szCs w:val="24"/>
        </w:rPr>
        <w:t>缴销单</w:t>
      </w:r>
      <w:r>
        <w:rPr>
          <w:rFonts w:hint="eastAsia" w:asciiTheme="minorEastAsia" w:hAnsiTheme="minorEastAsia" w:eastAsiaTheme="minorEastAsia"/>
          <w:sz w:val="24"/>
          <w:szCs w:val="24"/>
        </w:rPr>
        <w:t>编号，发票类型，发票数量，发票起始号码，发票截止号码，缴销金额（缴销类型为“正常”时，该字段显示），缴销类型，申请人；</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修改缴销单数据项：</w:t>
      </w:r>
      <w:r>
        <w:rPr>
          <w:rFonts w:hint="eastAsia" w:asciiTheme="minorEastAsia" w:hAnsiTheme="minorEastAsia" w:eastAsiaTheme="minorEastAsia"/>
          <w:color w:val="000000"/>
          <w:sz w:val="24"/>
          <w:szCs w:val="24"/>
        </w:rPr>
        <w:t>缴销单</w:t>
      </w:r>
      <w:r>
        <w:rPr>
          <w:rFonts w:hint="eastAsia" w:asciiTheme="minorEastAsia" w:hAnsiTheme="minorEastAsia" w:eastAsiaTheme="minorEastAsia"/>
          <w:sz w:val="24"/>
          <w:szCs w:val="24"/>
        </w:rPr>
        <w:t>编号，发票类型，发票数量，发票起始号码，发票截止号码，缴销金额（缴销类型为“正常”时，该字段显示），缴销类型，申请人。</w:t>
      </w:r>
    </w:p>
    <w:p>
      <w:pPr>
        <w:pStyle w:val="5"/>
        <w:numPr>
          <w:ilvl w:val="3"/>
          <w:numId w:val="0"/>
        </w:numPr>
        <w:spacing w:before="0" w:after="0" w:line="360" w:lineRule="auto"/>
        <w:ind w:left="402" w:leftChars="0"/>
        <w:rPr>
          <w:sz w:val="24"/>
          <w:szCs w:val="24"/>
        </w:rPr>
      </w:pPr>
      <w:bookmarkStart w:id="334" w:name="_Toc31300"/>
      <w:r>
        <w:rPr>
          <w:rFonts w:hint="eastAsia"/>
          <w:sz w:val="24"/>
          <w:szCs w:val="24"/>
        </w:rPr>
        <w:t>4.6领用存统计</w:t>
      </w:r>
      <w:bookmarkEnd w:id="334"/>
    </w:p>
    <w:p>
      <w:pPr>
        <w:pStyle w:val="51"/>
        <w:numPr>
          <w:ilvl w:val="0"/>
          <w:numId w:val="82"/>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进销存统计功能用于从后台服务器的数据库中，查询系统中发票的进销存统计数据，包括发票的入库发票数量，请领发票数量，发货发票数量，缴销发票数量等信息，并可将查询结果导出。</w:t>
      </w:r>
    </w:p>
    <w:p>
      <w:pPr>
        <w:pStyle w:val="51"/>
        <w:numPr>
          <w:ilvl w:val="0"/>
          <w:numId w:val="82"/>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spacing w:line="360" w:lineRule="auto"/>
        <w:ind w:firstLine="472" w:firstLineChars="200"/>
        <w:rPr>
          <w:rFonts w:asciiTheme="minorEastAsia" w:hAnsiTheme="minorEastAsia"/>
          <w:sz w:val="24"/>
          <w:szCs w:val="24"/>
        </w:rPr>
      </w:pPr>
      <w:r>
        <w:rPr>
          <w:rFonts w:hint="eastAsia" w:asciiTheme="minorEastAsia" w:hAnsiTheme="minorEastAsia"/>
          <w:spacing w:val="-2"/>
          <w:sz w:val="24"/>
          <w:szCs w:val="24"/>
        </w:rPr>
        <w:t>界面内容包括查询条件和查询结果两个部分，</w:t>
      </w:r>
      <w:r>
        <w:rPr>
          <w:rFonts w:hint="eastAsia" w:asciiTheme="minorEastAsia" w:hAnsiTheme="minorEastAsia"/>
          <w:sz w:val="24"/>
          <w:szCs w:val="24"/>
        </w:rPr>
        <w:t>界面查询条件：单位部门，统计月份起，统计月份止，发票类型，设置查询条件，点击“查询”按钮，系统按所选择单位部门，月份，发票类型汇总发票相关信息统计情况，统计结果信息内容为：序号，单位部门名称，发票类型，销方税号，销方名称，入库发票数量，请领发票数量，发货发票数量，缴销发票数量，发票月份。</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导出功能需求：在查询列表中，点击“导出”按钮，可把查询出来的数据信息导出到Excel文档中。</w:t>
      </w:r>
    </w:p>
    <w:p>
      <w:pPr>
        <w:pStyle w:val="51"/>
        <w:numPr>
          <w:ilvl w:val="0"/>
          <w:numId w:val="82"/>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color w:val="FF0000"/>
          <w:sz w:val="24"/>
          <w:szCs w:val="24"/>
        </w:rPr>
      </w:pPr>
      <w:r>
        <w:rPr>
          <w:rFonts w:hint="eastAsia" w:asciiTheme="minorEastAsia" w:hAnsiTheme="minorEastAsia" w:eastAsiaTheme="minorEastAsia"/>
          <w:sz w:val="24"/>
          <w:szCs w:val="24"/>
        </w:rPr>
        <w:t>查询功能数据项：序号，单位部门名称，发票类型，销方税号，销方名称，入库发票数量，请领发票数量，发货发票数量，缴销发票数量，发票月份。</w:t>
      </w:r>
    </w:p>
    <w:p>
      <w:pPr>
        <w:pStyle w:val="5"/>
        <w:numPr>
          <w:ilvl w:val="3"/>
          <w:numId w:val="0"/>
        </w:numPr>
        <w:spacing w:before="0" w:after="0" w:line="360" w:lineRule="auto"/>
        <w:ind w:left="402" w:leftChars="0"/>
        <w:rPr>
          <w:sz w:val="24"/>
          <w:szCs w:val="24"/>
        </w:rPr>
      </w:pPr>
      <w:bookmarkStart w:id="335" w:name="_Toc21600"/>
      <w:r>
        <w:rPr>
          <w:rFonts w:hint="eastAsia"/>
          <w:sz w:val="24"/>
          <w:szCs w:val="24"/>
        </w:rPr>
        <w:t>4.7领用存查询</w:t>
      </w:r>
      <w:bookmarkEnd w:id="335"/>
    </w:p>
    <w:p>
      <w:pPr>
        <w:pStyle w:val="51"/>
        <w:numPr>
          <w:ilvl w:val="0"/>
          <w:numId w:val="83"/>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用于从后台服务器的数据库中，查询系统中每个机构的发票领用存信息，并可将查询结果导出。</w:t>
      </w:r>
    </w:p>
    <w:p>
      <w:pPr>
        <w:pStyle w:val="51"/>
        <w:numPr>
          <w:ilvl w:val="0"/>
          <w:numId w:val="83"/>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spacing w:line="360" w:lineRule="auto"/>
        <w:ind w:firstLine="472" w:firstLineChars="200"/>
        <w:rPr>
          <w:rFonts w:asciiTheme="minorEastAsia" w:hAnsiTheme="minorEastAsia"/>
          <w:sz w:val="24"/>
          <w:szCs w:val="24"/>
        </w:rPr>
      </w:pPr>
      <w:r>
        <w:rPr>
          <w:rFonts w:hint="eastAsia" w:asciiTheme="minorEastAsia" w:hAnsiTheme="minorEastAsia"/>
          <w:spacing w:val="-2"/>
          <w:sz w:val="24"/>
          <w:szCs w:val="24"/>
        </w:rPr>
        <w:t>界面内容包括查询条件和查询结果两个部分，</w:t>
      </w:r>
      <w:r>
        <w:rPr>
          <w:rFonts w:hint="eastAsia" w:asciiTheme="minorEastAsia" w:hAnsiTheme="minorEastAsia"/>
          <w:sz w:val="24"/>
          <w:szCs w:val="24"/>
        </w:rPr>
        <w:t>界面查询条件：机构名称，发票类型，操作类型，操作日期起，操作日期止，发票代码，发票起始号码，发票截止号码，单据号码(支持模糊查询)，设置查询条件，点击“查询”按钮，系统按所选择单位部门，月份，发票类型汇总发票相关信息统计情况，统计结果信息内容为：序号，机构名称，发票类型，操作类型，发票代码，发票起始号码，发票截止号码，发票数量，开票限额，单据号码，操作时间，领购人，操作人员。</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导出功能需求：在查询列表中，点击“导出”按钮，可把查询出来的数据信息导出到Excel文档中。</w:t>
      </w:r>
    </w:p>
    <w:p>
      <w:pPr>
        <w:pStyle w:val="51"/>
        <w:numPr>
          <w:ilvl w:val="0"/>
          <w:numId w:val="83"/>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color w:val="FF0000"/>
          <w:sz w:val="24"/>
          <w:szCs w:val="24"/>
        </w:rPr>
      </w:pPr>
      <w:r>
        <w:rPr>
          <w:rFonts w:hint="eastAsia" w:asciiTheme="minorEastAsia" w:hAnsiTheme="minorEastAsia" w:eastAsiaTheme="minorEastAsia"/>
          <w:sz w:val="24"/>
          <w:szCs w:val="24"/>
        </w:rPr>
        <w:t>查询功能数据项：序号，机构名称，发票类型，操作类型，发票代码，发票起始号码，发票截止号码，发票数量，开票限额，单据号码，操作时间，领购人，操作人员。</w:t>
      </w:r>
    </w:p>
    <w:p>
      <w:pPr>
        <w:pStyle w:val="5"/>
        <w:numPr>
          <w:ilvl w:val="3"/>
          <w:numId w:val="0"/>
        </w:numPr>
        <w:spacing w:before="0" w:after="0" w:line="360" w:lineRule="auto"/>
        <w:ind w:left="402" w:leftChars="0"/>
        <w:rPr>
          <w:sz w:val="24"/>
          <w:szCs w:val="24"/>
        </w:rPr>
      </w:pPr>
      <w:bookmarkStart w:id="336" w:name="_Toc20800"/>
      <w:r>
        <w:rPr>
          <w:rFonts w:hint="eastAsia"/>
          <w:sz w:val="24"/>
          <w:szCs w:val="24"/>
        </w:rPr>
        <w:t>4.8库存查询</w:t>
      </w:r>
      <w:bookmarkEnd w:id="336"/>
    </w:p>
    <w:p>
      <w:pPr>
        <w:pStyle w:val="51"/>
        <w:numPr>
          <w:ilvl w:val="0"/>
          <w:numId w:val="84"/>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功能定义</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用于从后台服务器的数据库中，查询系统中每个机构的发票库存信息，并可将查询结果导出。</w:t>
      </w:r>
    </w:p>
    <w:p>
      <w:pPr>
        <w:pStyle w:val="51"/>
        <w:numPr>
          <w:ilvl w:val="0"/>
          <w:numId w:val="84"/>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实现需求</w:t>
      </w:r>
    </w:p>
    <w:p>
      <w:pPr>
        <w:spacing w:line="360" w:lineRule="auto"/>
        <w:ind w:firstLine="472" w:firstLineChars="200"/>
        <w:rPr>
          <w:rFonts w:asciiTheme="minorEastAsia" w:hAnsiTheme="minorEastAsia"/>
          <w:sz w:val="24"/>
          <w:szCs w:val="24"/>
        </w:rPr>
      </w:pPr>
      <w:r>
        <w:rPr>
          <w:rFonts w:hint="eastAsia" w:asciiTheme="minorEastAsia" w:hAnsiTheme="minorEastAsia"/>
          <w:spacing w:val="-2"/>
          <w:sz w:val="24"/>
          <w:szCs w:val="24"/>
        </w:rPr>
        <w:t>界面内容包括查询条件和查询结果两个部分，</w:t>
      </w:r>
      <w:r>
        <w:rPr>
          <w:rFonts w:hint="eastAsia" w:asciiTheme="minorEastAsia" w:hAnsiTheme="minorEastAsia"/>
          <w:sz w:val="24"/>
          <w:szCs w:val="24"/>
        </w:rPr>
        <w:t>界面查询条件：机构名称，发票类型，发票代码，发票起始号码，发票截止号码，设置查询条件，点击“查询”按钮，系统按所选择单位部门，月份，发票类型汇总发票相关信息统计情况，统计结果信息内容为：序号，机构名称，发票类型，发票代码，发票起始号码，发票截止号码，发票数量，发票剩余数量。</w:t>
      </w:r>
    </w:p>
    <w:p>
      <w:pPr>
        <w:pStyle w:val="61"/>
        <w:spacing w:line="360" w:lineRule="auto"/>
        <w:ind w:firstLine="412"/>
        <w:rPr>
          <w:rFonts w:asciiTheme="minorEastAsia" w:hAnsiTheme="minorEastAsia" w:eastAsiaTheme="minorEastAsia"/>
          <w:sz w:val="24"/>
          <w:szCs w:val="24"/>
        </w:rPr>
      </w:pPr>
      <w:r>
        <w:rPr>
          <w:rFonts w:hint="eastAsia" w:asciiTheme="minorEastAsia" w:hAnsiTheme="minorEastAsia" w:eastAsiaTheme="minorEastAsia"/>
          <w:sz w:val="24"/>
          <w:szCs w:val="24"/>
        </w:rPr>
        <w:t>导出功能需求：在查询列表中，点击“导出”按钮，可把查询出来的数据信息导出到Excel文档中。</w:t>
      </w:r>
    </w:p>
    <w:p>
      <w:pPr>
        <w:pStyle w:val="51"/>
        <w:numPr>
          <w:ilvl w:val="0"/>
          <w:numId w:val="84"/>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主要数据项</w:t>
      </w:r>
    </w:p>
    <w:p>
      <w:pPr>
        <w:pStyle w:val="61"/>
        <w:spacing w:line="360" w:lineRule="auto"/>
        <w:ind w:firstLine="412"/>
        <w:rPr>
          <w:rFonts w:asciiTheme="minorEastAsia" w:hAnsiTheme="minorEastAsia" w:eastAsiaTheme="minorEastAsia"/>
          <w:color w:val="FF0000"/>
          <w:sz w:val="24"/>
          <w:szCs w:val="24"/>
        </w:rPr>
      </w:pPr>
      <w:r>
        <w:rPr>
          <w:rFonts w:hint="eastAsia" w:asciiTheme="minorEastAsia" w:hAnsiTheme="minorEastAsia" w:eastAsiaTheme="minorEastAsia"/>
          <w:sz w:val="24"/>
          <w:szCs w:val="24"/>
        </w:rPr>
        <w:t>查询功能数据项：序号，机构名称，发票类型，发票代码，发票起始号码，发票截止号码，发票数量，发票剩余数量。</w:t>
      </w:r>
    </w:p>
    <w:p>
      <w:pPr>
        <w:pStyle w:val="2"/>
        <w:pageBreakBefore/>
        <w:numPr>
          <w:ilvl w:val="0"/>
          <w:numId w:val="3"/>
        </w:numPr>
        <w:spacing w:before="0" w:after="0" w:line="360" w:lineRule="auto"/>
        <w:ind w:left="0" w:leftChars="0" w:firstLine="402" w:firstLineChars="0"/>
      </w:pPr>
      <w:r>
        <w:rPr>
          <w:rFonts w:hint="eastAsia"/>
        </w:rPr>
        <w:t xml:space="preserve"> </w:t>
      </w:r>
      <w:bookmarkStart w:id="337" w:name="_Toc16315"/>
      <w:r>
        <w:rPr>
          <w:rFonts w:hint="eastAsia"/>
        </w:rPr>
        <w:t>项目实施管理</w:t>
      </w:r>
      <w:bookmarkEnd w:id="337"/>
    </w:p>
    <w:p>
      <w:pPr>
        <w:pStyle w:val="3"/>
        <w:numPr>
          <w:ilvl w:val="1"/>
          <w:numId w:val="3"/>
        </w:numPr>
        <w:spacing w:before="0" w:after="0" w:line="360" w:lineRule="auto"/>
        <w:ind w:left="0" w:leftChars="0" w:firstLine="402" w:firstLineChars="0"/>
      </w:pPr>
      <w:bookmarkStart w:id="338" w:name="_Toc28906"/>
      <w:r>
        <w:rPr>
          <w:rFonts w:hint="eastAsia"/>
        </w:rPr>
        <w:t>项目进度管理计划</w:t>
      </w:r>
      <w:bookmarkEnd w:id="338"/>
    </w:p>
    <w:p>
      <w:pPr>
        <w:spacing w:line="360" w:lineRule="auto"/>
        <w:ind w:firstLine="480" w:firstLineChars="200"/>
        <w:rPr>
          <w:sz w:val="24"/>
          <w:szCs w:val="24"/>
        </w:rPr>
      </w:pPr>
      <w:r>
        <w:rPr>
          <w:rFonts w:hint="eastAsia"/>
          <w:sz w:val="24"/>
          <w:szCs w:val="24"/>
        </w:rPr>
        <w:t>进度控制管理是采用科学的方法确定进度目标，编制进度计划与资源供应计划，进行进度控制，在与质量、费用、安全目标协调的基础上，实现工期目标。由于进度计划实施过程中目标明确，而资源有限，不确定因素多，干扰因素多，这些因素有客观的、主观的，主客观条件的不断变化，计划也随着改变，因此，在项目施工过程中必须不断掌握计划的实施状况，并将实际情况与计划进行对比分析，必要时采取有效措施，使项目进度按预定的目标进行，确保目标的实现。进度控制管理是动态的、全过程的管理，其主要方法是规划、控制、协调。</w:t>
      </w:r>
    </w:p>
    <w:p>
      <w:pPr>
        <w:spacing w:line="360" w:lineRule="auto"/>
        <w:ind w:firstLine="480" w:firstLineChars="200"/>
        <w:rPr>
          <w:sz w:val="24"/>
          <w:szCs w:val="24"/>
        </w:rPr>
      </w:pPr>
      <w:r>
        <w:rPr>
          <w:rFonts w:hint="eastAsia"/>
          <w:sz w:val="24"/>
          <w:szCs w:val="24"/>
        </w:rPr>
        <w:t>由于本项目规模大，建设内容之间存在这样那样的内在联系，这就导致各项建设任务之间存在的复杂的依赖关系，如果在安排详细项目进度计划时缺乏整体考虑将导致整体工程延期等问题。</w:t>
      </w:r>
    </w:p>
    <w:p>
      <w:pPr>
        <w:spacing w:line="360" w:lineRule="auto"/>
        <w:ind w:firstLine="480" w:firstLineChars="200"/>
        <w:rPr>
          <w:sz w:val="24"/>
          <w:szCs w:val="24"/>
        </w:rPr>
      </w:pPr>
      <w:r>
        <w:rPr>
          <w:rFonts w:hint="eastAsia"/>
          <w:sz w:val="24"/>
          <w:szCs w:val="24"/>
        </w:rPr>
        <w:t>为解决这些与时间进度相关的种种问题，我们计划在项目实施中采用以下的进度管理方案。</w:t>
      </w:r>
    </w:p>
    <w:p>
      <w:pPr>
        <w:pStyle w:val="4"/>
        <w:numPr>
          <w:ilvl w:val="2"/>
          <w:numId w:val="3"/>
        </w:numPr>
        <w:spacing w:before="0" w:after="0" w:line="360" w:lineRule="auto"/>
        <w:ind w:left="0" w:leftChars="0" w:firstLine="402" w:firstLineChars="0"/>
      </w:pPr>
      <w:bookmarkStart w:id="339" w:name="_Toc9128"/>
      <w:r>
        <w:rPr>
          <w:rFonts w:hint="eastAsia"/>
        </w:rPr>
        <w:t>项目进度控制的步骤</w:t>
      </w:r>
      <w:bookmarkEnd w:id="339"/>
    </w:p>
    <w:p>
      <w:pPr>
        <w:spacing w:line="360" w:lineRule="auto"/>
        <w:rPr>
          <w:sz w:val="24"/>
          <w:szCs w:val="24"/>
        </w:rPr>
      </w:pPr>
      <w:r>
        <w:rPr>
          <w:rFonts w:hint="eastAsia"/>
          <w:sz w:val="24"/>
          <w:szCs w:val="24"/>
        </w:rPr>
        <w:t>一、编制进度计划</w:t>
      </w:r>
    </w:p>
    <w:p>
      <w:pPr>
        <w:spacing w:line="360" w:lineRule="auto"/>
        <w:ind w:firstLine="480" w:firstLineChars="200"/>
        <w:rPr>
          <w:sz w:val="24"/>
          <w:szCs w:val="24"/>
        </w:rPr>
      </w:pPr>
      <w:r>
        <w:rPr>
          <w:rFonts w:hint="eastAsia"/>
          <w:sz w:val="24"/>
          <w:szCs w:val="24"/>
        </w:rPr>
        <w:t>编制进度计划前要进行详细的项目结构分析，系统地剖析整个项目结构构成，包括实施过程和细节，系统规则地分解项目。项目结构分解的工具是工作分解结构</w:t>
      </w:r>
      <w:r>
        <w:rPr>
          <w:sz w:val="24"/>
          <w:szCs w:val="24"/>
        </w:rPr>
        <w:t>WBS</w:t>
      </w:r>
      <w:r>
        <w:rPr>
          <w:rFonts w:hint="eastAsia"/>
          <w:sz w:val="24"/>
          <w:szCs w:val="24"/>
        </w:rPr>
        <w:t>原理，它是一个分级的树型结构，是将项目按照其内在结构和实施过程的顺序进行逐层分解而形成的结构示意图。通过项目</w:t>
      </w:r>
      <w:r>
        <w:rPr>
          <w:sz w:val="24"/>
          <w:szCs w:val="24"/>
        </w:rPr>
        <w:t>WBS</w:t>
      </w:r>
      <w:r>
        <w:rPr>
          <w:rFonts w:hint="eastAsia"/>
          <w:sz w:val="24"/>
          <w:szCs w:val="24"/>
        </w:rPr>
        <w:t>分解作到将项目分解到相对独立的、内容单一的、易于成本核算与检查的项目单元，作到明确单元之间的逻辑关系与工作关系，作到每个单元具体地落实到责任者，并能进行各部门、各专业的协调。</w:t>
      </w:r>
    </w:p>
    <w:p>
      <w:pPr>
        <w:spacing w:line="360" w:lineRule="auto"/>
        <w:ind w:firstLine="480" w:firstLineChars="200"/>
        <w:rPr>
          <w:sz w:val="24"/>
          <w:szCs w:val="24"/>
        </w:rPr>
      </w:pPr>
      <w:r>
        <w:rPr>
          <w:rFonts w:hint="eastAsia"/>
          <w:sz w:val="24"/>
          <w:szCs w:val="24"/>
        </w:rPr>
        <w:t>进度计划编制的主要依据是：项目目标范围；工期的要求；项目特点；项目的内外部条件；项目结构分解单元；项目对各项工作的时间估计；项目的资源供应状况等。进度计划编制要与费用、质量、安全等目标相协调，充分考虑客观条件和风险预计，确保项目目标的实现。进度计划编制主要工具是网络计划图和横道图，通过绘制网络计划图，确定关键路线和关键工作。根据总进度计划，制定出项目资源总计划，费用总计划，把这些总计划分解到每年、每季度、每月、每旬等各阶段，从而进行项目实施过程的依据与控制。项目控制就是一个循环，可称为</w:t>
      </w:r>
      <w:r>
        <w:rPr>
          <w:sz w:val="24"/>
          <w:szCs w:val="24"/>
        </w:rPr>
        <w:t>PDCA</w:t>
      </w:r>
      <w:r>
        <w:rPr>
          <w:rFonts w:hint="eastAsia"/>
          <w:sz w:val="24"/>
          <w:szCs w:val="24"/>
        </w:rPr>
        <w:t>循环，即</w:t>
      </w:r>
      <w:r>
        <w:rPr>
          <w:sz w:val="24"/>
          <w:szCs w:val="24"/>
        </w:rPr>
        <w:t>Plan-Do-Check-Adjust</w:t>
      </w:r>
      <w:r>
        <w:rPr>
          <w:rFonts w:hint="eastAsia"/>
          <w:sz w:val="24"/>
          <w:szCs w:val="24"/>
        </w:rPr>
        <w:t>。</w:t>
      </w:r>
    </w:p>
    <w:p>
      <w:pPr>
        <w:spacing w:line="360" w:lineRule="auto"/>
        <w:rPr>
          <w:sz w:val="24"/>
          <w:szCs w:val="24"/>
        </w:rPr>
      </w:pPr>
      <w:r>
        <w:rPr>
          <w:rFonts w:hint="eastAsia"/>
          <w:sz w:val="24"/>
          <w:szCs w:val="24"/>
        </w:rPr>
        <w:t>二、成立进度控制管理小组</w:t>
      </w:r>
    </w:p>
    <w:p>
      <w:pPr>
        <w:spacing w:line="360" w:lineRule="auto"/>
        <w:ind w:firstLine="480" w:firstLineChars="200"/>
        <w:rPr>
          <w:sz w:val="24"/>
          <w:szCs w:val="24"/>
        </w:rPr>
      </w:pPr>
      <w:r>
        <w:rPr>
          <w:rFonts w:hint="eastAsia"/>
          <w:sz w:val="24"/>
          <w:szCs w:val="24"/>
        </w:rPr>
        <w:t>成立以项目经理为组长，以项目副经理为常务副组长，以各职能部门负责人为副组长，以各单元工作负责人、各班组长等为组员的控制管理小组。小组成员分工明确，责任清晣；定期不定期召开会议，严格执行讨论、分析、制定对策、执行、反馈的工作制度。</w:t>
      </w:r>
    </w:p>
    <w:p>
      <w:pPr>
        <w:spacing w:line="360" w:lineRule="auto"/>
        <w:rPr>
          <w:sz w:val="24"/>
          <w:szCs w:val="24"/>
        </w:rPr>
      </w:pPr>
      <w:r>
        <w:rPr>
          <w:rFonts w:hint="eastAsia"/>
          <w:sz w:val="24"/>
          <w:szCs w:val="24"/>
        </w:rPr>
        <w:t>三、制定控制流程</w:t>
      </w:r>
    </w:p>
    <w:p>
      <w:pPr>
        <w:spacing w:line="360" w:lineRule="auto"/>
        <w:ind w:firstLine="480" w:firstLineChars="200"/>
      </w:pPr>
      <w:r>
        <w:rPr>
          <w:rFonts w:hint="eastAsia"/>
          <w:sz w:val="24"/>
          <w:szCs w:val="24"/>
        </w:rPr>
        <w:t>控制流程运用了系统原理、动态控制原理、封闭循环原理、信息原理、弹性原理等。编制计划的对象由大到小，计划的内容从粗到细，形成了项目计划系统；控制是随着项目的进行而不断进行的，是个动态过程；由计划编制到计划实施、计划调整再到计划编制这么一个不断循环过程，直到目标的实现；计划实施与控制过程需要不断地进行信息的传递与反馈，也是信息的传递与反馈过程；同时，计划编制时也考虑到各种风险的存在，使进度留有余地，具有一定的弹性，进度控制时，可利用这些弹性，缩短工作持继时间，或改变工作之间的搭接关系，确保项目工期目标的实现。</w:t>
      </w:r>
    </w:p>
    <w:p>
      <w:pPr>
        <w:pStyle w:val="4"/>
        <w:numPr>
          <w:ilvl w:val="2"/>
          <w:numId w:val="3"/>
        </w:numPr>
        <w:spacing w:before="0" w:after="0" w:line="360" w:lineRule="auto"/>
        <w:ind w:left="0" w:leftChars="0" w:firstLine="402" w:firstLineChars="0"/>
      </w:pPr>
      <w:bookmarkStart w:id="340" w:name="_Toc17403"/>
      <w:r>
        <w:rPr>
          <w:rFonts w:hint="eastAsia"/>
        </w:rPr>
        <w:t>项目进度安排</w:t>
      </w:r>
      <w:bookmarkEnd w:id="340"/>
    </w:p>
    <w:p>
      <w:pPr>
        <w:spacing w:line="360" w:lineRule="auto"/>
        <w:ind w:firstLine="480" w:firstLineChars="200"/>
      </w:pPr>
      <w:r>
        <w:rPr>
          <w:rFonts w:hint="eastAsia"/>
          <w:sz w:val="24"/>
          <w:szCs w:val="24"/>
        </w:rPr>
        <w:t>采用科学合理的方法确定进度目标，编制进度计划和资源供应计划，在与质量、费用目标协调的基础上，实现工期目标。</w:t>
      </w:r>
    </w:p>
    <w:p>
      <w:pPr>
        <w:pStyle w:val="4"/>
        <w:numPr>
          <w:ilvl w:val="2"/>
          <w:numId w:val="3"/>
        </w:numPr>
        <w:spacing w:before="0" w:after="0" w:line="360" w:lineRule="auto"/>
        <w:ind w:left="0" w:leftChars="0" w:firstLine="402" w:firstLineChars="0"/>
      </w:pPr>
      <w:bookmarkStart w:id="341" w:name="_Toc22286"/>
      <w:r>
        <w:rPr>
          <w:rFonts w:hint="eastAsia"/>
        </w:rPr>
        <w:t>项目进度跟踪</w:t>
      </w:r>
      <w:bookmarkEnd w:id="341"/>
    </w:p>
    <w:p>
      <w:pPr>
        <w:spacing w:line="360" w:lineRule="auto"/>
        <w:ind w:firstLine="480" w:firstLineChars="200"/>
        <w:rPr>
          <w:sz w:val="24"/>
          <w:szCs w:val="24"/>
        </w:rPr>
      </w:pPr>
      <w:r>
        <w:rPr>
          <w:rFonts w:hint="eastAsia"/>
          <w:sz w:val="24"/>
          <w:szCs w:val="24"/>
        </w:rPr>
        <w:t>在项目的实施过程中，需要对项目的实施情况进行跟踪，确保项目的实施符合计划的要求。跟踪的方法可分为正规跟踪和非正规跟踪，正规跟踪就是定期召开项目进展情况汇报会、提交项目进展报告等，从而使项目利益相关者了解项目的执行情况。根据进展报告，与会者讨论项目遇到的问题，分析并找出问题的原因，研究、确定应对方案和预防措施，为控制项目提供依据。</w:t>
      </w:r>
    </w:p>
    <w:p>
      <w:pPr>
        <w:spacing w:line="360" w:lineRule="auto"/>
        <w:ind w:firstLine="480" w:firstLineChars="200"/>
        <w:rPr>
          <w:sz w:val="24"/>
          <w:szCs w:val="24"/>
        </w:rPr>
      </w:pPr>
      <w:r>
        <w:rPr>
          <w:rFonts w:hint="eastAsia"/>
          <w:sz w:val="24"/>
          <w:szCs w:val="24"/>
        </w:rPr>
        <w:t>非正规跟踪则是项目经理频繁地到项目现场，通过观察、与现场人员交谈、收集数据等方式了解情况，发现问题。在项目管理过程中，非正规跟踪比正规跟踪更加有效，原因是：</w:t>
      </w:r>
    </w:p>
    <w:p>
      <w:pPr>
        <w:spacing w:line="360" w:lineRule="auto"/>
        <w:rPr>
          <w:sz w:val="24"/>
          <w:szCs w:val="24"/>
        </w:rPr>
      </w:pPr>
      <w:r>
        <w:rPr>
          <w:rFonts w:hint="eastAsia"/>
          <w:sz w:val="24"/>
          <w:szCs w:val="24"/>
        </w:rPr>
        <w:t>了解的情况真实、及时；</w:t>
      </w:r>
    </w:p>
    <w:p>
      <w:pPr>
        <w:spacing w:line="360" w:lineRule="auto"/>
        <w:rPr>
          <w:sz w:val="24"/>
          <w:szCs w:val="24"/>
        </w:rPr>
      </w:pPr>
      <w:r>
        <w:rPr>
          <w:rFonts w:hint="eastAsia"/>
          <w:sz w:val="24"/>
          <w:szCs w:val="24"/>
        </w:rPr>
        <w:t>缩小了项目经理与现场成员之间的距离，使之关系更融洽，问题更易解决；</w:t>
      </w:r>
    </w:p>
    <w:p>
      <w:pPr>
        <w:spacing w:line="360" w:lineRule="auto"/>
        <w:rPr>
          <w:sz w:val="24"/>
          <w:szCs w:val="24"/>
        </w:rPr>
      </w:pPr>
      <w:r>
        <w:rPr>
          <w:rFonts w:hint="eastAsia"/>
          <w:sz w:val="24"/>
          <w:szCs w:val="24"/>
        </w:rPr>
        <w:t>现场的执行人员更容易沟通；</w:t>
      </w:r>
    </w:p>
    <w:p>
      <w:pPr>
        <w:spacing w:line="360" w:lineRule="auto"/>
        <w:rPr>
          <w:sz w:val="24"/>
          <w:szCs w:val="24"/>
        </w:rPr>
      </w:pPr>
      <w:r>
        <w:rPr>
          <w:rFonts w:hint="eastAsia"/>
          <w:sz w:val="24"/>
          <w:szCs w:val="24"/>
        </w:rPr>
        <w:t>项目经理更能亲身体会现场的工作气氛，掌握团队的士气；</w:t>
      </w:r>
    </w:p>
    <w:p>
      <w:pPr>
        <w:spacing w:line="360" w:lineRule="auto"/>
        <w:rPr>
          <w:sz w:val="24"/>
          <w:szCs w:val="24"/>
        </w:rPr>
      </w:pPr>
      <w:r>
        <w:rPr>
          <w:rFonts w:hint="eastAsia"/>
          <w:sz w:val="24"/>
          <w:szCs w:val="24"/>
        </w:rPr>
        <w:t>更容易获取解决问题的答案；</w:t>
      </w:r>
    </w:p>
    <w:p>
      <w:pPr>
        <w:spacing w:line="360" w:lineRule="auto"/>
        <w:rPr>
          <w:sz w:val="24"/>
          <w:szCs w:val="24"/>
        </w:rPr>
      </w:pPr>
      <w:r>
        <w:rPr>
          <w:rFonts w:hint="eastAsia"/>
          <w:sz w:val="24"/>
          <w:szCs w:val="24"/>
        </w:rPr>
        <w:t>项目任务进度的度量：首先把每项工作分解到工期在一周以内，每周末进行进度评估，</w:t>
      </w:r>
      <w:r>
        <w:rPr>
          <w:rFonts w:hint="eastAsia"/>
          <w:sz w:val="24"/>
          <w:szCs w:val="24"/>
          <w:lang w:eastAsia="zh-CN"/>
        </w:rPr>
        <w:t>**信息</w:t>
      </w:r>
      <w:r>
        <w:rPr>
          <w:rFonts w:hint="eastAsia"/>
          <w:sz w:val="24"/>
          <w:szCs w:val="24"/>
        </w:rPr>
        <w:t>对于项目的进展评估采取工时提交原则，即提交工作任务的完成工时。</w:t>
      </w:r>
    </w:p>
    <w:p>
      <w:pPr>
        <w:spacing w:line="360" w:lineRule="auto"/>
        <w:rPr>
          <w:sz w:val="24"/>
          <w:szCs w:val="24"/>
        </w:rPr>
      </w:pPr>
      <w:r>
        <w:rPr>
          <w:rFonts w:hint="eastAsia"/>
          <w:sz w:val="24"/>
          <w:szCs w:val="24"/>
        </w:rPr>
        <w:t>项目进度信息采集的方式：项目周报、项目例会、阶段性评审。</w:t>
      </w:r>
    </w:p>
    <w:p>
      <w:pPr>
        <w:spacing w:line="360" w:lineRule="auto"/>
        <w:ind w:firstLine="480" w:firstLineChars="200"/>
        <w:rPr>
          <w:sz w:val="24"/>
          <w:szCs w:val="24"/>
        </w:rPr>
      </w:pPr>
      <w:r>
        <w:rPr>
          <w:rFonts w:hint="eastAsia"/>
          <w:sz w:val="24"/>
          <w:szCs w:val="24"/>
        </w:rPr>
        <w:t>项目周报：就是项目实施小组每周向项目经理提交每周的工作汇报，包括存在问题。</w:t>
      </w:r>
    </w:p>
    <w:p>
      <w:pPr>
        <w:spacing w:line="360" w:lineRule="auto"/>
        <w:rPr>
          <w:sz w:val="24"/>
          <w:szCs w:val="24"/>
        </w:rPr>
      </w:pPr>
      <w:r>
        <w:rPr>
          <w:rFonts w:hint="eastAsia"/>
          <w:sz w:val="24"/>
          <w:szCs w:val="24"/>
        </w:rPr>
        <w:t>项目例会：就是项目组定期举行工作会议，分析项目状态，落实下一步工作，其中包括对现有的问题进行讨论并解决。</w:t>
      </w:r>
    </w:p>
    <w:p>
      <w:pPr>
        <w:spacing w:line="360" w:lineRule="auto"/>
        <w:ind w:firstLine="480" w:firstLineChars="200"/>
        <w:rPr>
          <w:sz w:val="24"/>
          <w:szCs w:val="24"/>
        </w:rPr>
      </w:pPr>
      <w:r>
        <w:rPr>
          <w:rFonts w:hint="eastAsia"/>
          <w:sz w:val="24"/>
          <w:szCs w:val="24"/>
        </w:rPr>
        <w:t>阶段性评审：就是在项目的阶段最后，召开项目小组成员、项目指导委员会、外部项目质量保证等人员对项目的阶段工作进行评审，包括进度、交付物的质量、阶段里程碑、项目中的重大问题、项目风险、分析项目中的好的方法等。</w:t>
      </w:r>
    </w:p>
    <w:p>
      <w:pPr>
        <w:spacing w:line="360" w:lineRule="auto"/>
        <w:ind w:firstLine="480" w:firstLineChars="200"/>
      </w:pPr>
      <w:r>
        <w:rPr>
          <w:rFonts w:hint="eastAsia"/>
          <w:sz w:val="24"/>
          <w:szCs w:val="24"/>
          <w:lang w:eastAsia="zh-CN"/>
        </w:rPr>
        <w:t>**信息</w:t>
      </w:r>
      <w:r>
        <w:rPr>
          <w:rFonts w:hint="eastAsia"/>
          <w:sz w:val="24"/>
          <w:szCs w:val="24"/>
        </w:rPr>
        <w:t>在项目实施过程中，采用多种项目进度管理工具与流程开展跟踪，以下为《项目阶段进度信息表》简报，用来通过直观的数据直接统计当前项目进度情况。</w:t>
      </w:r>
    </w:p>
    <w:p>
      <w:pPr>
        <w:spacing w:line="360" w:lineRule="auto"/>
      </w:pPr>
      <w:r>
        <w:drawing>
          <wp:inline distT="0" distB="0" distL="0" distR="0">
            <wp:extent cx="5463540" cy="2286000"/>
            <wp:effectExtent l="0" t="0" r="3810" b="0"/>
            <wp:docPr id="4349" name="图片 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 name="图片 43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63540" cy="2286000"/>
                    </a:xfrm>
                    <a:prstGeom prst="rect">
                      <a:avLst/>
                    </a:prstGeom>
                    <a:noFill/>
                    <a:ln>
                      <a:noFill/>
                    </a:ln>
                  </pic:spPr>
                </pic:pic>
              </a:graphicData>
            </a:graphic>
          </wp:inline>
        </w:drawing>
      </w:r>
    </w:p>
    <w:p>
      <w:pPr>
        <w:spacing w:line="360" w:lineRule="auto"/>
        <w:jc w:val="center"/>
      </w:pPr>
      <w:r>
        <w:rPr>
          <w:rFonts w:hint="eastAsia"/>
        </w:rPr>
        <w:t>项目阶段进度信息表</w:t>
      </w:r>
    </w:p>
    <w:p>
      <w:pPr>
        <w:pStyle w:val="4"/>
        <w:numPr>
          <w:ilvl w:val="2"/>
          <w:numId w:val="3"/>
        </w:numPr>
        <w:spacing w:before="0" w:after="0" w:line="360" w:lineRule="auto"/>
        <w:ind w:left="0" w:leftChars="0" w:firstLine="402" w:firstLineChars="0"/>
      </w:pPr>
      <w:bookmarkStart w:id="342" w:name="_Toc10398"/>
      <w:r>
        <w:rPr>
          <w:rFonts w:hint="eastAsia"/>
        </w:rPr>
        <w:t>项目进度分析</w:t>
      </w:r>
      <w:bookmarkEnd w:id="342"/>
    </w:p>
    <w:p>
      <w:pPr>
        <w:spacing w:line="360" w:lineRule="auto"/>
        <w:ind w:firstLine="480" w:firstLineChars="200"/>
      </w:pPr>
      <w:r>
        <w:rPr>
          <w:rFonts w:hint="eastAsia"/>
          <w:sz w:val="24"/>
          <w:szCs w:val="24"/>
        </w:rPr>
        <w:t>挣值法：这种方法提供了三个数据来跟踪项目的执行情况：计划做什么、实际做什么、以及做完的工作花了多少费用？这种方法交计划需完成的工作同实际已完成的工作进行比较，确定项目在费用支出与时间进度方面是否符合原计划的要求，从而跟踪项目执行的好坏。</w:t>
      </w:r>
    </w:p>
    <w:p>
      <w:pPr>
        <w:pStyle w:val="4"/>
        <w:numPr>
          <w:ilvl w:val="2"/>
          <w:numId w:val="3"/>
        </w:numPr>
        <w:spacing w:before="0" w:after="0" w:line="360" w:lineRule="auto"/>
        <w:ind w:left="0" w:leftChars="0" w:firstLine="402" w:firstLineChars="0"/>
      </w:pPr>
      <w:bookmarkStart w:id="343" w:name="_Toc7876"/>
      <w:r>
        <w:rPr>
          <w:rFonts w:hint="eastAsia"/>
        </w:rPr>
        <w:t>项目进度控制</w:t>
      </w:r>
      <w:bookmarkEnd w:id="343"/>
    </w:p>
    <w:p>
      <w:pPr>
        <w:spacing w:line="360" w:lineRule="auto"/>
        <w:ind w:firstLine="480" w:firstLineChars="200"/>
        <w:rPr>
          <w:sz w:val="24"/>
          <w:szCs w:val="24"/>
        </w:rPr>
      </w:pPr>
      <w:r>
        <w:rPr>
          <w:rFonts w:hint="eastAsia"/>
          <w:sz w:val="24"/>
          <w:szCs w:val="24"/>
        </w:rPr>
        <w:t>项目计划只是根据预测而对未来做出的安排，由于在编制计划时事先难以预见的问题很多，在计划执行过程中往往会发生或大或小的偏差，这就要求项目经理及其他管理人员对计划做出调整，消除与计划不符的偏差，以使预定目标按时和在预算范围内得以实现。</w:t>
      </w:r>
    </w:p>
    <w:p>
      <w:pPr>
        <w:spacing w:line="360" w:lineRule="auto"/>
        <w:ind w:firstLine="480" w:firstLineChars="200"/>
        <w:rPr>
          <w:sz w:val="24"/>
          <w:szCs w:val="24"/>
        </w:rPr>
      </w:pPr>
      <w:r>
        <w:rPr>
          <w:rFonts w:hint="eastAsia"/>
          <w:sz w:val="24"/>
          <w:szCs w:val="24"/>
        </w:rPr>
        <w:t>项目计划的控制就是要经常对每项工作进度进行监督，之后对那些出现“偏差”的工作采取必要措施，以保证项目按照原定计划进度执行，使预定目标按时和在预算范围内实现。</w:t>
      </w:r>
    </w:p>
    <w:p>
      <w:pPr>
        <w:spacing w:line="360" w:lineRule="auto"/>
        <w:rPr>
          <w:sz w:val="24"/>
          <w:szCs w:val="24"/>
        </w:rPr>
      </w:pPr>
      <w:r>
        <w:rPr>
          <w:rFonts w:hint="eastAsia"/>
          <w:sz w:val="24"/>
          <w:szCs w:val="24"/>
        </w:rPr>
        <w:t>按照不同管理层次对进度控制的要求分为三类：</w:t>
      </w:r>
    </w:p>
    <w:p>
      <w:pPr>
        <w:spacing w:line="360" w:lineRule="auto"/>
        <w:ind w:firstLine="480" w:firstLineChars="200"/>
        <w:rPr>
          <w:sz w:val="24"/>
          <w:szCs w:val="24"/>
        </w:rPr>
      </w:pPr>
      <w:r>
        <w:rPr>
          <w:rFonts w:hint="eastAsia"/>
          <w:sz w:val="24"/>
          <w:szCs w:val="24"/>
        </w:rPr>
        <w:t>项目总进度控制：项目指导委员会对项目中各里程碑事件的进度控制。</w:t>
      </w:r>
    </w:p>
    <w:p>
      <w:pPr>
        <w:spacing w:line="360" w:lineRule="auto"/>
        <w:ind w:firstLine="480" w:firstLineChars="200"/>
        <w:rPr>
          <w:sz w:val="24"/>
          <w:szCs w:val="24"/>
        </w:rPr>
      </w:pPr>
      <w:r>
        <w:rPr>
          <w:rFonts w:hint="eastAsia"/>
          <w:sz w:val="24"/>
          <w:szCs w:val="24"/>
        </w:rPr>
        <w:t>项目主进度控制：项目经理针对项目进度计划中的关键路径进行控制，保证总进度的如期完成。</w:t>
      </w:r>
    </w:p>
    <w:p>
      <w:pPr>
        <w:spacing w:line="360" w:lineRule="auto"/>
        <w:ind w:firstLine="480" w:firstLineChars="200"/>
        <w:rPr>
          <w:sz w:val="24"/>
          <w:szCs w:val="24"/>
        </w:rPr>
      </w:pPr>
      <w:r>
        <w:rPr>
          <w:rFonts w:hint="eastAsia"/>
          <w:sz w:val="24"/>
          <w:szCs w:val="24"/>
        </w:rPr>
        <w:t>项目详细进度控制：主要是各作业部门对各具体作业进度计划的控制。这是进度控制的基础，只有详细进度得到较强的控制才能保证主进度的按计划进行，最终保证项目总进度，使项目目标得以顺利实现。</w:t>
      </w:r>
    </w:p>
    <w:p>
      <w:pPr>
        <w:spacing w:line="360" w:lineRule="auto"/>
        <w:ind w:firstLine="480" w:firstLineChars="200"/>
        <w:rPr>
          <w:sz w:val="24"/>
          <w:szCs w:val="24"/>
        </w:rPr>
      </w:pPr>
      <w:r>
        <w:rPr>
          <w:rFonts w:hint="eastAsia"/>
          <w:sz w:val="24"/>
          <w:szCs w:val="24"/>
        </w:rPr>
        <w:t>进度控制的依据主要有：项目进度表、项目进展报告、变更请求等。</w:t>
      </w:r>
    </w:p>
    <w:p>
      <w:pPr>
        <w:spacing w:line="360" w:lineRule="auto"/>
        <w:ind w:firstLine="480" w:firstLineChars="200"/>
        <w:rPr>
          <w:sz w:val="24"/>
          <w:szCs w:val="24"/>
        </w:rPr>
      </w:pPr>
      <w:r>
        <w:rPr>
          <w:rFonts w:hint="eastAsia"/>
          <w:sz w:val="24"/>
          <w:szCs w:val="24"/>
        </w:rPr>
        <w:t>项目进度的控制方法如下：</w:t>
      </w:r>
    </w:p>
    <w:p>
      <w:pPr>
        <w:spacing w:line="360" w:lineRule="auto"/>
        <w:ind w:firstLine="480" w:firstLineChars="200"/>
        <w:rPr>
          <w:sz w:val="24"/>
          <w:szCs w:val="24"/>
        </w:rPr>
      </w:pPr>
      <w:r>
        <w:rPr>
          <w:rFonts w:hint="eastAsia"/>
          <w:sz w:val="24"/>
          <w:szCs w:val="24"/>
        </w:rPr>
        <w:t>把能力强的成员放在关键路径的工作上，把新手放在时差大，不重要的工作上；</w:t>
      </w:r>
    </w:p>
    <w:p>
      <w:pPr>
        <w:spacing w:line="360" w:lineRule="auto"/>
        <w:rPr>
          <w:sz w:val="24"/>
          <w:szCs w:val="24"/>
        </w:rPr>
      </w:pPr>
      <w:r>
        <w:rPr>
          <w:rFonts w:hint="eastAsia"/>
          <w:sz w:val="24"/>
          <w:szCs w:val="24"/>
        </w:rPr>
        <w:t>赶工期，包括通过加班加点来缩短关键路径上单项任务的持续时间；调整关键路径上活动之间的逻辑关系；分包等；</w:t>
      </w:r>
    </w:p>
    <w:p>
      <w:pPr>
        <w:spacing w:line="360" w:lineRule="auto"/>
        <w:ind w:firstLine="480" w:firstLineChars="200"/>
        <w:rPr>
          <w:sz w:val="24"/>
          <w:szCs w:val="24"/>
        </w:rPr>
      </w:pPr>
      <w:r>
        <w:rPr>
          <w:rFonts w:hint="eastAsia"/>
          <w:sz w:val="24"/>
          <w:szCs w:val="24"/>
        </w:rPr>
        <w:t>重新谈判，即与项目利益相关者讨论增加预算或者延长时间基线；</w:t>
      </w:r>
    </w:p>
    <w:p>
      <w:pPr>
        <w:spacing w:line="360" w:lineRule="auto"/>
        <w:ind w:firstLine="480" w:firstLineChars="200"/>
        <w:rPr>
          <w:sz w:val="24"/>
          <w:szCs w:val="24"/>
        </w:rPr>
      </w:pPr>
      <w:r>
        <w:rPr>
          <w:rFonts w:hint="eastAsia"/>
          <w:sz w:val="24"/>
          <w:szCs w:val="24"/>
        </w:rPr>
        <w:t>缩小项目范围，以便减少费用、节省时间；</w:t>
      </w:r>
    </w:p>
    <w:p>
      <w:pPr>
        <w:spacing w:line="360" w:lineRule="auto"/>
        <w:ind w:firstLine="480" w:firstLineChars="200"/>
        <w:rPr>
          <w:sz w:val="24"/>
          <w:szCs w:val="24"/>
        </w:rPr>
      </w:pPr>
      <w:r>
        <w:rPr>
          <w:rFonts w:hint="eastAsia"/>
          <w:sz w:val="24"/>
          <w:szCs w:val="24"/>
        </w:rPr>
        <w:t>投入更多的资源，看看可否增加人力、设备到工作中？这需要平衡费用与进度孰重孰轻；</w:t>
      </w:r>
    </w:p>
    <w:p>
      <w:pPr>
        <w:spacing w:line="360" w:lineRule="auto"/>
        <w:rPr>
          <w:sz w:val="24"/>
          <w:szCs w:val="24"/>
        </w:rPr>
      </w:pPr>
      <w:r>
        <w:rPr>
          <w:rFonts w:hint="eastAsia"/>
          <w:sz w:val="24"/>
          <w:szCs w:val="24"/>
        </w:rPr>
        <w:t>接受替补方案，看看能否制定一个更省钱、更现实的方案；</w:t>
      </w:r>
    </w:p>
    <w:p>
      <w:pPr>
        <w:spacing w:line="360" w:lineRule="auto"/>
        <w:ind w:firstLine="480" w:firstLineChars="200"/>
        <w:rPr>
          <w:sz w:val="24"/>
          <w:szCs w:val="24"/>
        </w:rPr>
      </w:pPr>
      <w:r>
        <w:rPr>
          <w:rFonts w:hint="eastAsia"/>
          <w:sz w:val="24"/>
          <w:szCs w:val="24"/>
        </w:rPr>
        <w:t>寻求其他资源；</w:t>
      </w:r>
    </w:p>
    <w:p>
      <w:pPr>
        <w:spacing w:line="360" w:lineRule="auto"/>
        <w:ind w:firstLine="480" w:firstLineChars="200"/>
        <w:rPr>
          <w:sz w:val="24"/>
          <w:szCs w:val="24"/>
        </w:rPr>
      </w:pPr>
      <w:r>
        <w:rPr>
          <w:rFonts w:hint="eastAsia"/>
          <w:sz w:val="24"/>
          <w:szCs w:val="24"/>
        </w:rPr>
        <w:t>接受部分交付物，看看能否先接受部分交付物，使项目能继续进行；</w:t>
      </w:r>
    </w:p>
    <w:p>
      <w:pPr>
        <w:spacing w:line="360" w:lineRule="auto"/>
        <w:ind w:firstLine="480" w:firstLineChars="200"/>
        <w:rPr>
          <w:sz w:val="24"/>
          <w:szCs w:val="24"/>
        </w:rPr>
      </w:pPr>
      <w:r>
        <w:rPr>
          <w:rFonts w:hint="eastAsia"/>
          <w:sz w:val="24"/>
          <w:szCs w:val="24"/>
        </w:rPr>
        <w:t>提供奖金，看看能否提供奖金或其他激励措施，促使按时完成任务；</w:t>
      </w:r>
    </w:p>
    <w:p>
      <w:pPr>
        <w:spacing w:line="360" w:lineRule="auto"/>
        <w:ind w:firstLine="480" w:firstLineChars="200"/>
      </w:pPr>
      <w:r>
        <w:rPr>
          <w:rFonts w:hint="eastAsia"/>
          <w:sz w:val="24"/>
          <w:szCs w:val="24"/>
        </w:rPr>
        <w:t>进度控制的结果包括：项目时间表更新、补救的行动、经验教训。</w:t>
      </w:r>
    </w:p>
    <w:p>
      <w:pPr>
        <w:pStyle w:val="4"/>
        <w:numPr>
          <w:ilvl w:val="2"/>
          <w:numId w:val="3"/>
        </w:numPr>
        <w:spacing w:before="0" w:after="0" w:line="360" w:lineRule="auto"/>
        <w:ind w:left="0" w:leftChars="0" w:firstLine="402" w:firstLineChars="0"/>
      </w:pPr>
      <w:bookmarkStart w:id="344" w:name="_Toc6723"/>
      <w:r>
        <w:rPr>
          <w:rFonts w:hint="eastAsia"/>
        </w:rPr>
        <w:t>使用统计分析方法，发现问题并改进</w:t>
      </w:r>
      <w:bookmarkEnd w:id="344"/>
    </w:p>
    <w:p>
      <w:pPr>
        <w:spacing w:line="360" w:lineRule="auto"/>
        <w:ind w:firstLine="480" w:firstLineChars="200"/>
        <w:rPr>
          <w:sz w:val="24"/>
          <w:szCs w:val="24"/>
        </w:rPr>
      </w:pPr>
      <w:r>
        <w:rPr>
          <w:rFonts w:hint="eastAsia"/>
          <w:sz w:val="24"/>
          <w:szCs w:val="24"/>
        </w:rPr>
        <w:t>一、使用适合的历史性能数据建立目标范围</w:t>
      </w:r>
    </w:p>
    <w:p>
      <w:pPr>
        <w:spacing w:line="360" w:lineRule="auto"/>
        <w:ind w:firstLine="480" w:firstLineChars="200"/>
        <w:rPr>
          <w:sz w:val="24"/>
          <w:szCs w:val="24"/>
        </w:rPr>
      </w:pPr>
      <w:r>
        <w:rPr>
          <w:rFonts w:hint="eastAsia"/>
          <w:sz w:val="24"/>
          <w:szCs w:val="24"/>
        </w:rPr>
        <w:t>目标范围包括标准值、控制上限和控制下限（或者标准值加上控制界限）。例如，设计评审的缺陷发现密度，测试密度和故障检出密度。</w:t>
      </w:r>
    </w:p>
    <w:p>
      <w:pPr>
        <w:spacing w:line="360" w:lineRule="auto"/>
        <w:ind w:firstLine="480" w:firstLineChars="200"/>
        <w:rPr>
          <w:sz w:val="24"/>
          <w:szCs w:val="24"/>
        </w:rPr>
      </w:pPr>
      <w:r>
        <w:rPr>
          <w:rFonts w:hint="eastAsia"/>
          <w:sz w:val="24"/>
          <w:szCs w:val="24"/>
        </w:rPr>
        <w:t>客户提出目标要求的项目，项目可以直接使用客户提出的目标作为项目的目标。</w:t>
      </w:r>
    </w:p>
    <w:p>
      <w:pPr>
        <w:spacing w:line="360" w:lineRule="auto"/>
        <w:ind w:firstLine="480" w:firstLineChars="200"/>
        <w:rPr>
          <w:sz w:val="24"/>
          <w:szCs w:val="24"/>
        </w:rPr>
      </w:pPr>
      <w:r>
        <w:rPr>
          <w:rFonts w:hint="eastAsia"/>
          <w:sz w:val="24"/>
          <w:szCs w:val="24"/>
        </w:rPr>
        <w:t>二、收集测量数据，计算测量项的实际范围</w:t>
      </w:r>
    </w:p>
    <w:p>
      <w:pPr>
        <w:spacing w:line="360" w:lineRule="auto"/>
        <w:ind w:firstLine="480" w:firstLineChars="200"/>
        <w:rPr>
          <w:sz w:val="24"/>
          <w:szCs w:val="24"/>
        </w:rPr>
      </w:pPr>
      <w:r>
        <w:rPr>
          <w:rFonts w:hint="eastAsia"/>
          <w:sz w:val="24"/>
          <w:szCs w:val="24"/>
        </w:rPr>
        <w:t>往往制定的项目目标是最终产品交付时的目标。以定义一个项目发布后的缺陷密度为</w:t>
      </w:r>
      <w:r>
        <w:rPr>
          <w:sz w:val="24"/>
          <w:szCs w:val="24"/>
        </w:rPr>
        <w:t xml:space="preserve"> 0.2</w:t>
      </w:r>
      <w:r>
        <w:rPr>
          <w:rFonts w:hint="eastAsia"/>
          <w:sz w:val="24"/>
          <w:szCs w:val="24"/>
        </w:rPr>
        <w:t>个</w:t>
      </w:r>
      <w:r>
        <w:rPr>
          <w:sz w:val="24"/>
          <w:szCs w:val="24"/>
        </w:rPr>
        <w:t>/kloc</w:t>
      </w:r>
      <w:r>
        <w:rPr>
          <w:rFonts w:hint="eastAsia"/>
          <w:sz w:val="24"/>
          <w:szCs w:val="24"/>
        </w:rPr>
        <w:t>的质量目标为例，为了使目标具有可操作性，需要把最终目标分解为各阶段的目标，目标的分解需要依据基线、模型。另外还需要使用蒙特卡罗分析方法，分析目标达成概率。根据实现的可能性大小采取不同的措施进行调整。</w:t>
      </w:r>
    </w:p>
    <w:p>
      <w:pPr>
        <w:spacing w:line="360" w:lineRule="auto"/>
        <w:ind w:firstLine="480" w:firstLineChars="200"/>
        <w:rPr>
          <w:sz w:val="24"/>
          <w:szCs w:val="24"/>
        </w:rPr>
      </w:pPr>
      <w:r>
        <w:rPr>
          <w:rFonts w:hint="eastAsia"/>
          <w:sz w:val="24"/>
          <w:szCs w:val="24"/>
        </w:rPr>
        <w:t>使用项目收集的实际测量数据，使用统计过程控制（</w:t>
      </w:r>
      <w:r>
        <w:rPr>
          <w:sz w:val="24"/>
          <w:szCs w:val="24"/>
        </w:rPr>
        <w:t xml:space="preserve">Statistical Process Control </w:t>
      </w:r>
      <w:r>
        <w:rPr>
          <w:rFonts w:hint="eastAsia"/>
          <w:sz w:val="24"/>
          <w:szCs w:val="24"/>
        </w:rPr>
        <w:t>–</w:t>
      </w:r>
      <w:r>
        <w:rPr>
          <w:sz w:val="24"/>
          <w:szCs w:val="24"/>
        </w:rPr>
        <w:t xml:space="preserve"> SPC</w:t>
      </w:r>
      <w:r>
        <w:rPr>
          <w:rFonts w:hint="eastAsia"/>
          <w:sz w:val="24"/>
          <w:szCs w:val="24"/>
        </w:rPr>
        <w:t>）方法对数据进行分析，在项目新产生的数据点多于</w:t>
      </w:r>
      <w:r>
        <w:rPr>
          <w:sz w:val="24"/>
          <w:szCs w:val="24"/>
        </w:rPr>
        <w:t>3</w:t>
      </w:r>
      <w:r>
        <w:rPr>
          <w:rFonts w:hint="eastAsia"/>
          <w:sz w:val="24"/>
          <w:szCs w:val="24"/>
        </w:rPr>
        <w:t>点以后，可以重新计算，主要看新产生的点是否有一定趋势，比如是否均值或</w:t>
      </w:r>
      <w:r>
        <w:rPr>
          <w:sz w:val="24"/>
          <w:szCs w:val="24"/>
        </w:rPr>
        <w:t>sigma</w:t>
      </w:r>
      <w:r>
        <w:rPr>
          <w:rFonts w:hint="eastAsia"/>
          <w:sz w:val="24"/>
          <w:szCs w:val="24"/>
        </w:rPr>
        <w:t>和最初定义的差别比较大。当然当数据多一些时再重新计算更有说服力。</w:t>
      </w:r>
    </w:p>
    <w:p>
      <w:pPr>
        <w:spacing w:line="360" w:lineRule="auto"/>
        <w:ind w:firstLine="480" w:firstLineChars="200"/>
        <w:rPr>
          <w:sz w:val="24"/>
          <w:szCs w:val="24"/>
        </w:rPr>
      </w:pPr>
      <w:r>
        <w:rPr>
          <w:rFonts w:hint="eastAsia"/>
          <w:sz w:val="24"/>
          <w:szCs w:val="24"/>
        </w:rPr>
        <w:t>发现异常点，异常的判定和剔除方法参见《常用统计方法指南》，分析产生异常的原因，并针对原因采取措施进行改进（不能只是简单地剔除异常点），需要做异常分析，发现结果记录到《项目过程异常分析表》中，发现异常原因，提出改进意见和建议。继续收集测量数据，必要时使用</w:t>
      </w:r>
      <w:r>
        <w:rPr>
          <w:sz w:val="24"/>
          <w:szCs w:val="24"/>
        </w:rPr>
        <w:t>SPC</w:t>
      </w:r>
      <w:r>
        <w:rPr>
          <w:rFonts w:hint="eastAsia"/>
          <w:sz w:val="24"/>
          <w:szCs w:val="24"/>
        </w:rPr>
        <w:t>重新计算，检查改进效果。</w:t>
      </w:r>
    </w:p>
    <w:p>
      <w:pPr>
        <w:spacing w:line="360" w:lineRule="auto"/>
        <w:ind w:firstLine="480" w:firstLineChars="200"/>
        <w:rPr>
          <w:sz w:val="24"/>
          <w:szCs w:val="24"/>
        </w:rPr>
      </w:pPr>
      <w:r>
        <w:rPr>
          <w:rFonts w:hint="eastAsia"/>
          <w:sz w:val="24"/>
          <w:szCs w:val="24"/>
        </w:rPr>
        <w:t>注意量化管理的一个重点就是要应用统计学的相关方法或工具对过程进行监控，常用的就是</w:t>
      </w:r>
      <w:r>
        <w:rPr>
          <w:sz w:val="24"/>
          <w:szCs w:val="24"/>
        </w:rPr>
        <w:t>SPC</w:t>
      </w:r>
      <w:r>
        <w:rPr>
          <w:rFonts w:hint="eastAsia"/>
          <w:sz w:val="24"/>
          <w:szCs w:val="24"/>
        </w:rPr>
        <w:t>统计过程控制。我们任务如果过程一直是受控的和稳定的，则我们就能够按当初的计划和预测达到项目的目标。如果在过程监控中发现了异常就需要分析偏差对达成项目目标的影响，当偏差影响超出了预定的目标限度的时候，就必须要采取各种纠正措施。</w:t>
      </w:r>
    </w:p>
    <w:p>
      <w:pPr>
        <w:spacing w:line="360" w:lineRule="auto"/>
        <w:ind w:firstLine="480" w:firstLineChars="200"/>
        <w:rPr>
          <w:sz w:val="24"/>
          <w:szCs w:val="24"/>
        </w:rPr>
      </w:pPr>
      <w:r>
        <w:rPr>
          <w:rFonts w:hint="eastAsia"/>
          <w:sz w:val="24"/>
          <w:szCs w:val="24"/>
        </w:rPr>
        <w:t>在原因分析时可以采用：</w:t>
      </w:r>
    </w:p>
    <w:p>
      <w:pPr>
        <w:spacing w:line="360" w:lineRule="auto"/>
        <w:ind w:firstLine="480" w:firstLineChars="200"/>
        <w:rPr>
          <w:sz w:val="24"/>
          <w:szCs w:val="24"/>
        </w:rPr>
      </w:pPr>
      <w:r>
        <w:rPr>
          <w:rFonts w:hint="eastAsia"/>
          <w:sz w:val="24"/>
          <w:szCs w:val="24"/>
        </w:rPr>
        <w:t>因果图（鱼骨图）</w:t>
      </w:r>
    </w:p>
    <w:p>
      <w:pPr>
        <w:spacing w:line="360" w:lineRule="auto"/>
        <w:ind w:firstLine="480" w:firstLineChars="200"/>
        <w:rPr>
          <w:sz w:val="24"/>
          <w:szCs w:val="24"/>
        </w:rPr>
      </w:pPr>
      <w:r>
        <w:rPr>
          <w:rFonts w:hint="eastAsia"/>
          <w:sz w:val="24"/>
          <w:szCs w:val="24"/>
        </w:rPr>
        <w:t>设计试验</w:t>
      </w:r>
    </w:p>
    <w:p>
      <w:pPr>
        <w:spacing w:line="360" w:lineRule="auto"/>
        <w:ind w:firstLine="480" w:firstLineChars="200"/>
        <w:rPr>
          <w:sz w:val="24"/>
          <w:szCs w:val="24"/>
        </w:rPr>
      </w:pPr>
      <w:r>
        <w:rPr>
          <w:rFonts w:hint="eastAsia"/>
          <w:sz w:val="24"/>
          <w:szCs w:val="24"/>
        </w:rPr>
        <w:t>控制图（适用于子过程的输入或者更低层次的子过程）</w:t>
      </w:r>
    </w:p>
    <w:p>
      <w:pPr>
        <w:spacing w:line="360" w:lineRule="auto"/>
        <w:ind w:firstLine="480" w:firstLineChars="200"/>
        <w:rPr>
          <w:sz w:val="24"/>
          <w:szCs w:val="24"/>
        </w:rPr>
      </w:pPr>
      <w:r>
        <w:rPr>
          <w:rFonts w:hint="eastAsia"/>
          <w:sz w:val="24"/>
          <w:szCs w:val="24"/>
        </w:rPr>
        <w:t>子群组（将相同的数据分成一个子组，根据对如何执行子过程的了解，对各组数据进行分析，这样可以促进对特殊原因进行隔离）</w:t>
      </w:r>
    </w:p>
    <w:p>
      <w:pPr>
        <w:spacing w:line="360" w:lineRule="auto"/>
        <w:ind w:firstLine="480" w:firstLineChars="200"/>
        <w:rPr>
          <w:sz w:val="24"/>
          <w:szCs w:val="24"/>
        </w:rPr>
      </w:pPr>
      <w:r>
        <w:rPr>
          <w:rFonts w:hint="eastAsia"/>
          <w:sz w:val="24"/>
          <w:szCs w:val="24"/>
        </w:rPr>
        <w:t>定量管理是要过程稳定受控和可预测，定量管理包括两个基本要素。一个是能够预测项目能够达到预计的项目质量和过程性能目标的程度，一个是能够监控在过程执行过程中各种因素变化对达成目标的影响和偏差，当偏差超过了预定的限度后能够及时的采取各种纠正措施。识别并管理在完成项目质量和过程性能目标的过程中，所产生的相关风险。</w:t>
      </w:r>
    </w:p>
    <w:p>
      <w:pPr>
        <w:spacing w:line="360" w:lineRule="auto"/>
        <w:ind w:firstLine="480" w:firstLineChars="200"/>
      </w:pPr>
      <w:r>
        <w:rPr>
          <w:rFonts w:hint="eastAsia"/>
          <w:sz w:val="24"/>
          <w:szCs w:val="24"/>
        </w:rPr>
        <w:t>在发现异常的情况下，需要结合项目过程性能目标和组织级过程性能基线和模型，根据异常的情况，分析相关影响，根据模型关系，制定后期异常消除计划方案，确保各种项目目标能够被有效兼顾和实现，如果不能被满足，可以调整项目过程性能目标，例如：变换过程性能目标的上下限或中值，但是必须得到各个相关方的认同。</w:t>
      </w:r>
    </w:p>
    <w:p>
      <w:pPr>
        <w:pStyle w:val="4"/>
        <w:numPr>
          <w:ilvl w:val="2"/>
          <w:numId w:val="3"/>
        </w:numPr>
        <w:spacing w:before="0" w:after="0" w:line="360" w:lineRule="auto"/>
        <w:ind w:left="0" w:leftChars="0" w:firstLine="402" w:firstLineChars="0"/>
        <w:jc w:val="left"/>
      </w:pPr>
      <w:bookmarkStart w:id="345" w:name="_Toc29345"/>
      <w:r>
        <w:rPr>
          <w:rFonts w:hint="eastAsia"/>
        </w:rPr>
        <w:t>监督目标达成状况</w:t>
      </w:r>
      <w:bookmarkEnd w:id="345"/>
    </w:p>
    <w:p>
      <w:pPr>
        <w:spacing w:line="360" w:lineRule="auto"/>
        <w:ind w:firstLine="480" w:firstLineChars="200"/>
        <w:rPr>
          <w:sz w:val="24"/>
          <w:szCs w:val="24"/>
        </w:rPr>
      </w:pPr>
      <w:r>
        <w:rPr>
          <w:rFonts w:hint="eastAsia"/>
          <w:sz w:val="24"/>
          <w:szCs w:val="24"/>
        </w:rPr>
        <w:t>一、定期（每里程碑）评审每个子过程的性能，以及每个选定纳入统计化管理的子过程的能力，以评估其完成项目质量和过程性能目标的进度。针对制定的子过程的质量和过程性能目标，确认选定的每个子过程的过程能力。这些目标是根据项目的质量和过程性能目标推导出来。</w:t>
      </w:r>
    </w:p>
    <w:p>
      <w:pPr>
        <w:spacing w:line="360" w:lineRule="auto"/>
        <w:ind w:firstLine="480" w:firstLineChars="200"/>
        <w:rPr>
          <w:sz w:val="24"/>
          <w:szCs w:val="24"/>
        </w:rPr>
      </w:pPr>
      <w:r>
        <w:rPr>
          <w:rFonts w:hint="eastAsia"/>
          <w:sz w:val="24"/>
          <w:szCs w:val="24"/>
        </w:rPr>
        <w:t>二、定期评审项目生命周期中每个阶段性目标的实际完成状况，以评估其达到项目质量和过程性能目标的进度。将项目选定的测量项的实际范围与质量和过程性能目标进行比较，以确定子过程的能力能否满足目标要求。如果项目指标纳入项目相关过程性能基线（部分是组织的过程性能基线）产生了异常则需要由项目经理和相关人员采用异常分析报告发现异常产生原因，采用纠正措施进行纠正，确保项目过程性能数据符合项目过程性能基线的合理范围之内。</w:t>
      </w:r>
    </w:p>
    <w:p>
      <w:pPr>
        <w:spacing w:line="360" w:lineRule="auto"/>
        <w:ind w:firstLine="480" w:firstLineChars="200"/>
        <w:rPr>
          <w:sz w:val="24"/>
          <w:szCs w:val="24"/>
        </w:rPr>
      </w:pPr>
      <w:r>
        <w:rPr>
          <w:rFonts w:hint="eastAsia"/>
          <w:sz w:val="24"/>
          <w:szCs w:val="24"/>
        </w:rPr>
        <w:t>三、当实际过程性能数据和项目过程性能目标产生异常时，运用关键属性度量指标所调整的过程性能模型，来估计完成项目质量和过程性能目标的进度。</w:t>
      </w:r>
    </w:p>
    <w:p>
      <w:pPr>
        <w:spacing w:line="360" w:lineRule="auto"/>
        <w:ind w:firstLine="480" w:firstLineChars="200"/>
        <w:rPr>
          <w:sz w:val="24"/>
          <w:szCs w:val="24"/>
        </w:rPr>
      </w:pPr>
      <w:r>
        <w:rPr>
          <w:rFonts w:hint="eastAsia"/>
          <w:sz w:val="24"/>
          <w:szCs w:val="24"/>
        </w:rPr>
        <w:t>如果选定的子过程的性能无法满足目标时，可以采取的纠正措施，举例如下：</w:t>
      </w:r>
    </w:p>
    <w:p>
      <w:pPr>
        <w:spacing w:line="360" w:lineRule="auto"/>
        <w:ind w:firstLine="480" w:firstLineChars="200"/>
        <w:rPr>
          <w:sz w:val="24"/>
          <w:szCs w:val="24"/>
        </w:rPr>
      </w:pPr>
      <w:r>
        <w:rPr>
          <w:rFonts w:hint="eastAsia"/>
          <w:sz w:val="24"/>
          <w:szCs w:val="24"/>
        </w:rPr>
        <w:t>改变质量和过程性能目标，使其控制在子过程的过程能力范围之内加强现有子过程的执行，减少正常的偏差（如果能减少偏差，就可能在不移动均值的情况下，使正常边界控制在目标范围之内）。</w:t>
      </w:r>
    </w:p>
    <w:p>
      <w:pPr>
        <w:spacing w:line="360" w:lineRule="auto"/>
        <w:ind w:firstLine="480" w:firstLineChars="200"/>
        <w:rPr>
          <w:sz w:val="24"/>
          <w:szCs w:val="24"/>
        </w:rPr>
      </w:pPr>
      <w:r>
        <w:rPr>
          <w:rFonts w:hint="eastAsia"/>
          <w:sz w:val="24"/>
          <w:szCs w:val="24"/>
        </w:rPr>
        <w:t>采用新的过程要素和子过程，以及采用能够管理相关风险并能够满足目标的新技术。</w:t>
      </w:r>
    </w:p>
    <w:p>
      <w:pPr>
        <w:spacing w:line="360" w:lineRule="auto"/>
        <w:ind w:firstLine="480" w:firstLineChars="200"/>
        <w:rPr>
          <w:sz w:val="24"/>
          <w:szCs w:val="24"/>
        </w:rPr>
      </w:pPr>
      <w:r>
        <w:rPr>
          <w:rFonts w:hint="eastAsia"/>
          <w:sz w:val="24"/>
          <w:szCs w:val="24"/>
        </w:rPr>
        <w:t>针对子过程的过程能力的每个不足之处，识别风险以及风险缓解计划。</w:t>
      </w:r>
    </w:p>
    <w:p>
      <w:pPr>
        <w:spacing w:line="360" w:lineRule="auto"/>
        <w:ind w:firstLine="480" w:firstLineChars="200"/>
      </w:pPr>
      <w:r>
        <w:rPr>
          <w:rFonts w:hint="eastAsia"/>
          <w:sz w:val="24"/>
          <w:szCs w:val="24"/>
        </w:rPr>
        <w:t>根据模型确定要采取的改进行动，以便最终满足目标要求。要保留所采取的改进行动的记录。在异常发生、每里程碑和项目变更的时候编写《定量项目管理报告》。</w:t>
      </w:r>
    </w:p>
    <w:p>
      <w:pPr>
        <w:pStyle w:val="4"/>
        <w:numPr>
          <w:ilvl w:val="2"/>
          <w:numId w:val="3"/>
        </w:numPr>
        <w:spacing w:before="0" w:after="0" w:line="360" w:lineRule="auto"/>
        <w:ind w:left="0" w:leftChars="0" w:firstLine="402" w:firstLineChars="0"/>
      </w:pPr>
      <w:bookmarkStart w:id="346" w:name="_Toc6883"/>
      <w:r>
        <w:rPr>
          <w:rFonts w:hint="eastAsia"/>
        </w:rPr>
        <w:t>记录统计管理数据</w:t>
      </w:r>
      <w:bookmarkEnd w:id="346"/>
    </w:p>
    <w:p>
      <w:pPr>
        <w:spacing w:line="360" w:lineRule="auto"/>
        <w:ind w:firstLine="480" w:firstLineChars="200"/>
      </w:pPr>
      <w:r>
        <w:rPr>
          <w:rFonts w:hint="eastAsia"/>
          <w:sz w:val="24"/>
          <w:szCs w:val="24"/>
        </w:rPr>
        <w:t>在项目结束时，需要查看最终结果是否满足组织之前设立的项目目标，如果目标产生异常，则需要采用原因分析的方式进行异常产生原因的分析，并记录在项目总结报告中，项目要将项目的统计和定量项目管理数据提交到组织级，汇总到组织测量库中。</w:t>
      </w:r>
    </w:p>
    <w:p>
      <w:pPr>
        <w:pStyle w:val="4"/>
        <w:numPr>
          <w:ilvl w:val="2"/>
          <w:numId w:val="3"/>
        </w:numPr>
        <w:spacing w:before="0" w:after="0" w:line="360" w:lineRule="auto"/>
        <w:ind w:left="0" w:leftChars="0" w:firstLine="402" w:firstLineChars="0"/>
      </w:pPr>
      <w:bookmarkStart w:id="347" w:name="_Toc6199"/>
      <w:r>
        <w:rPr>
          <w:rFonts w:hint="eastAsia"/>
        </w:rPr>
        <w:t>里程碑控制</w:t>
      </w:r>
      <w:bookmarkEnd w:id="347"/>
    </w:p>
    <w:p>
      <w:pPr>
        <w:spacing w:line="360" w:lineRule="auto"/>
        <w:ind w:firstLine="480" w:firstLineChars="200"/>
        <w:rPr>
          <w:sz w:val="24"/>
          <w:szCs w:val="24"/>
        </w:rPr>
      </w:pPr>
      <w:r>
        <w:rPr>
          <w:rFonts w:hint="eastAsia"/>
          <w:sz w:val="24"/>
          <w:szCs w:val="24"/>
        </w:rPr>
        <w:t>项目进度管理中一项重要的工作即是里程碑控制。里程碑是项目中的重大事件或时间点，对里程碑点进行全面的评估，组织专业的评审，偏差控制，与项目初期的计划进行比较，能够及时有效地发现和诊断项目在进度、质量方面的风险和问题。里程碑管理主要内容包括：</w:t>
      </w:r>
    </w:p>
    <w:p>
      <w:pPr>
        <w:spacing w:line="360" w:lineRule="auto"/>
        <w:ind w:firstLine="480" w:firstLineChars="200"/>
        <w:rPr>
          <w:sz w:val="24"/>
          <w:szCs w:val="24"/>
        </w:rPr>
      </w:pPr>
      <w:r>
        <w:rPr>
          <w:rFonts w:hint="eastAsia"/>
          <w:sz w:val="24"/>
          <w:szCs w:val="24"/>
        </w:rPr>
        <w:t>一、里程碑计划评审：联合项目管理组和其他职能组对项目初始阶段制定的里程碑计划进行评审，审核通过的里程碑计划需提交上级组织审批。</w:t>
      </w:r>
    </w:p>
    <w:p>
      <w:pPr>
        <w:spacing w:line="360" w:lineRule="auto"/>
        <w:ind w:firstLine="480" w:firstLineChars="200"/>
        <w:rPr>
          <w:sz w:val="24"/>
          <w:szCs w:val="24"/>
        </w:rPr>
      </w:pPr>
      <w:r>
        <w:rPr>
          <w:rFonts w:hint="eastAsia"/>
          <w:sz w:val="24"/>
          <w:szCs w:val="24"/>
        </w:rPr>
        <w:t>二、里程碑进度跟踪：联合项目管理组监控各项目里程碑进度，掌握项目整体进度情况，并对各项目里程碑的执行情况进行偏差分析，形成里程碑监控报告，并在工程例会向上级组织汇报。</w:t>
      </w:r>
    </w:p>
    <w:p>
      <w:pPr>
        <w:spacing w:line="360" w:lineRule="auto"/>
        <w:ind w:firstLine="480" w:firstLineChars="200"/>
        <w:rPr>
          <w:sz w:val="24"/>
          <w:szCs w:val="24"/>
        </w:rPr>
      </w:pPr>
      <w:r>
        <w:rPr>
          <w:rFonts w:hint="eastAsia"/>
          <w:sz w:val="24"/>
          <w:szCs w:val="24"/>
        </w:rPr>
        <w:t>三、里程碑交付物评审：项目里程碑完成时，要组织项目里程碑交付物评审会，对项目里程碑交付物进行评审，重要项目里程碑交付物必须邀请外部专家进行外部评审。</w:t>
      </w:r>
    </w:p>
    <w:p>
      <w:pPr>
        <w:spacing w:line="360" w:lineRule="auto"/>
        <w:ind w:firstLine="480" w:firstLineChars="200"/>
        <w:rPr>
          <w:sz w:val="24"/>
          <w:szCs w:val="24"/>
        </w:rPr>
      </w:pPr>
      <w:r>
        <w:rPr>
          <w:rFonts w:hint="eastAsia"/>
          <w:sz w:val="24"/>
          <w:szCs w:val="24"/>
        </w:rPr>
        <w:t>四、里程碑总结评审：联合项目管理组和各职能组在工程例会上，对项目前一阶段的管理工作及里程碑总结进行评审，对项目下阶段里程碑管理工作给予指导，并确定项目下一阶段的里程碑计划。</w:t>
      </w:r>
    </w:p>
    <w:p>
      <w:pPr>
        <w:spacing w:line="360" w:lineRule="auto"/>
        <w:ind w:firstLine="480" w:firstLineChars="200"/>
        <w:rPr>
          <w:sz w:val="24"/>
          <w:szCs w:val="24"/>
        </w:rPr>
      </w:pPr>
      <w:r>
        <w:rPr>
          <w:rFonts w:hint="eastAsia"/>
          <w:sz w:val="24"/>
          <w:szCs w:val="24"/>
        </w:rPr>
        <w:t>所有软件开发项目的主里程碑都必须由项目经理主持执行里程碑阶段评审会议。里程碑阶段评审应该达到以下目标：</w:t>
      </w:r>
    </w:p>
    <w:p>
      <w:pPr>
        <w:spacing w:line="360" w:lineRule="auto"/>
        <w:ind w:firstLine="480" w:firstLineChars="200"/>
        <w:rPr>
          <w:sz w:val="24"/>
          <w:szCs w:val="24"/>
        </w:rPr>
      </w:pPr>
      <w:r>
        <w:rPr>
          <w:rFonts w:hint="eastAsia"/>
          <w:sz w:val="24"/>
          <w:szCs w:val="24"/>
        </w:rPr>
        <w:t>评审项目本阶段发布的所有产品，评审的目的不是生成产品评审通过的评审记录，而是评审产品是否能实现项目目标；</w:t>
      </w:r>
    </w:p>
    <w:p>
      <w:pPr>
        <w:spacing w:line="360" w:lineRule="auto"/>
        <w:ind w:firstLine="480" w:firstLineChars="200"/>
        <w:rPr>
          <w:sz w:val="24"/>
          <w:szCs w:val="24"/>
        </w:rPr>
      </w:pPr>
      <w:r>
        <w:rPr>
          <w:rFonts w:hint="eastAsia"/>
          <w:sz w:val="24"/>
          <w:szCs w:val="24"/>
        </w:rPr>
        <w:t>评审项目的进度、成本、人力状态和技术状态；</w:t>
      </w:r>
    </w:p>
    <w:p>
      <w:pPr>
        <w:spacing w:line="360" w:lineRule="auto"/>
        <w:ind w:firstLine="480" w:firstLineChars="200"/>
        <w:rPr>
          <w:sz w:val="24"/>
          <w:szCs w:val="24"/>
        </w:rPr>
      </w:pPr>
      <w:r>
        <w:rPr>
          <w:rFonts w:hint="eastAsia"/>
          <w:sz w:val="24"/>
          <w:szCs w:val="24"/>
        </w:rPr>
        <w:t>评审项目的风险管理状态；</w:t>
      </w:r>
    </w:p>
    <w:p>
      <w:pPr>
        <w:spacing w:line="360" w:lineRule="auto"/>
        <w:ind w:firstLine="480" w:firstLineChars="200"/>
        <w:rPr>
          <w:sz w:val="24"/>
          <w:szCs w:val="24"/>
        </w:rPr>
      </w:pPr>
      <w:r>
        <w:rPr>
          <w:rFonts w:hint="eastAsia"/>
          <w:sz w:val="24"/>
          <w:szCs w:val="24"/>
        </w:rPr>
        <w:t>评审项目当前的和已规划的商业需求、客户需求、最终用户的需求是否能够满足；里程碑评审的结论应该是项目已达到本阶段的目标。如果项目还没有达到阶段性目标，则应该制定相应措施来消除缺陷，并进行跟踪直至缺陷消除。里程碑评审应记录会议纪要，并记录缺陷修订措施，其中问题应该记录到问题跟踪表。</w:t>
      </w:r>
    </w:p>
    <w:p>
      <w:pPr>
        <w:spacing w:line="360" w:lineRule="auto"/>
        <w:ind w:firstLine="480" w:firstLineChars="200"/>
        <w:rPr>
          <w:sz w:val="24"/>
          <w:szCs w:val="24"/>
        </w:rPr>
      </w:pPr>
      <w:r>
        <w:rPr>
          <w:rFonts w:hint="eastAsia"/>
          <w:sz w:val="24"/>
          <w:szCs w:val="24"/>
        </w:rPr>
        <w:t>定期评审团队的状态，确定后期的任务和团队之间的符合性，对团队的管理和运作机制进行调整；</w:t>
      </w:r>
    </w:p>
    <w:p>
      <w:pPr>
        <w:spacing w:line="360" w:lineRule="auto"/>
        <w:ind w:firstLine="480" w:firstLineChars="200"/>
        <w:rPr>
          <w:sz w:val="24"/>
          <w:szCs w:val="24"/>
        </w:rPr>
      </w:pPr>
      <w:r>
        <w:rPr>
          <w:rFonts w:hint="eastAsia"/>
          <w:sz w:val="24"/>
          <w:szCs w:val="24"/>
        </w:rPr>
        <w:t>检查里程碑的过程性能数据和项目目标过程性能基线进行比较，采用统计过程控制方法确定本项目的实际情况与计划之间的差异，并采用鱼骨图，帕勒托图等多种统计技术分析异常产生的原因，并根据原因制定异常控制方法，并提交过程改进建议；</w:t>
      </w:r>
    </w:p>
    <w:p>
      <w:pPr>
        <w:spacing w:line="360" w:lineRule="auto"/>
        <w:ind w:firstLine="480" w:firstLineChars="200"/>
      </w:pPr>
      <w:r>
        <w:rPr>
          <w:rFonts w:hint="eastAsia"/>
          <w:sz w:val="24"/>
          <w:szCs w:val="24"/>
        </w:rPr>
        <w:t>根据项目选择的建立项目过程性能基线，收集项目数据，采用统计过程控制的技术，建立项目的过程性能基线，确定项目子过程的过程性能能够稳定执行过程，如果分析发现过程性能结果中有异常的情况产生，并采用鱼骨图，帕勒托图等多种统计技术分析异常产生的原因，并根据原因制定异常控制方法，并提交过程改进建议；</w:t>
      </w:r>
    </w:p>
    <w:p>
      <w:pPr>
        <w:pStyle w:val="3"/>
        <w:numPr>
          <w:ilvl w:val="1"/>
          <w:numId w:val="3"/>
        </w:numPr>
        <w:spacing w:before="0" w:after="0" w:line="360" w:lineRule="auto"/>
        <w:ind w:left="0" w:leftChars="0" w:firstLine="402" w:firstLineChars="0"/>
      </w:pPr>
      <w:bookmarkStart w:id="348" w:name="_Toc24416"/>
      <w:r>
        <w:rPr>
          <w:rFonts w:hint="eastAsia"/>
        </w:rPr>
        <w:t>项目风险管理计划</w:t>
      </w:r>
      <w:bookmarkEnd w:id="348"/>
    </w:p>
    <w:p>
      <w:pPr>
        <w:spacing w:line="360" w:lineRule="auto"/>
        <w:ind w:firstLine="480" w:firstLineChars="200"/>
        <w:rPr>
          <w:sz w:val="24"/>
          <w:szCs w:val="24"/>
        </w:rPr>
      </w:pPr>
      <w:r>
        <w:rPr>
          <w:rFonts w:hint="eastAsia"/>
          <w:sz w:val="24"/>
          <w:szCs w:val="24"/>
        </w:rPr>
        <w:t>项目风险管理包括风险管理规划、风险识别、风险分析、风险应对规划和风险监控等各个过程。项目风险管理的目标在于提高项目积极事件的概率和影响，降低项目消极事件的概率和影响。</w:t>
      </w:r>
    </w:p>
    <w:p>
      <w:pPr>
        <w:spacing w:line="360" w:lineRule="auto"/>
        <w:ind w:firstLine="480" w:firstLineChars="200"/>
        <w:rPr>
          <w:sz w:val="24"/>
          <w:szCs w:val="24"/>
        </w:rPr>
      </w:pPr>
      <w:r>
        <w:rPr>
          <w:rFonts w:hint="eastAsia"/>
          <w:sz w:val="24"/>
          <w:szCs w:val="24"/>
        </w:rPr>
        <w:t>项目风险管理的各个过程，包括：</w:t>
      </w:r>
    </w:p>
    <w:p>
      <w:pPr>
        <w:spacing w:line="360" w:lineRule="auto"/>
        <w:ind w:firstLine="480" w:firstLineChars="200"/>
        <w:rPr>
          <w:sz w:val="24"/>
          <w:szCs w:val="24"/>
        </w:rPr>
      </w:pPr>
      <w:r>
        <w:rPr>
          <w:rFonts w:hint="eastAsia"/>
          <w:sz w:val="24"/>
          <w:szCs w:val="24"/>
        </w:rPr>
        <w:t>规划风险管理——定义如何实施项目风险管理活动的过程。</w:t>
      </w:r>
    </w:p>
    <w:p>
      <w:pPr>
        <w:spacing w:line="360" w:lineRule="auto"/>
        <w:ind w:firstLine="480" w:firstLineChars="200"/>
        <w:rPr>
          <w:sz w:val="24"/>
          <w:szCs w:val="24"/>
        </w:rPr>
      </w:pPr>
      <w:r>
        <w:rPr>
          <w:rFonts w:hint="eastAsia"/>
          <w:sz w:val="24"/>
          <w:szCs w:val="24"/>
        </w:rPr>
        <w:t>识别风险——判断哪些风险会影响项目并记录其特征的过程。</w:t>
      </w:r>
    </w:p>
    <w:p>
      <w:pPr>
        <w:spacing w:line="360" w:lineRule="auto"/>
        <w:ind w:firstLine="480" w:firstLineChars="200"/>
        <w:rPr>
          <w:sz w:val="24"/>
          <w:szCs w:val="24"/>
        </w:rPr>
      </w:pPr>
      <w:r>
        <w:rPr>
          <w:rFonts w:hint="eastAsia"/>
          <w:sz w:val="24"/>
          <w:szCs w:val="24"/>
        </w:rPr>
        <w:t>实施定性风险分析——评估并综合分析风险的发生概率和影响，对风险进行优先排序，从而为后续分析或行动提供基础的过程。</w:t>
      </w:r>
    </w:p>
    <w:p>
      <w:pPr>
        <w:spacing w:line="360" w:lineRule="auto"/>
        <w:ind w:firstLine="480" w:firstLineChars="200"/>
        <w:rPr>
          <w:sz w:val="24"/>
          <w:szCs w:val="24"/>
        </w:rPr>
      </w:pPr>
      <w:r>
        <w:rPr>
          <w:rFonts w:hint="eastAsia"/>
          <w:sz w:val="24"/>
          <w:szCs w:val="24"/>
        </w:rPr>
        <w:t>实施定量风险分析——就已识别风险对项目整体目标的影响进行定量分析的过程。</w:t>
      </w:r>
    </w:p>
    <w:p>
      <w:pPr>
        <w:spacing w:line="360" w:lineRule="auto"/>
        <w:ind w:firstLine="480" w:firstLineChars="200"/>
        <w:rPr>
          <w:sz w:val="24"/>
          <w:szCs w:val="24"/>
        </w:rPr>
      </w:pPr>
      <w:r>
        <w:rPr>
          <w:rFonts w:hint="eastAsia"/>
          <w:sz w:val="24"/>
          <w:szCs w:val="24"/>
        </w:rPr>
        <w:t>规划风险应对——针对项目目标，制定提高机会、降低威胁的方案和措施的过程。</w:t>
      </w:r>
    </w:p>
    <w:p>
      <w:pPr>
        <w:spacing w:line="360" w:lineRule="auto"/>
        <w:ind w:firstLine="480" w:firstLineChars="200"/>
        <w:rPr>
          <w:sz w:val="24"/>
          <w:szCs w:val="24"/>
        </w:rPr>
      </w:pPr>
      <w:r>
        <w:rPr>
          <w:rFonts w:hint="eastAsia"/>
          <w:sz w:val="24"/>
          <w:szCs w:val="24"/>
        </w:rPr>
        <w:t>监控风险——在整个项目中，实施风险应对计划、跟踪已识别风险、监测残余风险、识别新风险和评估风险过程有效性的过程。</w:t>
      </w:r>
    </w:p>
    <w:p>
      <w:pPr>
        <w:spacing w:line="360" w:lineRule="auto"/>
        <w:ind w:firstLine="480" w:firstLineChars="200"/>
        <w:rPr>
          <w:sz w:val="24"/>
          <w:szCs w:val="24"/>
        </w:rPr>
      </w:pPr>
      <w:r>
        <w:rPr>
          <w:rFonts w:hint="eastAsia"/>
          <w:sz w:val="24"/>
          <w:szCs w:val="24"/>
        </w:rPr>
        <w:t>风险是一种不确定的事件或条件，一旦发生，会对至少一个项目目标造成影响，如范围、进度、成本和质量。风险可能有一种或多种起因，包括可能引起消极或积极结果的需求、假设条件、制约因素或某种状况。风险条件则是可能引发项目风险的各种项目或组织环境因素，如不成熟的项目管理实践、缺乏综合管理系统、多项目并行实施，或依赖不可控的外部参与者等。</w:t>
      </w:r>
    </w:p>
    <w:p>
      <w:pPr>
        <w:spacing w:line="360" w:lineRule="auto"/>
        <w:ind w:firstLine="480" w:firstLineChars="200"/>
        <w:rPr>
          <w:sz w:val="24"/>
          <w:szCs w:val="24"/>
        </w:rPr>
      </w:pPr>
      <w:r>
        <w:rPr>
          <w:rFonts w:hint="eastAsia"/>
          <w:sz w:val="24"/>
          <w:szCs w:val="24"/>
        </w:rPr>
        <w:t>项目风险源于任何项目中都存在的不确定性。已知风险是指已经识别并分析过的风险，从而可对这些风险规划应对措施。对具体的未知风险，则无法主动进行管理，项目团队应该为未知风险创建应急计划。已经发生的项目风险也可视为一个问题。</w:t>
      </w:r>
    </w:p>
    <w:p>
      <w:pPr>
        <w:spacing w:line="360" w:lineRule="auto"/>
        <w:ind w:firstLine="480" w:firstLineChars="200"/>
        <w:rPr>
          <w:sz w:val="24"/>
          <w:szCs w:val="24"/>
        </w:rPr>
      </w:pPr>
      <w:r>
        <w:rPr>
          <w:rFonts w:hint="eastAsia"/>
          <w:sz w:val="24"/>
          <w:szCs w:val="24"/>
        </w:rPr>
        <w:t>组织把风险看做是不确定性可能给项目和组织目标造成的影响。组织和干系人愿意接受不同程度的风险，即具有不同的风险承受力。如果风险给项目造成的威胁在可承受范围之内，并且与冒此风险可能得到的收获相平衡时，该风险就是可接受的。</w:t>
      </w:r>
    </w:p>
    <w:p>
      <w:pPr>
        <w:spacing w:line="360" w:lineRule="auto"/>
        <w:ind w:firstLine="480" w:firstLineChars="200"/>
        <w:rPr>
          <w:sz w:val="24"/>
          <w:szCs w:val="24"/>
        </w:rPr>
      </w:pPr>
      <w:r>
        <w:rPr>
          <w:rFonts w:hint="eastAsia"/>
          <w:sz w:val="24"/>
          <w:szCs w:val="24"/>
        </w:rPr>
        <w:t>要想取得成功，组织应致力于在整个项目期间积极、持续地开展风险管理。在整个项目过程中，组织的各个层级都必须有意地积极识别并有效管理风险。项目从构思那一刻起，就存在风险。在项目推进过程中，如果不积极进行风险管理，实际发生的风险就可能给项目造成严重影响，甚至导致项目失败。</w:t>
      </w:r>
    </w:p>
    <w:p>
      <w:pPr>
        <w:spacing w:line="360" w:lineRule="auto"/>
        <w:ind w:firstLine="480" w:firstLineChars="200"/>
        <w:rPr>
          <w:sz w:val="24"/>
          <w:szCs w:val="24"/>
        </w:rPr>
      </w:pPr>
      <w:r>
        <w:rPr>
          <w:rFonts w:hint="eastAsia"/>
          <w:sz w:val="24"/>
          <w:szCs w:val="24"/>
        </w:rPr>
        <w:t>针对</w:t>
      </w:r>
      <w:r>
        <w:rPr>
          <w:rFonts w:hint="eastAsia"/>
          <w:sz w:val="24"/>
          <w:szCs w:val="24"/>
          <w:lang w:eastAsia="zh-CN"/>
        </w:rPr>
        <w:t>xx交通</w:t>
      </w:r>
      <w:r>
        <w:rPr>
          <w:rFonts w:hint="eastAsia"/>
          <w:sz w:val="24"/>
          <w:szCs w:val="24"/>
        </w:rPr>
        <w:t>增值税发票管理系统的风险和问题管理，</w:t>
      </w:r>
      <w:r>
        <w:rPr>
          <w:rFonts w:hint="eastAsia"/>
          <w:sz w:val="24"/>
          <w:szCs w:val="24"/>
          <w:lang w:eastAsia="zh-CN"/>
        </w:rPr>
        <w:t>**信息</w:t>
      </w:r>
      <w:r>
        <w:rPr>
          <w:rFonts w:hint="eastAsia"/>
          <w:sz w:val="24"/>
          <w:szCs w:val="24"/>
        </w:rPr>
        <w:t>将按照以下要求和工作思路执行：</w:t>
      </w:r>
    </w:p>
    <w:p>
      <w:pPr>
        <w:spacing w:line="360" w:lineRule="auto"/>
        <w:ind w:firstLine="480" w:firstLineChars="200"/>
        <w:rPr>
          <w:sz w:val="24"/>
          <w:szCs w:val="24"/>
        </w:rPr>
      </w:pPr>
      <w:r>
        <w:rPr>
          <w:rFonts w:hint="eastAsia"/>
          <w:sz w:val="24"/>
          <w:szCs w:val="24"/>
        </w:rPr>
        <w:t>一、</w:t>
      </w:r>
      <w:r>
        <w:rPr>
          <w:rFonts w:hint="eastAsia"/>
          <w:sz w:val="24"/>
          <w:szCs w:val="24"/>
          <w:lang w:eastAsia="zh-CN"/>
        </w:rPr>
        <w:t>**信息</w:t>
      </w:r>
      <w:r>
        <w:rPr>
          <w:rFonts w:hint="eastAsia"/>
          <w:sz w:val="24"/>
          <w:szCs w:val="24"/>
        </w:rPr>
        <w:t>将对项目风险从识别到分析到应对措施提出完备的可行性方案；</w:t>
      </w:r>
    </w:p>
    <w:p>
      <w:pPr>
        <w:spacing w:line="360" w:lineRule="auto"/>
        <w:ind w:firstLine="480" w:firstLineChars="200"/>
        <w:rPr>
          <w:sz w:val="24"/>
          <w:szCs w:val="24"/>
        </w:rPr>
      </w:pPr>
      <w:r>
        <w:rPr>
          <w:rFonts w:hint="eastAsia"/>
          <w:sz w:val="24"/>
          <w:szCs w:val="24"/>
        </w:rPr>
        <w:t>二、</w:t>
      </w:r>
      <w:r>
        <w:rPr>
          <w:rFonts w:hint="eastAsia"/>
          <w:sz w:val="24"/>
          <w:szCs w:val="24"/>
          <w:lang w:eastAsia="zh-CN"/>
        </w:rPr>
        <w:t>**信息</w:t>
      </w:r>
      <w:r>
        <w:rPr>
          <w:rFonts w:hint="eastAsia"/>
          <w:sz w:val="24"/>
          <w:szCs w:val="24"/>
        </w:rPr>
        <w:t>将指定风险和问题负责人，制订和执行风险和问题分析计划，及时发现、处理项目执行过程中的风险和问题；</w:t>
      </w:r>
    </w:p>
    <w:p>
      <w:pPr>
        <w:spacing w:line="360" w:lineRule="auto"/>
        <w:ind w:firstLine="480" w:firstLineChars="200"/>
        <w:rPr>
          <w:sz w:val="24"/>
          <w:szCs w:val="24"/>
        </w:rPr>
      </w:pPr>
      <w:r>
        <w:rPr>
          <w:rFonts w:hint="eastAsia"/>
          <w:sz w:val="24"/>
          <w:szCs w:val="24"/>
        </w:rPr>
        <w:t>三、</w:t>
      </w:r>
      <w:r>
        <w:rPr>
          <w:rFonts w:hint="eastAsia"/>
          <w:sz w:val="24"/>
          <w:szCs w:val="24"/>
          <w:lang w:eastAsia="zh-CN"/>
        </w:rPr>
        <w:t>**信息</w:t>
      </w:r>
      <w:r>
        <w:rPr>
          <w:rFonts w:hint="eastAsia"/>
          <w:sz w:val="24"/>
          <w:szCs w:val="24"/>
        </w:rPr>
        <w:t>将定期汇总项目风险和问题，持续跟踪、监控和更新问题状态，直至风险和问题关闭，如果遇到难以解决的问题，将向客户方及时汇报与沟通；</w:t>
      </w:r>
    </w:p>
    <w:p>
      <w:pPr>
        <w:spacing w:line="360" w:lineRule="auto"/>
        <w:ind w:firstLine="480" w:firstLineChars="200"/>
        <w:rPr>
          <w:sz w:val="24"/>
          <w:szCs w:val="24"/>
        </w:rPr>
      </w:pPr>
      <w:r>
        <w:rPr>
          <w:rFonts w:hint="eastAsia"/>
          <w:sz w:val="24"/>
          <w:szCs w:val="24"/>
        </w:rPr>
        <w:t>四、针对已出现的各类问题，</w:t>
      </w:r>
      <w:r>
        <w:rPr>
          <w:rFonts w:hint="eastAsia"/>
          <w:sz w:val="24"/>
          <w:szCs w:val="24"/>
          <w:lang w:eastAsia="zh-CN"/>
        </w:rPr>
        <w:t>**信息</w:t>
      </w:r>
      <w:r>
        <w:rPr>
          <w:rFonts w:hint="eastAsia"/>
          <w:sz w:val="24"/>
          <w:szCs w:val="24"/>
        </w:rPr>
        <w:t>将制定有针对性的问题管理流程，保证问题顺利解决；</w:t>
      </w:r>
    </w:p>
    <w:p>
      <w:pPr>
        <w:spacing w:line="360" w:lineRule="auto"/>
        <w:ind w:firstLine="480" w:firstLineChars="200"/>
        <w:rPr>
          <w:sz w:val="24"/>
          <w:szCs w:val="24"/>
        </w:rPr>
      </w:pPr>
      <w:r>
        <w:rPr>
          <w:rFonts w:hint="eastAsia"/>
          <w:sz w:val="24"/>
          <w:szCs w:val="24"/>
        </w:rPr>
        <w:t>五、</w:t>
      </w:r>
      <w:r>
        <w:rPr>
          <w:rFonts w:hint="eastAsia"/>
          <w:sz w:val="24"/>
          <w:szCs w:val="24"/>
          <w:lang w:eastAsia="zh-CN"/>
        </w:rPr>
        <w:t>**信息</w:t>
      </w:r>
      <w:r>
        <w:rPr>
          <w:rFonts w:hint="eastAsia"/>
          <w:sz w:val="24"/>
          <w:szCs w:val="24"/>
        </w:rPr>
        <w:t>将制定跨项目问题解决中对可能出现的争议和冲突进行协调和解决的方案。</w:t>
      </w:r>
    </w:p>
    <w:p>
      <w:pPr>
        <w:pStyle w:val="4"/>
        <w:numPr>
          <w:ilvl w:val="2"/>
          <w:numId w:val="3"/>
        </w:numPr>
        <w:spacing w:before="0" w:after="0" w:line="360" w:lineRule="auto"/>
        <w:ind w:left="0" w:leftChars="0" w:firstLine="402" w:firstLineChars="0"/>
      </w:pPr>
      <w:bookmarkStart w:id="349" w:name="_Toc10282"/>
      <w:r>
        <w:rPr>
          <w:rFonts w:hint="eastAsia"/>
        </w:rPr>
        <w:t>规划风险管理</w:t>
      </w:r>
      <w:bookmarkEnd w:id="349"/>
    </w:p>
    <w:p>
      <w:pPr>
        <w:spacing w:line="360" w:lineRule="auto"/>
        <w:ind w:firstLine="480" w:firstLineChars="200"/>
      </w:pPr>
      <w:r>
        <w:rPr>
          <w:rFonts w:hint="eastAsia"/>
          <w:sz w:val="24"/>
          <w:szCs w:val="24"/>
        </w:rPr>
        <w:t>规划风险管理是定义如何实施项目风险管理活动的过程。认真、明确地进行规划，可以提高风险管理过程的成功概率。规划风险管理非常重要，它可以确保风险管理的程度、类型和可见度与风险以及项目对组织的重要性相匹配。规划风险管理的重要性还在于为风险管理活动安排充足的资源和时间，并为评估风险奠定一个共同认可的基础。规划风险管理过程在项目构思阶段就应开始，并在项目规划阶段的早期完成。</w:t>
      </w:r>
    </w:p>
    <w:p>
      <w:pPr>
        <w:spacing w:line="360" w:lineRule="auto"/>
        <w:ind w:firstLine="420" w:firstLineChars="200"/>
      </w:pPr>
    </w:p>
    <w:p>
      <w:pPr>
        <w:spacing w:line="360" w:lineRule="auto"/>
      </w:pPr>
      <w:r>
        <w:drawing>
          <wp:inline distT="0" distB="0" distL="0" distR="0">
            <wp:extent cx="5280660" cy="4381500"/>
            <wp:effectExtent l="0" t="0" r="0" b="0"/>
            <wp:docPr id="4354" name="图片 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 name="图片 43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82956" cy="4383405"/>
                    </a:xfrm>
                    <a:prstGeom prst="rect">
                      <a:avLst/>
                    </a:prstGeom>
                    <a:noFill/>
                    <a:ln>
                      <a:noFill/>
                    </a:ln>
                  </pic:spPr>
                </pic:pic>
              </a:graphicData>
            </a:graphic>
          </wp:inline>
        </w:drawing>
      </w:r>
    </w:p>
    <w:p>
      <w:pPr>
        <w:spacing w:line="360" w:lineRule="auto"/>
        <w:jc w:val="center"/>
      </w:pPr>
      <w:r>
        <w:rPr>
          <w:rFonts w:hint="eastAsia"/>
        </w:rPr>
        <w:t>项目风险管理——规划风险</w:t>
      </w:r>
    </w:p>
    <w:p>
      <w:pPr>
        <w:spacing w:line="360" w:lineRule="auto"/>
      </w:pPr>
    </w:p>
    <w:p>
      <w:pPr>
        <w:pStyle w:val="4"/>
        <w:numPr>
          <w:ilvl w:val="2"/>
          <w:numId w:val="3"/>
        </w:numPr>
        <w:spacing w:before="0" w:after="0" w:line="360" w:lineRule="auto"/>
        <w:ind w:left="0" w:leftChars="0" w:firstLine="402" w:firstLineChars="0"/>
      </w:pPr>
      <w:bookmarkStart w:id="350" w:name="_Toc8169"/>
      <w:r>
        <w:rPr>
          <w:rFonts w:hint="eastAsia"/>
        </w:rPr>
        <w:t>风险识别</w:t>
      </w:r>
      <w:bookmarkEnd w:id="350"/>
    </w:p>
    <w:p>
      <w:pPr>
        <w:spacing w:line="360" w:lineRule="auto"/>
        <w:ind w:firstLine="480" w:firstLineChars="200"/>
        <w:rPr>
          <w:sz w:val="24"/>
          <w:szCs w:val="24"/>
        </w:rPr>
      </w:pPr>
      <w:r>
        <w:rPr>
          <w:rFonts w:hint="eastAsia"/>
          <w:sz w:val="24"/>
          <w:szCs w:val="24"/>
        </w:rPr>
        <w:t>识别风险是判断哪些风险会影响项目并记录其特征的过程。风险识别活动的参与者可包括：项目经理、项目团队成员、风险管理团队、客户、项目团队之外的主题专家、最终用户、其他项目经理、干系人和风险管理专家。虽然上述人员往往是风险识别过程的关键参与者，但还应鼓励全体项目人员参与风险识别工作。</w:t>
      </w:r>
    </w:p>
    <w:p>
      <w:pPr>
        <w:spacing w:line="360" w:lineRule="auto"/>
        <w:ind w:firstLine="480" w:firstLineChars="200"/>
      </w:pPr>
      <w:r>
        <w:rPr>
          <w:rFonts w:hint="eastAsia"/>
          <w:sz w:val="24"/>
          <w:szCs w:val="24"/>
        </w:rPr>
        <w:t>识别风险是一个反复进行的过程，因为在项目生命周期中，随着项目的进展，新的风险可能产生或为人所知。反复的频率以及每一轮的参与者因具体情况而异。应该采用统一的格式对风险进行描述，确保可以把项目中一个风险事件的影响与其他事件进行比较。项目团队应参与识别风险过程，以便创造并维持团队成员对风险及其应对措施的主人翁感和责任感。项目团队之外的干系人可以提供其他客观信息。</w:t>
      </w:r>
    </w:p>
    <w:p>
      <w:pPr>
        <w:spacing w:line="360" w:lineRule="auto"/>
      </w:pPr>
      <w:r>
        <w:drawing>
          <wp:inline distT="0" distB="0" distL="0" distR="0">
            <wp:extent cx="5288280" cy="6537960"/>
            <wp:effectExtent l="0" t="0" r="7620" b="0"/>
            <wp:docPr id="4355" name="图片 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 name="图片 43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88280" cy="6537960"/>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项目风险管理——识别风险</w:t>
      </w:r>
    </w:p>
    <w:p>
      <w:pPr>
        <w:spacing w:line="360" w:lineRule="auto"/>
        <w:ind w:firstLine="480" w:firstLineChars="200"/>
        <w:rPr>
          <w:sz w:val="24"/>
          <w:szCs w:val="24"/>
        </w:rPr>
      </w:pPr>
      <w:r>
        <w:rPr>
          <w:rFonts w:hint="eastAsia"/>
          <w:sz w:val="24"/>
          <w:szCs w:val="24"/>
        </w:rPr>
        <w:t>对本工程的软件开发风险进行评估，首先就要对风险因素进行辨识。风险因素是指增加、减少损失或损害发生频率和大小的主、客观条件，包括转化条件和触发条件。风险因素是风险事件发生的潜在原因，分为造成损失或损害的内在或外部原因。如果消除了所有风险因素，则损失或损害就不会发生。因此，风险因素辨识是对软件开发过程中可能产生风险的因素所进行的归类和细化的工作。</w:t>
      </w:r>
    </w:p>
    <w:p>
      <w:pPr>
        <w:spacing w:line="360" w:lineRule="auto"/>
        <w:ind w:firstLine="480" w:firstLineChars="200"/>
        <w:rPr>
          <w:sz w:val="24"/>
          <w:szCs w:val="24"/>
        </w:rPr>
      </w:pPr>
      <w:r>
        <w:rPr>
          <w:rFonts w:hint="eastAsia"/>
          <w:sz w:val="24"/>
          <w:szCs w:val="24"/>
        </w:rPr>
        <w:t>在运用多种方法分析项目建设中可能存在的风险因素，并将其进行了整理和归类后，可以把项目的风险分为四大类，业务风险、技术风险、管理风险和外部风险，且细化为若干因素。</w:t>
      </w:r>
    </w:p>
    <w:p>
      <w:pPr>
        <w:spacing w:line="360" w:lineRule="auto"/>
        <w:ind w:firstLine="480" w:firstLineChars="200"/>
        <w:rPr>
          <w:sz w:val="24"/>
          <w:szCs w:val="24"/>
        </w:rPr>
      </w:pPr>
      <w:r>
        <w:rPr>
          <w:rFonts w:hint="eastAsia"/>
          <w:sz w:val="24"/>
          <w:szCs w:val="24"/>
        </w:rPr>
        <w:t>由于项目的一次性和特殊性，在风险判别中无法根据历史数据或资料对项目风险作出准确估计，只能靠专家或决策人员根据自身经验和知识对项目风险作出主观估计，特别是在项目立项论证或研制的初期阶段更是如此。为对项目风险进行准确判别，有必要规定统一的级别描述标准。各种风险的具体涵义如下：</w:t>
      </w:r>
    </w:p>
    <w:p>
      <w:pPr>
        <w:spacing w:line="360" w:lineRule="auto"/>
        <w:ind w:firstLine="480" w:firstLineChars="200"/>
        <w:rPr>
          <w:sz w:val="24"/>
          <w:szCs w:val="24"/>
        </w:rPr>
      </w:pPr>
      <w:r>
        <w:rPr>
          <w:rFonts w:hint="eastAsia"/>
          <w:sz w:val="24"/>
          <w:szCs w:val="24"/>
        </w:rPr>
        <w:t>一、业务风险</w:t>
      </w:r>
    </w:p>
    <w:p>
      <w:pPr>
        <w:spacing w:line="360" w:lineRule="auto"/>
        <w:ind w:firstLine="480" w:firstLineChars="200"/>
        <w:rPr>
          <w:sz w:val="24"/>
          <w:szCs w:val="24"/>
        </w:rPr>
      </w:pPr>
      <w:r>
        <w:rPr>
          <w:rFonts w:hint="eastAsia"/>
          <w:sz w:val="24"/>
          <w:szCs w:val="24"/>
        </w:rPr>
        <w:t>本项目业务风险主要来自于发票开具与查询业务变化可能产生的风险。主要包括税管机构的改变、业务流程的改变、表证单书的变化、监管对象的变化等。业务风险可能引发项目范围和需求的重大变更，演变成为项目进度和成本的风险。</w:t>
      </w:r>
    </w:p>
    <w:p>
      <w:pPr>
        <w:spacing w:line="360" w:lineRule="auto"/>
        <w:ind w:firstLine="480" w:firstLineChars="200"/>
        <w:rPr>
          <w:sz w:val="24"/>
          <w:szCs w:val="24"/>
        </w:rPr>
      </w:pPr>
      <w:r>
        <w:rPr>
          <w:rFonts w:hint="eastAsia"/>
          <w:sz w:val="24"/>
          <w:szCs w:val="24"/>
        </w:rPr>
        <w:t>二、技术风险</w:t>
      </w:r>
    </w:p>
    <w:p>
      <w:pPr>
        <w:spacing w:line="360" w:lineRule="auto"/>
        <w:ind w:firstLine="480" w:firstLineChars="200"/>
      </w:pPr>
      <w:r>
        <w:rPr>
          <w:rFonts w:hint="eastAsia"/>
          <w:sz w:val="24"/>
          <w:szCs w:val="24"/>
        </w:rPr>
        <w:t>技术风险主要包括技术目标过高，技术标准发生变化，复杂、高新技术或非常规方法应用等给项目建设带来的风险。通常定义为研制项目在规定时间内、在一定的经费保障条件下达不到战术技术指标要求的可能性，或者说研制计划的某个部分出现意想不到的结果从而对整个系统效能产生有害影响的可能性及后果。就技术风险而言，一般从技术的成熟性、复杂性及与其他项目的相关性三个方面来衡量风险事件的失败可能性大小，从技术性能、费用和进度三方面来考虑该类风险发生后果损失大小。技术风险的级别描述如下表所示。</w:t>
      </w:r>
    </w:p>
    <w:tbl>
      <w:tblPr>
        <w:tblStyle w:val="34"/>
        <w:tblW w:w="8369" w:type="dxa"/>
        <w:tblInd w:w="103" w:type="dxa"/>
        <w:tblLayout w:type="fixed"/>
        <w:tblCellMar>
          <w:top w:w="0" w:type="dxa"/>
          <w:left w:w="108" w:type="dxa"/>
          <w:bottom w:w="0" w:type="dxa"/>
          <w:right w:w="108" w:type="dxa"/>
        </w:tblCellMar>
      </w:tblPr>
      <w:tblGrid>
        <w:gridCol w:w="1072"/>
        <w:gridCol w:w="5737"/>
        <w:gridCol w:w="1560"/>
      </w:tblGrid>
      <w:tr>
        <w:tblPrEx>
          <w:tblLayout w:type="fixed"/>
          <w:tblCellMar>
            <w:top w:w="0" w:type="dxa"/>
            <w:left w:w="108" w:type="dxa"/>
            <w:bottom w:w="0" w:type="dxa"/>
            <w:right w:w="108" w:type="dxa"/>
          </w:tblCellMar>
        </w:tblPrEx>
        <w:trPr>
          <w:trHeight w:val="285" w:hRule="atLeast"/>
          <w:tblHeader/>
        </w:trPr>
        <w:tc>
          <w:tcPr>
            <w:tcW w:w="6809" w:type="dxa"/>
            <w:gridSpan w:val="2"/>
            <w:tcBorders>
              <w:top w:val="single" w:color="auto" w:sz="4" w:space="0"/>
              <w:left w:val="single" w:color="auto" w:sz="4" w:space="0"/>
              <w:bottom w:val="single" w:color="auto" w:sz="4" w:space="0"/>
              <w:right w:val="nil"/>
            </w:tcBorders>
            <w:shd w:val="clear" w:color="auto" w:fill="C0C0C0"/>
            <w:vAlign w:val="center"/>
          </w:tcPr>
          <w:p>
            <w:pPr>
              <w:spacing w:line="360" w:lineRule="auto"/>
            </w:pPr>
            <w:r>
              <w:rPr>
                <w:rFonts w:hint="eastAsia"/>
              </w:rPr>
              <w:t>技术风险</w:t>
            </w:r>
          </w:p>
        </w:tc>
        <w:tc>
          <w:tcPr>
            <w:tcW w:w="1560" w:type="dxa"/>
            <w:tcBorders>
              <w:top w:val="single" w:color="auto" w:sz="4" w:space="0"/>
              <w:left w:val="nil"/>
              <w:bottom w:val="single" w:color="auto" w:sz="4" w:space="0"/>
              <w:right w:val="single" w:color="auto" w:sz="4" w:space="0"/>
            </w:tcBorders>
            <w:shd w:val="clear" w:color="auto" w:fill="C0C0C0"/>
            <w:vAlign w:val="center"/>
          </w:tcPr>
          <w:p>
            <w:pPr>
              <w:spacing w:line="360" w:lineRule="auto"/>
            </w:pPr>
            <w:r>
              <w:rPr>
                <w:rFonts w:hint="eastAsia"/>
              </w:rPr>
              <w:t>风险级别</w:t>
            </w:r>
          </w:p>
        </w:tc>
      </w:tr>
      <w:tr>
        <w:tblPrEx>
          <w:tblLayout w:type="fixed"/>
          <w:tblCellMar>
            <w:top w:w="0" w:type="dxa"/>
            <w:left w:w="108" w:type="dxa"/>
            <w:bottom w:w="0" w:type="dxa"/>
            <w:right w:w="108" w:type="dxa"/>
          </w:tblCellMar>
        </w:tblPrEx>
        <w:trPr>
          <w:trHeight w:val="285" w:hRule="atLeast"/>
        </w:trPr>
        <w:tc>
          <w:tcPr>
            <w:tcW w:w="1072" w:type="dxa"/>
            <w:vMerge w:val="restart"/>
            <w:tcBorders>
              <w:top w:val="nil"/>
              <w:left w:val="single" w:color="auto" w:sz="4" w:space="0"/>
              <w:bottom w:val="single" w:color="auto" w:sz="4" w:space="0"/>
              <w:right w:val="single" w:color="auto" w:sz="4" w:space="0"/>
            </w:tcBorders>
            <w:vAlign w:val="center"/>
          </w:tcPr>
          <w:p>
            <w:pPr>
              <w:spacing w:line="360" w:lineRule="auto"/>
            </w:pPr>
            <w:r>
              <w:rPr>
                <w:rFonts w:hint="eastAsia"/>
              </w:rPr>
              <w:t>成熟性</w:t>
            </w:r>
          </w:p>
        </w:tc>
        <w:tc>
          <w:tcPr>
            <w:tcW w:w="5737" w:type="dxa"/>
            <w:tcBorders>
              <w:top w:val="nil"/>
              <w:left w:val="nil"/>
              <w:bottom w:val="single" w:color="auto" w:sz="4" w:space="0"/>
              <w:right w:val="single" w:color="auto" w:sz="4" w:space="0"/>
            </w:tcBorders>
            <w:vAlign w:val="center"/>
          </w:tcPr>
          <w:p>
            <w:pPr>
              <w:spacing w:line="360" w:lineRule="auto"/>
            </w:pPr>
            <w:r>
              <w:rPr>
                <w:rFonts w:hint="eastAsia"/>
              </w:rPr>
              <w:t>现有的或局部重新设计</w:t>
            </w:r>
          </w:p>
        </w:tc>
        <w:tc>
          <w:tcPr>
            <w:tcW w:w="1560" w:type="dxa"/>
            <w:tcBorders>
              <w:top w:val="nil"/>
              <w:left w:val="nil"/>
              <w:bottom w:val="single" w:color="auto" w:sz="4" w:space="0"/>
              <w:right w:val="single" w:color="auto" w:sz="4" w:space="0"/>
            </w:tcBorders>
            <w:vAlign w:val="center"/>
          </w:tcPr>
          <w:p>
            <w:pPr>
              <w:spacing w:line="360" w:lineRule="auto"/>
            </w:pPr>
            <w:r>
              <w:rPr>
                <w:rFonts w:hint="eastAsia"/>
              </w:rPr>
              <w:t>低风险</w:t>
            </w:r>
          </w:p>
        </w:tc>
      </w:tr>
      <w:tr>
        <w:tblPrEx>
          <w:tblLayout w:type="fixed"/>
          <w:tblCellMar>
            <w:top w:w="0" w:type="dxa"/>
            <w:left w:w="108" w:type="dxa"/>
            <w:bottom w:w="0" w:type="dxa"/>
            <w:right w:w="108" w:type="dxa"/>
          </w:tblCellMar>
        </w:tblPrEx>
        <w:trPr>
          <w:trHeight w:val="285" w:hRule="atLeast"/>
        </w:trPr>
        <w:tc>
          <w:tcPr>
            <w:tcW w:w="1072" w:type="dxa"/>
            <w:vMerge w:val="continue"/>
            <w:tcBorders>
              <w:top w:val="nil"/>
              <w:left w:val="single" w:color="auto" w:sz="4" w:space="0"/>
              <w:bottom w:val="single" w:color="auto" w:sz="4" w:space="0"/>
              <w:right w:val="single" w:color="auto" w:sz="4" w:space="0"/>
            </w:tcBorders>
            <w:vAlign w:val="center"/>
          </w:tcPr>
          <w:p>
            <w:pPr>
              <w:spacing w:line="360" w:lineRule="auto"/>
            </w:pPr>
          </w:p>
        </w:tc>
        <w:tc>
          <w:tcPr>
            <w:tcW w:w="5737" w:type="dxa"/>
            <w:tcBorders>
              <w:top w:val="single" w:color="auto" w:sz="4" w:space="0"/>
              <w:left w:val="nil"/>
              <w:bottom w:val="single" w:color="auto" w:sz="4" w:space="0"/>
              <w:right w:val="single" w:color="auto" w:sz="4" w:space="0"/>
            </w:tcBorders>
            <w:vAlign w:val="center"/>
          </w:tcPr>
          <w:p>
            <w:pPr>
              <w:spacing w:line="360" w:lineRule="auto"/>
            </w:pPr>
            <w:r>
              <w:rPr>
                <w:rFonts w:hint="eastAsia"/>
              </w:rPr>
              <w:t>主要部分重新设计、但技术可行</w:t>
            </w:r>
          </w:p>
        </w:tc>
        <w:tc>
          <w:tcPr>
            <w:tcW w:w="1560" w:type="dxa"/>
            <w:tcBorders>
              <w:top w:val="single" w:color="auto" w:sz="4" w:space="0"/>
              <w:left w:val="nil"/>
              <w:bottom w:val="single" w:color="auto" w:sz="4" w:space="0"/>
              <w:right w:val="single" w:color="auto" w:sz="4" w:space="0"/>
            </w:tcBorders>
            <w:vAlign w:val="center"/>
          </w:tcPr>
          <w:p>
            <w:pPr>
              <w:spacing w:line="360" w:lineRule="auto"/>
            </w:pPr>
            <w:r>
              <w:rPr>
                <w:rFonts w:hint="eastAsia"/>
              </w:rPr>
              <w:t>中等风险</w:t>
            </w:r>
          </w:p>
        </w:tc>
      </w:tr>
      <w:tr>
        <w:tblPrEx>
          <w:tblLayout w:type="fixed"/>
          <w:tblCellMar>
            <w:top w:w="0" w:type="dxa"/>
            <w:left w:w="108" w:type="dxa"/>
            <w:bottom w:w="0" w:type="dxa"/>
            <w:right w:w="108" w:type="dxa"/>
          </w:tblCellMar>
        </w:tblPrEx>
        <w:trPr>
          <w:trHeight w:val="285" w:hRule="atLeast"/>
        </w:trPr>
        <w:tc>
          <w:tcPr>
            <w:tcW w:w="1072" w:type="dxa"/>
            <w:vMerge w:val="continue"/>
            <w:tcBorders>
              <w:top w:val="nil"/>
              <w:left w:val="single" w:color="auto" w:sz="4" w:space="0"/>
              <w:bottom w:val="single" w:color="auto" w:sz="4" w:space="0"/>
              <w:right w:val="single" w:color="auto" w:sz="4" w:space="0"/>
            </w:tcBorders>
            <w:vAlign w:val="center"/>
          </w:tcPr>
          <w:p>
            <w:pPr>
              <w:spacing w:line="360" w:lineRule="auto"/>
            </w:pPr>
          </w:p>
        </w:tc>
        <w:tc>
          <w:tcPr>
            <w:tcW w:w="5737" w:type="dxa"/>
            <w:tcBorders>
              <w:top w:val="single" w:color="auto" w:sz="4" w:space="0"/>
              <w:left w:val="nil"/>
              <w:bottom w:val="single" w:color="auto" w:sz="4" w:space="0"/>
              <w:right w:val="single" w:color="auto" w:sz="4" w:space="0"/>
            </w:tcBorders>
            <w:vAlign w:val="center"/>
          </w:tcPr>
          <w:p>
            <w:pPr>
              <w:spacing w:line="360" w:lineRule="auto"/>
            </w:pPr>
            <w:r>
              <w:rPr>
                <w:rFonts w:hint="eastAsia"/>
              </w:rPr>
              <w:t>技术可行的复杂设计或最新技术，某些研究已完成</w:t>
            </w:r>
          </w:p>
        </w:tc>
        <w:tc>
          <w:tcPr>
            <w:tcW w:w="1560" w:type="dxa"/>
            <w:tcBorders>
              <w:top w:val="single" w:color="auto" w:sz="4" w:space="0"/>
              <w:left w:val="nil"/>
              <w:bottom w:val="single" w:color="auto" w:sz="4" w:space="0"/>
              <w:right w:val="single" w:color="auto" w:sz="4" w:space="0"/>
            </w:tcBorders>
            <w:vAlign w:val="center"/>
          </w:tcPr>
          <w:p>
            <w:pPr>
              <w:spacing w:line="360" w:lineRule="auto"/>
            </w:pPr>
            <w:r>
              <w:rPr>
                <w:rFonts w:hint="eastAsia"/>
              </w:rPr>
              <w:t>高风险</w:t>
            </w:r>
          </w:p>
        </w:tc>
      </w:tr>
      <w:tr>
        <w:tblPrEx>
          <w:tblLayout w:type="fixed"/>
          <w:tblCellMar>
            <w:top w:w="0" w:type="dxa"/>
            <w:left w:w="108" w:type="dxa"/>
            <w:bottom w:w="0" w:type="dxa"/>
            <w:right w:w="108" w:type="dxa"/>
          </w:tblCellMar>
        </w:tblPrEx>
        <w:trPr>
          <w:trHeight w:val="285" w:hRule="atLeast"/>
        </w:trPr>
        <w:tc>
          <w:tcPr>
            <w:tcW w:w="1072" w:type="dxa"/>
            <w:vMerge w:val="restart"/>
            <w:tcBorders>
              <w:top w:val="nil"/>
              <w:left w:val="single" w:color="auto" w:sz="4" w:space="0"/>
              <w:bottom w:val="single" w:color="auto" w:sz="4" w:space="0"/>
              <w:right w:val="single" w:color="auto" w:sz="4" w:space="0"/>
            </w:tcBorders>
            <w:vAlign w:val="center"/>
          </w:tcPr>
          <w:p>
            <w:pPr>
              <w:spacing w:line="360" w:lineRule="auto"/>
            </w:pPr>
            <w:r>
              <w:rPr>
                <w:rFonts w:hint="eastAsia"/>
              </w:rPr>
              <w:t>复杂性</w:t>
            </w:r>
          </w:p>
        </w:tc>
        <w:tc>
          <w:tcPr>
            <w:tcW w:w="5737" w:type="dxa"/>
            <w:tcBorders>
              <w:top w:val="single" w:color="auto" w:sz="4" w:space="0"/>
              <w:left w:val="nil"/>
              <w:bottom w:val="single" w:color="auto" w:sz="4" w:space="0"/>
              <w:right w:val="single" w:color="auto" w:sz="4" w:space="0"/>
            </w:tcBorders>
            <w:vAlign w:val="center"/>
          </w:tcPr>
          <w:p>
            <w:pPr>
              <w:spacing w:line="360" w:lineRule="auto"/>
            </w:pPr>
            <w:r>
              <w:rPr>
                <w:rFonts w:hint="eastAsia"/>
              </w:rPr>
              <w:t>简单设计或局部增加复杂性</w:t>
            </w:r>
          </w:p>
        </w:tc>
        <w:tc>
          <w:tcPr>
            <w:tcW w:w="1560" w:type="dxa"/>
            <w:tcBorders>
              <w:top w:val="single" w:color="auto" w:sz="4" w:space="0"/>
              <w:left w:val="nil"/>
              <w:bottom w:val="single" w:color="auto" w:sz="4" w:space="0"/>
              <w:right w:val="single" w:color="auto" w:sz="4" w:space="0"/>
            </w:tcBorders>
            <w:vAlign w:val="center"/>
          </w:tcPr>
          <w:p>
            <w:pPr>
              <w:spacing w:line="360" w:lineRule="auto"/>
            </w:pPr>
            <w:r>
              <w:rPr>
                <w:rFonts w:hint="eastAsia"/>
              </w:rPr>
              <w:t>低风险</w:t>
            </w:r>
          </w:p>
        </w:tc>
      </w:tr>
      <w:tr>
        <w:tblPrEx>
          <w:tblLayout w:type="fixed"/>
          <w:tblCellMar>
            <w:top w:w="0" w:type="dxa"/>
            <w:left w:w="108" w:type="dxa"/>
            <w:bottom w:w="0" w:type="dxa"/>
            <w:right w:w="108" w:type="dxa"/>
          </w:tblCellMar>
        </w:tblPrEx>
        <w:trPr>
          <w:trHeight w:val="285" w:hRule="atLeast"/>
        </w:trPr>
        <w:tc>
          <w:tcPr>
            <w:tcW w:w="1072" w:type="dxa"/>
            <w:vMerge w:val="continue"/>
            <w:tcBorders>
              <w:top w:val="nil"/>
              <w:left w:val="single" w:color="auto" w:sz="4" w:space="0"/>
              <w:bottom w:val="single" w:color="auto" w:sz="4" w:space="0"/>
              <w:right w:val="single" w:color="auto" w:sz="4" w:space="0"/>
            </w:tcBorders>
            <w:vAlign w:val="center"/>
          </w:tcPr>
          <w:p>
            <w:pPr>
              <w:spacing w:line="360" w:lineRule="auto"/>
            </w:pPr>
          </w:p>
        </w:tc>
        <w:tc>
          <w:tcPr>
            <w:tcW w:w="5737" w:type="dxa"/>
            <w:tcBorders>
              <w:top w:val="single" w:color="auto" w:sz="4" w:space="0"/>
              <w:left w:val="nil"/>
              <w:bottom w:val="single" w:color="auto" w:sz="4" w:space="0"/>
              <w:right w:val="single" w:color="auto" w:sz="4" w:space="0"/>
            </w:tcBorders>
            <w:vAlign w:val="center"/>
          </w:tcPr>
          <w:p>
            <w:pPr>
              <w:spacing w:line="360" w:lineRule="auto"/>
            </w:pPr>
            <w:r>
              <w:rPr>
                <w:rFonts w:hint="eastAsia"/>
              </w:rPr>
              <w:t>复杂性有中等程度增加</w:t>
            </w:r>
          </w:p>
        </w:tc>
        <w:tc>
          <w:tcPr>
            <w:tcW w:w="1560" w:type="dxa"/>
            <w:tcBorders>
              <w:top w:val="single" w:color="auto" w:sz="4" w:space="0"/>
              <w:left w:val="nil"/>
              <w:bottom w:val="single" w:color="auto" w:sz="4" w:space="0"/>
              <w:right w:val="single" w:color="auto" w:sz="4" w:space="0"/>
            </w:tcBorders>
            <w:vAlign w:val="center"/>
          </w:tcPr>
          <w:p>
            <w:pPr>
              <w:spacing w:line="360" w:lineRule="auto"/>
            </w:pPr>
            <w:r>
              <w:rPr>
                <w:rFonts w:hint="eastAsia"/>
              </w:rPr>
              <w:t>中等风险</w:t>
            </w:r>
          </w:p>
        </w:tc>
      </w:tr>
      <w:tr>
        <w:tblPrEx>
          <w:tblLayout w:type="fixed"/>
          <w:tblCellMar>
            <w:top w:w="0" w:type="dxa"/>
            <w:left w:w="108" w:type="dxa"/>
            <w:bottom w:w="0" w:type="dxa"/>
            <w:right w:w="108" w:type="dxa"/>
          </w:tblCellMar>
        </w:tblPrEx>
        <w:trPr>
          <w:trHeight w:val="285" w:hRule="atLeast"/>
        </w:trPr>
        <w:tc>
          <w:tcPr>
            <w:tcW w:w="1072" w:type="dxa"/>
            <w:vMerge w:val="continue"/>
            <w:tcBorders>
              <w:top w:val="nil"/>
              <w:left w:val="single" w:color="auto" w:sz="4" w:space="0"/>
              <w:bottom w:val="single" w:color="auto" w:sz="4" w:space="0"/>
              <w:right w:val="single" w:color="auto" w:sz="4" w:space="0"/>
            </w:tcBorders>
            <w:vAlign w:val="center"/>
          </w:tcPr>
          <w:p>
            <w:pPr>
              <w:spacing w:line="360" w:lineRule="auto"/>
            </w:pPr>
          </w:p>
        </w:tc>
        <w:tc>
          <w:tcPr>
            <w:tcW w:w="5737" w:type="dxa"/>
            <w:tcBorders>
              <w:top w:val="single" w:color="auto" w:sz="4" w:space="0"/>
              <w:left w:val="nil"/>
              <w:bottom w:val="single" w:color="auto" w:sz="4" w:space="0"/>
              <w:right w:val="single" w:color="auto" w:sz="4" w:space="0"/>
            </w:tcBorders>
            <w:vAlign w:val="center"/>
          </w:tcPr>
          <w:p>
            <w:pPr>
              <w:spacing w:line="360" w:lineRule="auto"/>
            </w:pPr>
            <w:r>
              <w:rPr>
                <w:rFonts w:hint="eastAsia"/>
              </w:rPr>
              <w:t>复杂性显著增加或极其复杂</w:t>
            </w:r>
          </w:p>
        </w:tc>
        <w:tc>
          <w:tcPr>
            <w:tcW w:w="1560" w:type="dxa"/>
            <w:tcBorders>
              <w:top w:val="single" w:color="auto" w:sz="4" w:space="0"/>
              <w:left w:val="nil"/>
              <w:bottom w:val="single" w:color="auto" w:sz="4" w:space="0"/>
              <w:right w:val="single" w:color="auto" w:sz="4" w:space="0"/>
            </w:tcBorders>
            <w:vAlign w:val="center"/>
          </w:tcPr>
          <w:p>
            <w:pPr>
              <w:spacing w:line="360" w:lineRule="auto"/>
            </w:pPr>
            <w:r>
              <w:rPr>
                <w:rFonts w:hint="eastAsia"/>
              </w:rPr>
              <w:t>高风险</w:t>
            </w:r>
          </w:p>
        </w:tc>
      </w:tr>
      <w:tr>
        <w:tblPrEx>
          <w:tblLayout w:type="fixed"/>
          <w:tblCellMar>
            <w:top w:w="0" w:type="dxa"/>
            <w:left w:w="108" w:type="dxa"/>
            <w:bottom w:w="0" w:type="dxa"/>
            <w:right w:w="108" w:type="dxa"/>
          </w:tblCellMar>
        </w:tblPrEx>
        <w:trPr>
          <w:trHeight w:val="480" w:hRule="atLeast"/>
        </w:trPr>
        <w:tc>
          <w:tcPr>
            <w:tcW w:w="1072" w:type="dxa"/>
            <w:vMerge w:val="restart"/>
            <w:tcBorders>
              <w:top w:val="nil"/>
              <w:left w:val="single" w:color="auto" w:sz="4" w:space="0"/>
              <w:bottom w:val="single" w:color="auto" w:sz="4" w:space="0"/>
              <w:right w:val="single" w:color="auto" w:sz="4" w:space="0"/>
            </w:tcBorders>
            <w:vAlign w:val="center"/>
          </w:tcPr>
          <w:p>
            <w:pPr>
              <w:spacing w:line="360" w:lineRule="auto"/>
            </w:pPr>
            <w:r>
              <w:rPr>
                <w:rFonts w:hint="eastAsia"/>
              </w:rPr>
              <w:t>相关性</w:t>
            </w:r>
          </w:p>
        </w:tc>
        <w:tc>
          <w:tcPr>
            <w:tcW w:w="5737" w:type="dxa"/>
            <w:tcBorders>
              <w:top w:val="single" w:color="auto" w:sz="4" w:space="0"/>
              <w:left w:val="nil"/>
              <w:bottom w:val="single" w:color="auto" w:sz="4" w:space="0"/>
              <w:right w:val="single" w:color="auto" w:sz="4" w:space="0"/>
            </w:tcBorders>
            <w:vAlign w:val="center"/>
          </w:tcPr>
          <w:p>
            <w:pPr>
              <w:spacing w:line="360" w:lineRule="auto"/>
            </w:pPr>
            <w:r>
              <w:rPr>
                <w:rFonts w:hint="eastAsia"/>
              </w:rPr>
              <w:t>与现有系统、设施或相关的研制单位无关或进度取决于现有的系统设施或相关的研制单位</w:t>
            </w:r>
          </w:p>
        </w:tc>
        <w:tc>
          <w:tcPr>
            <w:tcW w:w="1560" w:type="dxa"/>
            <w:tcBorders>
              <w:top w:val="single" w:color="auto" w:sz="4" w:space="0"/>
              <w:left w:val="nil"/>
              <w:bottom w:val="single" w:color="auto" w:sz="4" w:space="0"/>
              <w:right w:val="single" w:color="auto" w:sz="4" w:space="0"/>
            </w:tcBorders>
            <w:vAlign w:val="center"/>
          </w:tcPr>
          <w:p>
            <w:pPr>
              <w:spacing w:line="360" w:lineRule="auto"/>
            </w:pPr>
            <w:r>
              <w:rPr>
                <w:rFonts w:hint="eastAsia"/>
              </w:rPr>
              <w:t>低风险</w:t>
            </w:r>
          </w:p>
        </w:tc>
      </w:tr>
      <w:tr>
        <w:tblPrEx>
          <w:tblLayout w:type="fixed"/>
          <w:tblCellMar>
            <w:top w:w="0" w:type="dxa"/>
            <w:left w:w="108" w:type="dxa"/>
            <w:bottom w:w="0" w:type="dxa"/>
            <w:right w:w="108" w:type="dxa"/>
          </w:tblCellMar>
        </w:tblPrEx>
        <w:trPr>
          <w:trHeight w:val="285" w:hRule="atLeast"/>
        </w:trPr>
        <w:tc>
          <w:tcPr>
            <w:tcW w:w="1072" w:type="dxa"/>
            <w:vMerge w:val="continue"/>
            <w:tcBorders>
              <w:top w:val="nil"/>
              <w:left w:val="single" w:color="auto" w:sz="4" w:space="0"/>
              <w:bottom w:val="single" w:color="auto" w:sz="4" w:space="0"/>
              <w:right w:val="single" w:color="auto" w:sz="4" w:space="0"/>
            </w:tcBorders>
            <w:vAlign w:val="center"/>
          </w:tcPr>
          <w:p>
            <w:pPr>
              <w:spacing w:line="360" w:lineRule="auto"/>
            </w:pPr>
          </w:p>
        </w:tc>
        <w:tc>
          <w:tcPr>
            <w:tcW w:w="5737" w:type="dxa"/>
            <w:tcBorders>
              <w:top w:val="single" w:color="auto" w:sz="4" w:space="0"/>
              <w:left w:val="nil"/>
              <w:bottom w:val="single" w:color="auto" w:sz="4" w:space="0"/>
              <w:right w:val="single" w:color="auto" w:sz="4" w:space="0"/>
            </w:tcBorders>
            <w:vAlign w:val="center"/>
          </w:tcPr>
          <w:p>
            <w:pPr>
              <w:spacing w:line="360" w:lineRule="auto"/>
            </w:pPr>
            <w:r>
              <w:rPr>
                <w:rFonts w:hint="eastAsia"/>
              </w:rPr>
              <w:t>性能取决于现有系统性能、设施或相关的研制单位</w:t>
            </w:r>
          </w:p>
        </w:tc>
        <w:tc>
          <w:tcPr>
            <w:tcW w:w="1560" w:type="dxa"/>
            <w:tcBorders>
              <w:top w:val="single" w:color="auto" w:sz="4" w:space="0"/>
              <w:left w:val="nil"/>
              <w:bottom w:val="single" w:color="auto" w:sz="4" w:space="0"/>
              <w:right w:val="single" w:color="auto" w:sz="4" w:space="0"/>
            </w:tcBorders>
            <w:vAlign w:val="center"/>
          </w:tcPr>
          <w:p>
            <w:pPr>
              <w:spacing w:line="360" w:lineRule="auto"/>
            </w:pPr>
            <w:r>
              <w:rPr>
                <w:rFonts w:hint="eastAsia"/>
              </w:rPr>
              <w:t>中等风险</w:t>
            </w:r>
          </w:p>
        </w:tc>
      </w:tr>
      <w:tr>
        <w:tblPrEx>
          <w:tblLayout w:type="fixed"/>
          <w:tblCellMar>
            <w:top w:w="0" w:type="dxa"/>
            <w:left w:w="108" w:type="dxa"/>
            <w:bottom w:w="0" w:type="dxa"/>
            <w:right w:w="108" w:type="dxa"/>
          </w:tblCellMar>
        </w:tblPrEx>
        <w:trPr>
          <w:trHeight w:val="480" w:hRule="atLeast"/>
        </w:trPr>
        <w:tc>
          <w:tcPr>
            <w:tcW w:w="1072" w:type="dxa"/>
            <w:vMerge w:val="continue"/>
            <w:tcBorders>
              <w:top w:val="nil"/>
              <w:left w:val="single" w:color="auto" w:sz="4" w:space="0"/>
              <w:bottom w:val="single" w:color="auto" w:sz="4" w:space="0"/>
              <w:right w:val="single" w:color="auto" w:sz="4" w:space="0"/>
            </w:tcBorders>
            <w:vAlign w:val="center"/>
          </w:tcPr>
          <w:p>
            <w:pPr>
              <w:spacing w:line="360" w:lineRule="auto"/>
            </w:pPr>
          </w:p>
        </w:tc>
        <w:tc>
          <w:tcPr>
            <w:tcW w:w="5737" w:type="dxa"/>
            <w:tcBorders>
              <w:top w:val="single" w:color="auto" w:sz="4" w:space="0"/>
              <w:left w:val="nil"/>
              <w:bottom w:val="single" w:color="auto" w:sz="4" w:space="0"/>
              <w:right w:val="single" w:color="auto" w:sz="4" w:space="0"/>
            </w:tcBorders>
            <w:vAlign w:val="center"/>
          </w:tcPr>
          <w:p>
            <w:pPr>
              <w:spacing w:line="360" w:lineRule="auto"/>
            </w:pPr>
            <w:r>
              <w:rPr>
                <w:rFonts w:hint="eastAsia"/>
              </w:rPr>
              <w:t>进度取决于新系统的进度、设施或相关的研制单位或性能取决于新系统的性能、设施或相关的研制单位</w:t>
            </w:r>
          </w:p>
        </w:tc>
        <w:tc>
          <w:tcPr>
            <w:tcW w:w="1560" w:type="dxa"/>
            <w:tcBorders>
              <w:top w:val="single" w:color="auto" w:sz="4" w:space="0"/>
              <w:left w:val="nil"/>
              <w:bottom w:val="single" w:color="auto" w:sz="4" w:space="0"/>
              <w:right w:val="single" w:color="auto" w:sz="4" w:space="0"/>
            </w:tcBorders>
            <w:vAlign w:val="center"/>
          </w:tcPr>
          <w:p>
            <w:pPr>
              <w:spacing w:line="360" w:lineRule="auto"/>
            </w:pPr>
            <w:r>
              <w:rPr>
                <w:rFonts w:hint="eastAsia"/>
              </w:rPr>
              <w:t>高风险</w:t>
            </w:r>
          </w:p>
        </w:tc>
      </w:tr>
    </w:tbl>
    <w:p>
      <w:pPr>
        <w:spacing w:line="360" w:lineRule="auto"/>
        <w:rPr>
          <w:sz w:val="24"/>
          <w:szCs w:val="24"/>
        </w:rPr>
      </w:pPr>
      <w:r>
        <w:rPr>
          <w:rFonts w:hint="eastAsia"/>
          <w:sz w:val="24"/>
          <w:szCs w:val="24"/>
        </w:rPr>
        <w:t>三、管理风险</w:t>
      </w:r>
    </w:p>
    <w:p>
      <w:pPr>
        <w:spacing w:line="360" w:lineRule="auto"/>
        <w:ind w:firstLine="480" w:firstLineChars="200"/>
        <w:rPr>
          <w:sz w:val="24"/>
          <w:szCs w:val="24"/>
        </w:rPr>
      </w:pPr>
      <w:r>
        <w:rPr>
          <w:rFonts w:hint="eastAsia"/>
          <w:sz w:val="24"/>
          <w:szCs w:val="24"/>
        </w:rPr>
        <w:t>管理风险是指由于项目建设的管理职能与管理对象（如管理组织、领导素质、实施管理计划）等因素的状况及其可能的变化，给项目建设带来的风险。</w:t>
      </w:r>
    </w:p>
    <w:p>
      <w:pPr>
        <w:spacing w:line="360" w:lineRule="auto"/>
        <w:ind w:firstLine="480" w:firstLineChars="200"/>
        <w:rPr>
          <w:sz w:val="24"/>
          <w:szCs w:val="24"/>
        </w:rPr>
      </w:pPr>
      <w:r>
        <w:rPr>
          <w:rFonts w:hint="eastAsia"/>
          <w:sz w:val="24"/>
          <w:szCs w:val="24"/>
        </w:rPr>
        <w:t>管理风险内容较多，又可以进一步细分为组织及人员风险、进度风险、费用风险等。</w:t>
      </w:r>
    </w:p>
    <w:p>
      <w:pPr>
        <w:spacing w:line="360" w:lineRule="auto"/>
        <w:rPr>
          <w:sz w:val="24"/>
          <w:szCs w:val="24"/>
        </w:rPr>
      </w:pPr>
      <w:r>
        <w:rPr>
          <w:rFonts w:hint="eastAsia"/>
          <w:sz w:val="24"/>
          <w:szCs w:val="24"/>
        </w:rPr>
        <w:t>（一）组织及人员风险</w:t>
      </w:r>
    </w:p>
    <w:p>
      <w:pPr>
        <w:spacing w:line="360" w:lineRule="auto"/>
        <w:ind w:firstLine="480" w:firstLineChars="200"/>
        <w:rPr>
          <w:sz w:val="24"/>
          <w:szCs w:val="24"/>
        </w:rPr>
      </w:pPr>
      <w:r>
        <w:rPr>
          <w:rFonts w:hint="eastAsia"/>
          <w:sz w:val="24"/>
          <w:szCs w:val="24"/>
        </w:rPr>
        <w:t>组织风险主要包括由于组织内部成员对目标未达成一致，管理高层对项目不重视，资源配置不合理、工程参与人员知识与技能欠缺、项目协调机制不健全、团队合作精神不足、人员激励机制不当等因素导致建设队伍不稳定、职责不清、协同不畅，与其它项目存在资源冲突等。</w:t>
      </w:r>
    </w:p>
    <w:p>
      <w:pPr>
        <w:spacing w:line="360" w:lineRule="auto"/>
        <w:ind w:firstLine="480" w:firstLineChars="200"/>
      </w:pPr>
      <w:r>
        <w:rPr>
          <w:rFonts w:hint="eastAsia"/>
          <w:sz w:val="24"/>
          <w:szCs w:val="24"/>
        </w:rPr>
        <w:t>主要的组织及人员风险的级别描述如下表所示。</w:t>
      </w:r>
    </w:p>
    <w:tbl>
      <w:tblPr>
        <w:tblStyle w:val="34"/>
        <w:tblW w:w="8364" w:type="dxa"/>
        <w:tblInd w:w="108" w:type="dxa"/>
        <w:tblLayout w:type="fixed"/>
        <w:tblCellMar>
          <w:top w:w="0" w:type="dxa"/>
          <w:left w:w="108" w:type="dxa"/>
          <w:bottom w:w="0" w:type="dxa"/>
          <w:right w:w="108" w:type="dxa"/>
        </w:tblCellMar>
      </w:tblPr>
      <w:tblGrid>
        <w:gridCol w:w="1625"/>
        <w:gridCol w:w="5321"/>
        <w:gridCol w:w="1418"/>
      </w:tblGrid>
      <w:tr>
        <w:tblPrEx>
          <w:tblLayout w:type="fixed"/>
          <w:tblCellMar>
            <w:top w:w="0" w:type="dxa"/>
            <w:left w:w="108" w:type="dxa"/>
            <w:bottom w:w="0" w:type="dxa"/>
            <w:right w:w="108" w:type="dxa"/>
          </w:tblCellMar>
        </w:tblPrEx>
        <w:trPr>
          <w:trHeight w:val="390" w:hRule="atLeast"/>
          <w:tblHeader/>
        </w:trPr>
        <w:tc>
          <w:tcPr>
            <w:tcW w:w="6946" w:type="dxa"/>
            <w:gridSpan w:val="2"/>
            <w:tcBorders>
              <w:top w:val="single" w:color="auto" w:sz="8" w:space="0"/>
              <w:left w:val="single" w:color="auto" w:sz="8" w:space="0"/>
              <w:bottom w:val="single" w:color="auto" w:sz="8" w:space="0"/>
              <w:right w:val="single" w:color="000000" w:sz="4" w:space="0"/>
            </w:tcBorders>
            <w:shd w:val="clear" w:color="auto" w:fill="D9D9D9"/>
            <w:vAlign w:val="center"/>
          </w:tcPr>
          <w:p>
            <w:pPr>
              <w:spacing w:line="360" w:lineRule="auto"/>
            </w:pPr>
            <w:r>
              <w:rPr>
                <w:rFonts w:hint="eastAsia"/>
              </w:rPr>
              <w:t>管理风险</w:t>
            </w:r>
          </w:p>
        </w:tc>
        <w:tc>
          <w:tcPr>
            <w:tcW w:w="1418" w:type="dxa"/>
            <w:tcBorders>
              <w:top w:val="single" w:color="auto" w:sz="8" w:space="0"/>
              <w:left w:val="nil"/>
              <w:bottom w:val="single" w:color="auto" w:sz="8" w:space="0"/>
              <w:right w:val="single" w:color="auto" w:sz="8" w:space="0"/>
            </w:tcBorders>
            <w:shd w:val="clear" w:color="auto" w:fill="D9D9D9"/>
            <w:vAlign w:val="center"/>
          </w:tcPr>
          <w:p>
            <w:pPr>
              <w:spacing w:line="360" w:lineRule="auto"/>
            </w:pPr>
            <w:r>
              <w:rPr>
                <w:rFonts w:hint="eastAsia"/>
              </w:rPr>
              <w:t>风险级别</w:t>
            </w:r>
          </w:p>
        </w:tc>
      </w:tr>
      <w:tr>
        <w:tblPrEx>
          <w:tblLayout w:type="fixed"/>
          <w:tblCellMar>
            <w:top w:w="0" w:type="dxa"/>
            <w:left w:w="108" w:type="dxa"/>
            <w:bottom w:w="0" w:type="dxa"/>
            <w:right w:w="108" w:type="dxa"/>
          </w:tblCellMar>
        </w:tblPrEx>
        <w:trPr>
          <w:trHeight w:val="270" w:hRule="atLeast"/>
        </w:trPr>
        <w:tc>
          <w:tcPr>
            <w:tcW w:w="1625" w:type="dxa"/>
            <w:vMerge w:val="restart"/>
            <w:tcBorders>
              <w:top w:val="nil"/>
              <w:left w:val="single" w:color="auto" w:sz="8" w:space="0"/>
              <w:bottom w:val="single" w:color="000000" w:sz="4" w:space="0"/>
              <w:right w:val="single" w:color="auto" w:sz="4" w:space="0"/>
            </w:tcBorders>
            <w:vAlign w:val="center"/>
          </w:tcPr>
          <w:p>
            <w:pPr>
              <w:spacing w:line="360" w:lineRule="auto"/>
            </w:pPr>
            <w:r>
              <w:rPr>
                <w:rFonts w:hint="eastAsia"/>
              </w:rPr>
              <w:t>领导素质影响</w:t>
            </w:r>
          </w:p>
        </w:tc>
        <w:tc>
          <w:tcPr>
            <w:tcW w:w="5321" w:type="dxa"/>
            <w:tcBorders>
              <w:top w:val="nil"/>
              <w:left w:val="nil"/>
              <w:bottom w:val="single" w:color="auto" w:sz="4" w:space="0"/>
              <w:right w:val="single" w:color="auto" w:sz="4" w:space="0"/>
            </w:tcBorders>
            <w:vAlign w:val="center"/>
          </w:tcPr>
          <w:p>
            <w:pPr>
              <w:spacing w:line="360" w:lineRule="auto"/>
            </w:pPr>
            <w:r>
              <w:rPr>
                <w:rFonts w:hint="eastAsia"/>
              </w:rPr>
              <w:t>领导者决策能力强,很有威望</w:t>
            </w:r>
          </w:p>
        </w:tc>
        <w:tc>
          <w:tcPr>
            <w:tcW w:w="1418" w:type="dxa"/>
            <w:tcBorders>
              <w:top w:val="nil"/>
              <w:left w:val="nil"/>
              <w:bottom w:val="single" w:color="auto" w:sz="4" w:space="0"/>
              <w:right w:val="single" w:color="auto" w:sz="8" w:space="0"/>
            </w:tcBorders>
            <w:vAlign w:val="center"/>
          </w:tcPr>
          <w:p>
            <w:pPr>
              <w:spacing w:line="360" w:lineRule="auto"/>
            </w:pPr>
            <w:r>
              <w:rPr>
                <w:rFonts w:hint="eastAsia"/>
              </w:rPr>
              <w:t>低风险</w:t>
            </w:r>
          </w:p>
        </w:tc>
      </w:tr>
      <w:tr>
        <w:tblPrEx>
          <w:tblLayout w:type="fixed"/>
          <w:tblCellMar>
            <w:top w:w="0" w:type="dxa"/>
            <w:left w:w="108" w:type="dxa"/>
            <w:bottom w:w="0" w:type="dxa"/>
            <w:right w:w="108" w:type="dxa"/>
          </w:tblCellMar>
        </w:tblPrEx>
        <w:trPr>
          <w:trHeight w:val="270" w:hRule="atLeast"/>
        </w:trPr>
        <w:tc>
          <w:tcPr>
            <w:tcW w:w="1625" w:type="dxa"/>
            <w:vMerge w:val="continue"/>
            <w:tcBorders>
              <w:top w:val="nil"/>
              <w:left w:val="single" w:color="auto" w:sz="8" w:space="0"/>
              <w:bottom w:val="single" w:color="000000" w:sz="4" w:space="0"/>
              <w:right w:val="single" w:color="auto" w:sz="4" w:space="0"/>
            </w:tcBorders>
            <w:vAlign w:val="center"/>
          </w:tcPr>
          <w:p>
            <w:pPr>
              <w:spacing w:line="360" w:lineRule="auto"/>
            </w:pPr>
          </w:p>
        </w:tc>
        <w:tc>
          <w:tcPr>
            <w:tcW w:w="5321" w:type="dxa"/>
            <w:tcBorders>
              <w:top w:val="nil"/>
              <w:left w:val="nil"/>
              <w:bottom w:val="single" w:color="auto" w:sz="4" w:space="0"/>
              <w:right w:val="single" w:color="auto" w:sz="4" w:space="0"/>
            </w:tcBorders>
            <w:vAlign w:val="center"/>
          </w:tcPr>
          <w:p>
            <w:pPr>
              <w:spacing w:line="360" w:lineRule="auto"/>
            </w:pPr>
            <w:r>
              <w:rPr>
                <w:rFonts w:hint="eastAsia"/>
              </w:rPr>
              <w:t>领导者决策能力较强,威望一般</w:t>
            </w:r>
          </w:p>
        </w:tc>
        <w:tc>
          <w:tcPr>
            <w:tcW w:w="1418" w:type="dxa"/>
            <w:tcBorders>
              <w:top w:val="nil"/>
              <w:left w:val="nil"/>
              <w:bottom w:val="single" w:color="auto" w:sz="4" w:space="0"/>
              <w:right w:val="single" w:color="auto" w:sz="8" w:space="0"/>
            </w:tcBorders>
            <w:vAlign w:val="center"/>
          </w:tcPr>
          <w:p>
            <w:pPr>
              <w:spacing w:line="360" w:lineRule="auto"/>
            </w:pPr>
            <w:r>
              <w:rPr>
                <w:rFonts w:hint="eastAsia"/>
              </w:rPr>
              <w:t>中等风险</w:t>
            </w:r>
          </w:p>
        </w:tc>
      </w:tr>
      <w:tr>
        <w:tblPrEx>
          <w:tblLayout w:type="fixed"/>
          <w:tblCellMar>
            <w:top w:w="0" w:type="dxa"/>
            <w:left w:w="108" w:type="dxa"/>
            <w:bottom w:w="0" w:type="dxa"/>
            <w:right w:w="108" w:type="dxa"/>
          </w:tblCellMar>
        </w:tblPrEx>
        <w:trPr>
          <w:trHeight w:val="270" w:hRule="atLeast"/>
        </w:trPr>
        <w:tc>
          <w:tcPr>
            <w:tcW w:w="1625" w:type="dxa"/>
            <w:vMerge w:val="continue"/>
            <w:tcBorders>
              <w:top w:val="nil"/>
              <w:left w:val="single" w:color="auto" w:sz="8" w:space="0"/>
              <w:bottom w:val="single" w:color="000000" w:sz="4" w:space="0"/>
              <w:right w:val="single" w:color="auto" w:sz="4" w:space="0"/>
            </w:tcBorders>
            <w:vAlign w:val="center"/>
          </w:tcPr>
          <w:p>
            <w:pPr>
              <w:spacing w:line="360" w:lineRule="auto"/>
            </w:pPr>
          </w:p>
        </w:tc>
        <w:tc>
          <w:tcPr>
            <w:tcW w:w="5321" w:type="dxa"/>
            <w:tcBorders>
              <w:top w:val="nil"/>
              <w:left w:val="nil"/>
              <w:bottom w:val="single" w:color="auto" w:sz="4" w:space="0"/>
              <w:right w:val="single" w:color="auto" w:sz="4" w:space="0"/>
            </w:tcBorders>
            <w:vAlign w:val="center"/>
          </w:tcPr>
          <w:p>
            <w:pPr>
              <w:spacing w:line="360" w:lineRule="auto"/>
            </w:pPr>
            <w:r>
              <w:rPr>
                <w:rFonts w:hint="eastAsia"/>
              </w:rPr>
              <w:t>领导者决策能力一般,同时也没什么威望</w:t>
            </w:r>
          </w:p>
        </w:tc>
        <w:tc>
          <w:tcPr>
            <w:tcW w:w="1418" w:type="dxa"/>
            <w:tcBorders>
              <w:top w:val="nil"/>
              <w:left w:val="nil"/>
              <w:bottom w:val="single" w:color="auto" w:sz="4" w:space="0"/>
              <w:right w:val="single" w:color="auto" w:sz="8" w:space="0"/>
            </w:tcBorders>
            <w:vAlign w:val="center"/>
          </w:tcPr>
          <w:p>
            <w:pPr>
              <w:spacing w:line="360" w:lineRule="auto"/>
            </w:pPr>
            <w:r>
              <w:rPr>
                <w:rFonts w:hint="eastAsia"/>
              </w:rPr>
              <w:t>高风险</w:t>
            </w:r>
          </w:p>
        </w:tc>
      </w:tr>
      <w:tr>
        <w:tblPrEx>
          <w:tblLayout w:type="fixed"/>
          <w:tblCellMar>
            <w:top w:w="0" w:type="dxa"/>
            <w:left w:w="108" w:type="dxa"/>
            <w:bottom w:w="0" w:type="dxa"/>
            <w:right w:w="108" w:type="dxa"/>
          </w:tblCellMar>
        </w:tblPrEx>
        <w:trPr>
          <w:trHeight w:val="540" w:hRule="atLeast"/>
        </w:trPr>
        <w:tc>
          <w:tcPr>
            <w:tcW w:w="1625" w:type="dxa"/>
            <w:vMerge w:val="restart"/>
            <w:tcBorders>
              <w:top w:val="nil"/>
              <w:left w:val="single" w:color="auto" w:sz="8" w:space="0"/>
              <w:bottom w:val="single" w:color="000000" w:sz="4" w:space="0"/>
              <w:right w:val="single" w:color="auto" w:sz="4" w:space="0"/>
            </w:tcBorders>
            <w:vAlign w:val="center"/>
          </w:tcPr>
          <w:p>
            <w:pPr>
              <w:spacing w:line="360" w:lineRule="auto"/>
            </w:pPr>
            <w:r>
              <w:rPr>
                <w:rFonts w:hint="eastAsia"/>
              </w:rPr>
              <w:t>组织机构影响</w:t>
            </w:r>
          </w:p>
        </w:tc>
        <w:tc>
          <w:tcPr>
            <w:tcW w:w="5321" w:type="dxa"/>
            <w:tcBorders>
              <w:top w:val="nil"/>
              <w:left w:val="nil"/>
              <w:bottom w:val="single" w:color="auto" w:sz="4" w:space="0"/>
              <w:right w:val="single" w:color="auto" w:sz="4" w:space="0"/>
            </w:tcBorders>
            <w:vAlign w:val="center"/>
          </w:tcPr>
          <w:p>
            <w:pPr>
              <w:spacing w:line="360" w:lineRule="auto"/>
            </w:pPr>
            <w:r>
              <w:rPr>
                <w:rFonts w:hint="eastAsia"/>
              </w:rPr>
              <w:t>组织机构健全,各机构间配合密切、融洽，运作效率高</w:t>
            </w:r>
          </w:p>
        </w:tc>
        <w:tc>
          <w:tcPr>
            <w:tcW w:w="1418" w:type="dxa"/>
            <w:tcBorders>
              <w:top w:val="nil"/>
              <w:left w:val="nil"/>
              <w:bottom w:val="single" w:color="auto" w:sz="4" w:space="0"/>
              <w:right w:val="single" w:color="auto" w:sz="8" w:space="0"/>
            </w:tcBorders>
            <w:vAlign w:val="center"/>
          </w:tcPr>
          <w:p>
            <w:pPr>
              <w:spacing w:line="360" w:lineRule="auto"/>
            </w:pPr>
            <w:r>
              <w:rPr>
                <w:rFonts w:hint="eastAsia"/>
              </w:rPr>
              <w:t>低风险</w:t>
            </w:r>
          </w:p>
        </w:tc>
      </w:tr>
      <w:tr>
        <w:tblPrEx>
          <w:tblLayout w:type="fixed"/>
          <w:tblCellMar>
            <w:top w:w="0" w:type="dxa"/>
            <w:left w:w="108" w:type="dxa"/>
            <w:bottom w:w="0" w:type="dxa"/>
            <w:right w:w="108" w:type="dxa"/>
          </w:tblCellMar>
        </w:tblPrEx>
        <w:trPr>
          <w:trHeight w:val="270" w:hRule="atLeast"/>
        </w:trPr>
        <w:tc>
          <w:tcPr>
            <w:tcW w:w="1625" w:type="dxa"/>
            <w:vMerge w:val="continue"/>
            <w:tcBorders>
              <w:top w:val="nil"/>
              <w:left w:val="single" w:color="auto" w:sz="8" w:space="0"/>
              <w:bottom w:val="single" w:color="000000" w:sz="4" w:space="0"/>
              <w:right w:val="single" w:color="auto" w:sz="4" w:space="0"/>
            </w:tcBorders>
            <w:vAlign w:val="center"/>
          </w:tcPr>
          <w:p>
            <w:pPr>
              <w:spacing w:line="360" w:lineRule="auto"/>
            </w:pPr>
          </w:p>
        </w:tc>
        <w:tc>
          <w:tcPr>
            <w:tcW w:w="5321" w:type="dxa"/>
            <w:tcBorders>
              <w:top w:val="nil"/>
              <w:left w:val="nil"/>
              <w:bottom w:val="single" w:color="auto" w:sz="4" w:space="0"/>
              <w:right w:val="single" w:color="auto" w:sz="4" w:space="0"/>
            </w:tcBorders>
            <w:vAlign w:val="center"/>
          </w:tcPr>
          <w:p>
            <w:pPr>
              <w:spacing w:line="360" w:lineRule="auto"/>
            </w:pPr>
            <w:r>
              <w:rPr>
                <w:rFonts w:hint="eastAsia"/>
              </w:rPr>
              <w:t>组织机构基本完善，运作效率一般</w:t>
            </w:r>
          </w:p>
        </w:tc>
        <w:tc>
          <w:tcPr>
            <w:tcW w:w="1418" w:type="dxa"/>
            <w:tcBorders>
              <w:top w:val="nil"/>
              <w:left w:val="nil"/>
              <w:bottom w:val="single" w:color="auto" w:sz="4" w:space="0"/>
              <w:right w:val="single" w:color="auto" w:sz="8" w:space="0"/>
            </w:tcBorders>
            <w:vAlign w:val="center"/>
          </w:tcPr>
          <w:p>
            <w:pPr>
              <w:spacing w:line="360" w:lineRule="auto"/>
            </w:pPr>
            <w:r>
              <w:rPr>
                <w:rFonts w:hint="eastAsia"/>
              </w:rPr>
              <w:t>中等风险</w:t>
            </w:r>
          </w:p>
        </w:tc>
      </w:tr>
      <w:tr>
        <w:tblPrEx>
          <w:tblLayout w:type="fixed"/>
          <w:tblCellMar>
            <w:top w:w="0" w:type="dxa"/>
            <w:left w:w="108" w:type="dxa"/>
            <w:bottom w:w="0" w:type="dxa"/>
            <w:right w:w="108" w:type="dxa"/>
          </w:tblCellMar>
        </w:tblPrEx>
        <w:trPr>
          <w:trHeight w:val="270" w:hRule="atLeast"/>
        </w:trPr>
        <w:tc>
          <w:tcPr>
            <w:tcW w:w="1625" w:type="dxa"/>
            <w:vMerge w:val="continue"/>
            <w:tcBorders>
              <w:top w:val="nil"/>
              <w:left w:val="single" w:color="auto" w:sz="8" w:space="0"/>
              <w:bottom w:val="single" w:color="000000" w:sz="4" w:space="0"/>
              <w:right w:val="single" w:color="auto" w:sz="4" w:space="0"/>
            </w:tcBorders>
            <w:vAlign w:val="center"/>
          </w:tcPr>
          <w:p>
            <w:pPr>
              <w:spacing w:line="360" w:lineRule="auto"/>
            </w:pPr>
          </w:p>
        </w:tc>
        <w:tc>
          <w:tcPr>
            <w:tcW w:w="5321" w:type="dxa"/>
            <w:tcBorders>
              <w:top w:val="nil"/>
              <w:left w:val="nil"/>
              <w:bottom w:val="single" w:color="auto" w:sz="4" w:space="0"/>
              <w:right w:val="single" w:color="auto" w:sz="4" w:space="0"/>
            </w:tcBorders>
            <w:vAlign w:val="center"/>
          </w:tcPr>
          <w:p>
            <w:pPr>
              <w:spacing w:line="360" w:lineRule="auto"/>
            </w:pPr>
            <w:r>
              <w:rPr>
                <w:rFonts w:hint="eastAsia"/>
              </w:rPr>
              <w:t>组织机构不完善，或虽完善但运作效率很低</w:t>
            </w:r>
          </w:p>
        </w:tc>
        <w:tc>
          <w:tcPr>
            <w:tcW w:w="1418" w:type="dxa"/>
            <w:tcBorders>
              <w:top w:val="nil"/>
              <w:left w:val="nil"/>
              <w:bottom w:val="single" w:color="auto" w:sz="4" w:space="0"/>
              <w:right w:val="single" w:color="auto" w:sz="8" w:space="0"/>
            </w:tcBorders>
            <w:vAlign w:val="center"/>
          </w:tcPr>
          <w:p>
            <w:pPr>
              <w:spacing w:line="360" w:lineRule="auto"/>
            </w:pPr>
            <w:r>
              <w:rPr>
                <w:rFonts w:hint="eastAsia"/>
              </w:rPr>
              <w:t>高风险</w:t>
            </w:r>
          </w:p>
        </w:tc>
      </w:tr>
      <w:tr>
        <w:tblPrEx>
          <w:tblLayout w:type="fixed"/>
          <w:tblCellMar>
            <w:top w:w="0" w:type="dxa"/>
            <w:left w:w="108" w:type="dxa"/>
            <w:bottom w:w="0" w:type="dxa"/>
            <w:right w:w="108" w:type="dxa"/>
          </w:tblCellMar>
        </w:tblPrEx>
        <w:trPr>
          <w:trHeight w:val="540" w:hRule="atLeast"/>
        </w:trPr>
        <w:tc>
          <w:tcPr>
            <w:tcW w:w="1625" w:type="dxa"/>
            <w:vMerge w:val="restart"/>
            <w:tcBorders>
              <w:top w:val="nil"/>
              <w:left w:val="single" w:color="auto" w:sz="8" w:space="0"/>
              <w:bottom w:val="single" w:color="000000" w:sz="4" w:space="0"/>
              <w:right w:val="single" w:color="auto" w:sz="4" w:space="0"/>
            </w:tcBorders>
            <w:vAlign w:val="center"/>
          </w:tcPr>
          <w:p>
            <w:pPr>
              <w:spacing w:line="360" w:lineRule="auto"/>
            </w:pPr>
            <w:r>
              <w:rPr>
                <w:rFonts w:hint="eastAsia"/>
              </w:rPr>
              <w:t>研发人员素质</w:t>
            </w:r>
          </w:p>
        </w:tc>
        <w:tc>
          <w:tcPr>
            <w:tcW w:w="5321" w:type="dxa"/>
            <w:tcBorders>
              <w:top w:val="nil"/>
              <w:left w:val="nil"/>
              <w:bottom w:val="single" w:color="auto" w:sz="4" w:space="0"/>
              <w:right w:val="single" w:color="auto" w:sz="4" w:space="0"/>
            </w:tcBorders>
            <w:vAlign w:val="center"/>
          </w:tcPr>
          <w:p>
            <w:pPr>
              <w:spacing w:line="360" w:lineRule="auto"/>
            </w:pPr>
            <w:r>
              <w:rPr>
                <w:rFonts w:hint="eastAsia"/>
              </w:rPr>
              <w:t>研发人员整体素质高，且人员之间协作能力强</w:t>
            </w:r>
          </w:p>
        </w:tc>
        <w:tc>
          <w:tcPr>
            <w:tcW w:w="1418" w:type="dxa"/>
            <w:tcBorders>
              <w:top w:val="nil"/>
              <w:left w:val="nil"/>
              <w:bottom w:val="single" w:color="auto" w:sz="4" w:space="0"/>
              <w:right w:val="single" w:color="auto" w:sz="8" w:space="0"/>
            </w:tcBorders>
            <w:vAlign w:val="center"/>
          </w:tcPr>
          <w:p>
            <w:pPr>
              <w:spacing w:line="360" w:lineRule="auto"/>
            </w:pPr>
            <w:r>
              <w:rPr>
                <w:rFonts w:hint="eastAsia"/>
              </w:rPr>
              <w:t>低风险</w:t>
            </w:r>
          </w:p>
        </w:tc>
      </w:tr>
      <w:tr>
        <w:tblPrEx>
          <w:tblLayout w:type="fixed"/>
          <w:tblCellMar>
            <w:top w:w="0" w:type="dxa"/>
            <w:left w:w="108" w:type="dxa"/>
            <w:bottom w:w="0" w:type="dxa"/>
            <w:right w:w="108" w:type="dxa"/>
          </w:tblCellMar>
        </w:tblPrEx>
        <w:trPr>
          <w:trHeight w:val="540" w:hRule="atLeast"/>
        </w:trPr>
        <w:tc>
          <w:tcPr>
            <w:tcW w:w="1625" w:type="dxa"/>
            <w:vMerge w:val="continue"/>
            <w:tcBorders>
              <w:top w:val="nil"/>
              <w:left w:val="single" w:color="auto" w:sz="8" w:space="0"/>
              <w:bottom w:val="single" w:color="000000" w:sz="4" w:space="0"/>
              <w:right w:val="single" w:color="auto" w:sz="4" w:space="0"/>
            </w:tcBorders>
            <w:vAlign w:val="center"/>
          </w:tcPr>
          <w:p>
            <w:pPr>
              <w:spacing w:line="360" w:lineRule="auto"/>
            </w:pPr>
          </w:p>
        </w:tc>
        <w:tc>
          <w:tcPr>
            <w:tcW w:w="5321" w:type="dxa"/>
            <w:tcBorders>
              <w:top w:val="nil"/>
              <w:left w:val="nil"/>
              <w:bottom w:val="single" w:color="auto" w:sz="4" w:space="0"/>
              <w:right w:val="single" w:color="auto" w:sz="4" w:space="0"/>
            </w:tcBorders>
            <w:vAlign w:val="center"/>
          </w:tcPr>
          <w:p>
            <w:pPr>
              <w:spacing w:line="360" w:lineRule="auto"/>
            </w:pPr>
            <w:r>
              <w:rPr>
                <w:rFonts w:hint="eastAsia"/>
              </w:rPr>
              <w:t>研发人员整体素质较高，但人员之前协作能力一般</w:t>
            </w:r>
          </w:p>
        </w:tc>
        <w:tc>
          <w:tcPr>
            <w:tcW w:w="1418" w:type="dxa"/>
            <w:tcBorders>
              <w:top w:val="nil"/>
              <w:left w:val="nil"/>
              <w:bottom w:val="single" w:color="auto" w:sz="4" w:space="0"/>
              <w:right w:val="single" w:color="auto" w:sz="8" w:space="0"/>
            </w:tcBorders>
            <w:vAlign w:val="center"/>
          </w:tcPr>
          <w:p>
            <w:pPr>
              <w:spacing w:line="360" w:lineRule="auto"/>
            </w:pPr>
            <w:r>
              <w:rPr>
                <w:rFonts w:hint="eastAsia"/>
              </w:rPr>
              <w:t>中等风险</w:t>
            </w:r>
          </w:p>
        </w:tc>
      </w:tr>
      <w:tr>
        <w:tblPrEx>
          <w:tblLayout w:type="fixed"/>
          <w:tblCellMar>
            <w:top w:w="0" w:type="dxa"/>
            <w:left w:w="108" w:type="dxa"/>
            <w:bottom w:w="0" w:type="dxa"/>
            <w:right w:w="108" w:type="dxa"/>
          </w:tblCellMar>
        </w:tblPrEx>
        <w:trPr>
          <w:trHeight w:val="270" w:hRule="atLeast"/>
        </w:trPr>
        <w:tc>
          <w:tcPr>
            <w:tcW w:w="1625" w:type="dxa"/>
            <w:vMerge w:val="continue"/>
            <w:tcBorders>
              <w:top w:val="nil"/>
              <w:left w:val="single" w:color="auto" w:sz="8" w:space="0"/>
              <w:bottom w:val="single" w:color="000000" w:sz="4" w:space="0"/>
              <w:right w:val="single" w:color="auto" w:sz="4" w:space="0"/>
            </w:tcBorders>
            <w:vAlign w:val="center"/>
          </w:tcPr>
          <w:p>
            <w:pPr>
              <w:spacing w:line="360" w:lineRule="auto"/>
            </w:pPr>
          </w:p>
        </w:tc>
        <w:tc>
          <w:tcPr>
            <w:tcW w:w="5321" w:type="dxa"/>
            <w:tcBorders>
              <w:top w:val="nil"/>
              <w:left w:val="nil"/>
              <w:bottom w:val="single" w:color="auto" w:sz="4" w:space="0"/>
              <w:right w:val="single" w:color="auto" w:sz="4" w:space="0"/>
            </w:tcBorders>
            <w:vAlign w:val="center"/>
          </w:tcPr>
          <w:p>
            <w:pPr>
              <w:spacing w:line="360" w:lineRule="auto"/>
            </w:pPr>
            <w:r>
              <w:rPr>
                <w:rFonts w:hint="eastAsia"/>
              </w:rPr>
              <w:t>人员整体素质一般，协作能力一般</w:t>
            </w:r>
          </w:p>
        </w:tc>
        <w:tc>
          <w:tcPr>
            <w:tcW w:w="1418" w:type="dxa"/>
            <w:tcBorders>
              <w:top w:val="nil"/>
              <w:left w:val="nil"/>
              <w:bottom w:val="single" w:color="auto" w:sz="4" w:space="0"/>
              <w:right w:val="single" w:color="auto" w:sz="8" w:space="0"/>
            </w:tcBorders>
            <w:vAlign w:val="center"/>
          </w:tcPr>
          <w:p>
            <w:pPr>
              <w:spacing w:line="360" w:lineRule="auto"/>
            </w:pPr>
            <w:r>
              <w:rPr>
                <w:rFonts w:hint="eastAsia"/>
              </w:rPr>
              <w:t>高风险</w:t>
            </w:r>
          </w:p>
        </w:tc>
      </w:tr>
      <w:tr>
        <w:tblPrEx>
          <w:tblLayout w:type="fixed"/>
          <w:tblCellMar>
            <w:top w:w="0" w:type="dxa"/>
            <w:left w:w="108" w:type="dxa"/>
            <w:bottom w:w="0" w:type="dxa"/>
            <w:right w:w="108" w:type="dxa"/>
          </w:tblCellMar>
        </w:tblPrEx>
        <w:trPr>
          <w:trHeight w:val="270" w:hRule="atLeast"/>
        </w:trPr>
        <w:tc>
          <w:tcPr>
            <w:tcW w:w="1625" w:type="dxa"/>
            <w:vMerge w:val="restart"/>
            <w:tcBorders>
              <w:top w:val="nil"/>
              <w:left w:val="single" w:color="auto" w:sz="8" w:space="0"/>
              <w:bottom w:val="single" w:color="000000" w:sz="4" w:space="0"/>
              <w:right w:val="single" w:color="auto" w:sz="4" w:space="0"/>
            </w:tcBorders>
            <w:vAlign w:val="center"/>
          </w:tcPr>
          <w:p>
            <w:pPr>
              <w:spacing w:line="360" w:lineRule="auto"/>
            </w:pPr>
            <w:r>
              <w:rPr>
                <w:rFonts w:hint="eastAsia"/>
              </w:rPr>
              <w:t>研发实力及条件</w:t>
            </w:r>
          </w:p>
        </w:tc>
        <w:tc>
          <w:tcPr>
            <w:tcW w:w="5321" w:type="dxa"/>
            <w:tcBorders>
              <w:top w:val="nil"/>
              <w:left w:val="nil"/>
              <w:bottom w:val="single" w:color="auto" w:sz="4" w:space="0"/>
              <w:right w:val="single" w:color="auto" w:sz="4" w:space="0"/>
            </w:tcBorders>
            <w:vAlign w:val="center"/>
          </w:tcPr>
          <w:p>
            <w:pPr>
              <w:spacing w:line="360" w:lineRule="auto"/>
            </w:pPr>
            <w:r>
              <w:rPr>
                <w:rFonts w:hint="eastAsia"/>
              </w:rPr>
              <w:t>实力雄厚、条件优越且得到大家一致公认</w:t>
            </w:r>
          </w:p>
        </w:tc>
        <w:tc>
          <w:tcPr>
            <w:tcW w:w="1418" w:type="dxa"/>
            <w:tcBorders>
              <w:top w:val="nil"/>
              <w:left w:val="nil"/>
              <w:bottom w:val="single" w:color="auto" w:sz="4" w:space="0"/>
              <w:right w:val="single" w:color="auto" w:sz="8" w:space="0"/>
            </w:tcBorders>
            <w:vAlign w:val="center"/>
          </w:tcPr>
          <w:p>
            <w:pPr>
              <w:spacing w:line="360" w:lineRule="auto"/>
            </w:pPr>
            <w:r>
              <w:rPr>
                <w:rFonts w:hint="eastAsia"/>
              </w:rPr>
              <w:t>低风险</w:t>
            </w:r>
          </w:p>
        </w:tc>
      </w:tr>
      <w:tr>
        <w:tblPrEx>
          <w:tblLayout w:type="fixed"/>
          <w:tblCellMar>
            <w:top w:w="0" w:type="dxa"/>
            <w:left w:w="108" w:type="dxa"/>
            <w:bottom w:w="0" w:type="dxa"/>
            <w:right w:w="108" w:type="dxa"/>
          </w:tblCellMar>
        </w:tblPrEx>
        <w:trPr>
          <w:trHeight w:val="270" w:hRule="atLeast"/>
        </w:trPr>
        <w:tc>
          <w:tcPr>
            <w:tcW w:w="1625" w:type="dxa"/>
            <w:vMerge w:val="continue"/>
            <w:tcBorders>
              <w:top w:val="nil"/>
              <w:left w:val="single" w:color="auto" w:sz="8" w:space="0"/>
              <w:bottom w:val="single" w:color="000000" w:sz="4" w:space="0"/>
              <w:right w:val="single" w:color="auto" w:sz="4" w:space="0"/>
            </w:tcBorders>
            <w:vAlign w:val="center"/>
          </w:tcPr>
          <w:p>
            <w:pPr>
              <w:spacing w:line="360" w:lineRule="auto"/>
            </w:pPr>
          </w:p>
        </w:tc>
        <w:tc>
          <w:tcPr>
            <w:tcW w:w="5321" w:type="dxa"/>
            <w:tcBorders>
              <w:top w:val="nil"/>
              <w:left w:val="nil"/>
              <w:bottom w:val="single" w:color="auto" w:sz="4" w:space="0"/>
              <w:right w:val="single" w:color="auto" w:sz="4" w:space="0"/>
            </w:tcBorders>
            <w:vAlign w:val="center"/>
          </w:tcPr>
          <w:p>
            <w:pPr>
              <w:spacing w:line="360" w:lineRule="auto"/>
            </w:pPr>
            <w:r>
              <w:rPr>
                <w:rFonts w:hint="eastAsia"/>
              </w:rPr>
              <w:t>实力和条件较好，能胜任项目的研究</w:t>
            </w:r>
          </w:p>
        </w:tc>
        <w:tc>
          <w:tcPr>
            <w:tcW w:w="1418" w:type="dxa"/>
            <w:tcBorders>
              <w:top w:val="nil"/>
              <w:left w:val="nil"/>
              <w:bottom w:val="single" w:color="auto" w:sz="4" w:space="0"/>
              <w:right w:val="single" w:color="auto" w:sz="8" w:space="0"/>
            </w:tcBorders>
            <w:vAlign w:val="center"/>
          </w:tcPr>
          <w:p>
            <w:pPr>
              <w:spacing w:line="360" w:lineRule="auto"/>
            </w:pPr>
            <w:r>
              <w:rPr>
                <w:rFonts w:hint="eastAsia"/>
              </w:rPr>
              <w:t>中等风险</w:t>
            </w:r>
          </w:p>
        </w:tc>
      </w:tr>
      <w:tr>
        <w:tblPrEx>
          <w:tblLayout w:type="fixed"/>
          <w:tblCellMar>
            <w:top w:w="0" w:type="dxa"/>
            <w:left w:w="108" w:type="dxa"/>
            <w:bottom w:w="0" w:type="dxa"/>
            <w:right w:w="108" w:type="dxa"/>
          </w:tblCellMar>
        </w:tblPrEx>
        <w:trPr>
          <w:trHeight w:val="270" w:hRule="atLeast"/>
        </w:trPr>
        <w:tc>
          <w:tcPr>
            <w:tcW w:w="1625" w:type="dxa"/>
            <w:vMerge w:val="continue"/>
            <w:tcBorders>
              <w:top w:val="nil"/>
              <w:left w:val="single" w:color="auto" w:sz="8" w:space="0"/>
              <w:bottom w:val="single" w:color="000000" w:sz="4" w:space="0"/>
              <w:right w:val="single" w:color="auto" w:sz="4" w:space="0"/>
            </w:tcBorders>
            <w:vAlign w:val="center"/>
          </w:tcPr>
          <w:p>
            <w:pPr>
              <w:spacing w:line="360" w:lineRule="auto"/>
            </w:pPr>
          </w:p>
        </w:tc>
        <w:tc>
          <w:tcPr>
            <w:tcW w:w="5321" w:type="dxa"/>
            <w:tcBorders>
              <w:top w:val="nil"/>
              <w:left w:val="nil"/>
              <w:bottom w:val="single" w:color="auto" w:sz="4" w:space="0"/>
              <w:right w:val="single" w:color="auto" w:sz="4" w:space="0"/>
            </w:tcBorders>
            <w:vAlign w:val="center"/>
          </w:tcPr>
          <w:p>
            <w:pPr>
              <w:spacing w:line="360" w:lineRule="auto"/>
            </w:pPr>
            <w:r>
              <w:rPr>
                <w:rFonts w:hint="eastAsia"/>
              </w:rPr>
              <w:t>实力和条件一般，基本能胜任项目研究工作</w:t>
            </w:r>
          </w:p>
        </w:tc>
        <w:tc>
          <w:tcPr>
            <w:tcW w:w="1418" w:type="dxa"/>
            <w:tcBorders>
              <w:top w:val="nil"/>
              <w:left w:val="nil"/>
              <w:bottom w:val="single" w:color="auto" w:sz="4" w:space="0"/>
              <w:right w:val="single" w:color="auto" w:sz="8" w:space="0"/>
            </w:tcBorders>
            <w:vAlign w:val="center"/>
          </w:tcPr>
          <w:p>
            <w:pPr>
              <w:spacing w:line="360" w:lineRule="auto"/>
            </w:pPr>
            <w:r>
              <w:rPr>
                <w:rFonts w:hint="eastAsia"/>
              </w:rPr>
              <w:t>高风险</w:t>
            </w:r>
          </w:p>
        </w:tc>
      </w:tr>
      <w:tr>
        <w:tblPrEx>
          <w:tblLayout w:type="fixed"/>
          <w:tblCellMar>
            <w:top w:w="0" w:type="dxa"/>
            <w:left w:w="108" w:type="dxa"/>
            <w:bottom w:w="0" w:type="dxa"/>
            <w:right w:w="108" w:type="dxa"/>
          </w:tblCellMar>
        </w:tblPrEx>
        <w:trPr>
          <w:trHeight w:val="540" w:hRule="atLeast"/>
        </w:trPr>
        <w:tc>
          <w:tcPr>
            <w:tcW w:w="1625" w:type="dxa"/>
            <w:vMerge w:val="restart"/>
            <w:tcBorders>
              <w:top w:val="nil"/>
              <w:left w:val="single" w:color="auto" w:sz="8" w:space="0"/>
              <w:bottom w:val="single" w:color="000000" w:sz="8" w:space="0"/>
              <w:right w:val="single" w:color="auto" w:sz="4" w:space="0"/>
            </w:tcBorders>
            <w:vAlign w:val="center"/>
          </w:tcPr>
          <w:p>
            <w:pPr>
              <w:spacing w:line="360" w:lineRule="auto"/>
            </w:pPr>
            <w:r>
              <w:rPr>
                <w:rFonts w:hint="eastAsia"/>
              </w:rPr>
              <w:t>各阶段的协调</w:t>
            </w:r>
          </w:p>
        </w:tc>
        <w:tc>
          <w:tcPr>
            <w:tcW w:w="5321" w:type="dxa"/>
            <w:tcBorders>
              <w:top w:val="nil"/>
              <w:left w:val="nil"/>
              <w:bottom w:val="single" w:color="auto" w:sz="4" w:space="0"/>
              <w:right w:val="single" w:color="auto" w:sz="4" w:space="0"/>
            </w:tcBorders>
            <w:vAlign w:val="center"/>
          </w:tcPr>
          <w:p>
            <w:pPr>
              <w:spacing w:line="360" w:lineRule="auto"/>
            </w:pPr>
            <w:r>
              <w:rPr>
                <w:rFonts w:hint="eastAsia"/>
              </w:rPr>
              <w:t>协调能力强，能做好各阶段的协调工作，应付突发事件能力强</w:t>
            </w:r>
          </w:p>
        </w:tc>
        <w:tc>
          <w:tcPr>
            <w:tcW w:w="1418" w:type="dxa"/>
            <w:tcBorders>
              <w:top w:val="nil"/>
              <w:left w:val="nil"/>
              <w:bottom w:val="single" w:color="auto" w:sz="4" w:space="0"/>
              <w:right w:val="single" w:color="auto" w:sz="8" w:space="0"/>
            </w:tcBorders>
            <w:vAlign w:val="center"/>
          </w:tcPr>
          <w:p>
            <w:pPr>
              <w:spacing w:line="360" w:lineRule="auto"/>
            </w:pPr>
            <w:r>
              <w:rPr>
                <w:rFonts w:hint="eastAsia"/>
              </w:rPr>
              <w:t>低风险</w:t>
            </w:r>
          </w:p>
        </w:tc>
      </w:tr>
      <w:tr>
        <w:tblPrEx>
          <w:tblLayout w:type="fixed"/>
          <w:tblCellMar>
            <w:top w:w="0" w:type="dxa"/>
            <w:left w:w="108" w:type="dxa"/>
            <w:bottom w:w="0" w:type="dxa"/>
            <w:right w:w="108" w:type="dxa"/>
          </w:tblCellMar>
        </w:tblPrEx>
        <w:trPr>
          <w:trHeight w:val="540" w:hRule="atLeast"/>
        </w:trPr>
        <w:tc>
          <w:tcPr>
            <w:tcW w:w="1625" w:type="dxa"/>
            <w:vMerge w:val="continue"/>
            <w:tcBorders>
              <w:top w:val="nil"/>
              <w:left w:val="single" w:color="auto" w:sz="8" w:space="0"/>
              <w:bottom w:val="single" w:color="000000" w:sz="8" w:space="0"/>
              <w:right w:val="single" w:color="auto" w:sz="4" w:space="0"/>
            </w:tcBorders>
            <w:vAlign w:val="center"/>
          </w:tcPr>
          <w:p>
            <w:pPr>
              <w:spacing w:line="360" w:lineRule="auto"/>
            </w:pPr>
          </w:p>
        </w:tc>
        <w:tc>
          <w:tcPr>
            <w:tcW w:w="5321" w:type="dxa"/>
            <w:tcBorders>
              <w:top w:val="nil"/>
              <w:left w:val="nil"/>
              <w:bottom w:val="single" w:color="auto" w:sz="4" w:space="0"/>
              <w:right w:val="single" w:color="auto" w:sz="4" w:space="0"/>
            </w:tcBorders>
            <w:vAlign w:val="center"/>
          </w:tcPr>
          <w:p>
            <w:pPr>
              <w:spacing w:line="360" w:lineRule="auto"/>
            </w:pPr>
            <w:r>
              <w:rPr>
                <w:rFonts w:hint="eastAsia"/>
              </w:rPr>
              <w:t>协调能力较强，正常情况下能保证各阶段的协调一致，应付突发事件能力一般</w:t>
            </w:r>
          </w:p>
        </w:tc>
        <w:tc>
          <w:tcPr>
            <w:tcW w:w="1418" w:type="dxa"/>
            <w:tcBorders>
              <w:top w:val="nil"/>
              <w:left w:val="nil"/>
              <w:bottom w:val="single" w:color="auto" w:sz="4" w:space="0"/>
              <w:right w:val="single" w:color="auto" w:sz="8" w:space="0"/>
            </w:tcBorders>
            <w:vAlign w:val="center"/>
          </w:tcPr>
          <w:p>
            <w:pPr>
              <w:spacing w:line="360" w:lineRule="auto"/>
            </w:pPr>
            <w:r>
              <w:rPr>
                <w:rFonts w:hint="eastAsia"/>
              </w:rPr>
              <w:t>中等风险</w:t>
            </w:r>
          </w:p>
        </w:tc>
      </w:tr>
      <w:tr>
        <w:tblPrEx>
          <w:tblLayout w:type="fixed"/>
          <w:tblCellMar>
            <w:top w:w="0" w:type="dxa"/>
            <w:left w:w="108" w:type="dxa"/>
            <w:bottom w:w="0" w:type="dxa"/>
            <w:right w:w="108" w:type="dxa"/>
          </w:tblCellMar>
        </w:tblPrEx>
        <w:trPr>
          <w:trHeight w:val="285" w:hRule="atLeast"/>
        </w:trPr>
        <w:tc>
          <w:tcPr>
            <w:tcW w:w="1625" w:type="dxa"/>
            <w:vMerge w:val="continue"/>
            <w:tcBorders>
              <w:top w:val="nil"/>
              <w:left w:val="single" w:color="auto" w:sz="8" w:space="0"/>
              <w:bottom w:val="single" w:color="000000" w:sz="8" w:space="0"/>
              <w:right w:val="single" w:color="auto" w:sz="4" w:space="0"/>
            </w:tcBorders>
            <w:vAlign w:val="center"/>
          </w:tcPr>
          <w:p>
            <w:pPr>
              <w:spacing w:line="360" w:lineRule="auto"/>
            </w:pPr>
          </w:p>
        </w:tc>
        <w:tc>
          <w:tcPr>
            <w:tcW w:w="5321" w:type="dxa"/>
            <w:tcBorders>
              <w:top w:val="nil"/>
              <w:left w:val="nil"/>
              <w:bottom w:val="single" w:color="auto" w:sz="8" w:space="0"/>
              <w:right w:val="single" w:color="auto" w:sz="4" w:space="0"/>
            </w:tcBorders>
            <w:vAlign w:val="center"/>
          </w:tcPr>
          <w:p>
            <w:pPr>
              <w:spacing w:line="360" w:lineRule="auto"/>
            </w:pPr>
            <w:r>
              <w:rPr>
                <w:rFonts w:hint="eastAsia"/>
              </w:rPr>
              <w:t>协调能力一般，应付突发事件能力差</w:t>
            </w:r>
          </w:p>
        </w:tc>
        <w:tc>
          <w:tcPr>
            <w:tcW w:w="1418" w:type="dxa"/>
            <w:tcBorders>
              <w:top w:val="nil"/>
              <w:left w:val="nil"/>
              <w:bottom w:val="single" w:color="auto" w:sz="8" w:space="0"/>
              <w:right w:val="single" w:color="auto" w:sz="8" w:space="0"/>
            </w:tcBorders>
            <w:vAlign w:val="center"/>
          </w:tcPr>
          <w:p>
            <w:pPr>
              <w:spacing w:line="360" w:lineRule="auto"/>
            </w:pPr>
            <w:r>
              <w:rPr>
                <w:rFonts w:hint="eastAsia"/>
              </w:rPr>
              <w:t>高风险</w:t>
            </w:r>
          </w:p>
        </w:tc>
      </w:tr>
    </w:tbl>
    <w:p>
      <w:pPr>
        <w:spacing w:line="360" w:lineRule="auto"/>
      </w:pPr>
    </w:p>
    <w:p>
      <w:pPr>
        <w:spacing w:line="360" w:lineRule="auto"/>
      </w:pPr>
      <w:r>
        <w:rPr>
          <w:rFonts w:hint="eastAsia"/>
        </w:rPr>
        <w:t>（二）进度风险</w:t>
      </w:r>
    </w:p>
    <w:p>
      <w:pPr>
        <w:spacing w:line="360" w:lineRule="auto"/>
        <w:ind w:firstLine="480" w:firstLineChars="200"/>
      </w:pPr>
      <w:r>
        <w:rPr>
          <w:rFonts w:hint="eastAsia"/>
          <w:sz w:val="24"/>
          <w:szCs w:val="24"/>
        </w:rPr>
        <w:t>进度风险是指由于种种不确定性因素的存在而导致项目完工期拖延的风险。该风险主要取决于技术因素、计划合理性、资源充分性、项目人员经验等几个方面。进度风险的级别描述如下表所示：</w:t>
      </w:r>
    </w:p>
    <w:tbl>
      <w:tblPr>
        <w:tblStyle w:val="34"/>
        <w:tblW w:w="8364" w:type="dxa"/>
        <w:tblInd w:w="108" w:type="dxa"/>
        <w:tblLayout w:type="fixed"/>
        <w:tblCellMar>
          <w:top w:w="0" w:type="dxa"/>
          <w:left w:w="108" w:type="dxa"/>
          <w:bottom w:w="0" w:type="dxa"/>
          <w:right w:w="108" w:type="dxa"/>
        </w:tblCellMar>
      </w:tblPr>
      <w:tblGrid>
        <w:gridCol w:w="1617"/>
        <w:gridCol w:w="5046"/>
        <w:gridCol w:w="1701"/>
      </w:tblGrid>
      <w:tr>
        <w:tblPrEx>
          <w:tblLayout w:type="fixed"/>
          <w:tblCellMar>
            <w:top w:w="0" w:type="dxa"/>
            <w:left w:w="108" w:type="dxa"/>
            <w:bottom w:w="0" w:type="dxa"/>
            <w:right w:w="108" w:type="dxa"/>
          </w:tblCellMar>
        </w:tblPrEx>
        <w:trPr>
          <w:trHeight w:val="390" w:hRule="atLeast"/>
          <w:tblHeader/>
        </w:trPr>
        <w:tc>
          <w:tcPr>
            <w:tcW w:w="6663" w:type="dxa"/>
            <w:gridSpan w:val="2"/>
            <w:tcBorders>
              <w:top w:val="single" w:color="auto" w:sz="8" w:space="0"/>
              <w:left w:val="single" w:color="auto" w:sz="8" w:space="0"/>
              <w:bottom w:val="single" w:color="auto" w:sz="8" w:space="0"/>
              <w:right w:val="single" w:color="000000" w:sz="4" w:space="0"/>
            </w:tcBorders>
            <w:shd w:val="clear" w:color="auto" w:fill="D9D9D9"/>
            <w:vAlign w:val="center"/>
          </w:tcPr>
          <w:p>
            <w:pPr>
              <w:spacing w:line="360" w:lineRule="auto"/>
            </w:pPr>
            <w:r>
              <w:rPr>
                <w:rFonts w:hint="eastAsia"/>
              </w:rPr>
              <w:t>进度风险</w:t>
            </w:r>
          </w:p>
        </w:tc>
        <w:tc>
          <w:tcPr>
            <w:tcW w:w="1701" w:type="dxa"/>
            <w:tcBorders>
              <w:top w:val="single" w:color="auto" w:sz="8" w:space="0"/>
              <w:left w:val="nil"/>
              <w:bottom w:val="single" w:color="auto" w:sz="8" w:space="0"/>
              <w:right w:val="single" w:color="auto" w:sz="8" w:space="0"/>
            </w:tcBorders>
            <w:shd w:val="clear" w:color="auto" w:fill="D9D9D9"/>
            <w:vAlign w:val="center"/>
          </w:tcPr>
          <w:p>
            <w:pPr>
              <w:spacing w:line="360" w:lineRule="auto"/>
            </w:pPr>
            <w:r>
              <w:rPr>
                <w:rFonts w:hint="eastAsia"/>
              </w:rPr>
              <w:t>风险级别</w:t>
            </w:r>
          </w:p>
        </w:tc>
      </w:tr>
      <w:tr>
        <w:tblPrEx>
          <w:tblLayout w:type="fixed"/>
          <w:tblCellMar>
            <w:top w:w="0" w:type="dxa"/>
            <w:left w:w="108" w:type="dxa"/>
            <w:bottom w:w="0" w:type="dxa"/>
            <w:right w:w="108" w:type="dxa"/>
          </w:tblCellMar>
        </w:tblPrEx>
        <w:trPr>
          <w:trHeight w:val="270" w:hRule="atLeast"/>
        </w:trPr>
        <w:tc>
          <w:tcPr>
            <w:tcW w:w="1617" w:type="dxa"/>
            <w:vMerge w:val="restart"/>
            <w:tcBorders>
              <w:top w:val="nil"/>
              <w:left w:val="single" w:color="auto" w:sz="8" w:space="0"/>
              <w:bottom w:val="single" w:color="000000" w:sz="4" w:space="0"/>
              <w:right w:val="single" w:color="auto" w:sz="4" w:space="0"/>
            </w:tcBorders>
            <w:vAlign w:val="center"/>
          </w:tcPr>
          <w:p>
            <w:pPr>
              <w:spacing w:line="360" w:lineRule="auto"/>
            </w:pPr>
            <w:r>
              <w:rPr>
                <w:rFonts w:hint="eastAsia"/>
              </w:rPr>
              <w:t>技术风险影响</w:t>
            </w:r>
          </w:p>
        </w:tc>
        <w:tc>
          <w:tcPr>
            <w:tcW w:w="5046" w:type="dxa"/>
            <w:tcBorders>
              <w:top w:val="nil"/>
              <w:left w:val="nil"/>
              <w:bottom w:val="single" w:color="auto" w:sz="4" w:space="0"/>
              <w:right w:val="single" w:color="auto" w:sz="4" w:space="0"/>
            </w:tcBorders>
            <w:vAlign w:val="center"/>
          </w:tcPr>
          <w:p>
            <w:pPr>
              <w:spacing w:line="360" w:lineRule="auto"/>
            </w:pPr>
            <w:r>
              <w:rPr>
                <w:rFonts w:hint="eastAsia"/>
              </w:rPr>
              <w:t>无高风险项目，中等风险项目不超过2个</w:t>
            </w:r>
          </w:p>
        </w:tc>
        <w:tc>
          <w:tcPr>
            <w:tcW w:w="1701" w:type="dxa"/>
            <w:tcBorders>
              <w:top w:val="nil"/>
              <w:left w:val="nil"/>
              <w:bottom w:val="single" w:color="auto" w:sz="4" w:space="0"/>
              <w:right w:val="single" w:color="auto" w:sz="8" w:space="0"/>
            </w:tcBorders>
            <w:vAlign w:val="center"/>
          </w:tcPr>
          <w:p>
            <w:pPr>
              <w:spacing w:line="360" w:lineRule="auto"/>
            </w:pPr>
            <w:r>
              <w:rPr>
                <w:rFonts w:hint="eastAsia"/>
              </w:rPr>
              <w:t>低风险</w:t>
            </w:r>
          </w:p>
        </w:tc>
      </w:tr>
      <w:tr>
        <w:tblPrEx>
          <w:tblLayout w:type="fixed"/>
          <w:tblCellMar>
            <w:top w:w="0" w:type="dxa"/>
            <w:left w:w="108" w:type="dxa"/>
            <w:bottom w:w="0" w:type="dxa"/>
            <w:right w:w="108" w:type="dxa"/>
          </w:tblCellMar>
        </w:tblPrEx>
        <w:trPr>
          <w:trHeight w:val="270" w:hRule="atLeast"/>
        </w:trPr>
        <w:tc>
          <w:tcPr>
            <w:tcW w:w="1617" w:type="dxa"/>
            <w:vMerge w:val="continue"/>
            <w:tcBorders>
              <w:top w:val="nil"/>
              <w:left w:val="single" w:color="auto" w:sz="8" w:space="0"/>
              <w:bottom w:val="single" w:color="000000" w:sz="4" w:space="0"/>
              <w:right w:val="single" w:color="auto" w:sz="4" w:space="0"/>
            </w:tcBorders>
            <w:vAlign w:val="center"/>
          </w:tcPr>
          <w:p>
            <w:pPr>
              <w:spacing w:line="360" w:lineRule="auto"/>
            </w:pPr>
          </w:p>
        </w:tc>
        <w:tc>
          <w:tcPr>
            <w:tcW w:w="5046" w:type="dxa"/>
            <w:tcBorders>
              <w:top w:val="nil"/>
              <w:left w:val="nil"/>
              <w:bottom w:val="single" w:color="auto" w:sz="4" w:space="0"/>
              <w:right w:val="single" w:color="auto" w:sz="4" w:space="0"/>
            </w:tcBorders>
            <w:vAlign w:val="center"/>
          </w:tcPr>
          <w:p>
            <w:pPr>
              <w:spacing w:line="360" w:lineRule="auto"/>
            </w:pPr>
            <w:r>
              <w:rPr>
                <w:rFonts w:hint="eastAsia"/>
              </w:rPr>
              <w:t>无高风险项目，中等风险项目超过3个</w:t>
            </w:r>
          </w:p>
        </w:tc>
        <w:tc>
          <w:tcPr>
            <w:tcW w:w="1701" w:type="dxa"/>
            <w:tcBorders>
              <w:top w:val="nil"/>
              <w:left w:val="nil"/>
              <w:bottom w:val="single" w:color="auto" w:sz="4" w:space="0"/>
              <w:right w:val="single" w:color="auto" w:sz="8" w:space="0"/>
            </w:tcBorders>
            <w:vAlign w:val="center"/>
          </w:tcPr>
          <w:p>
            <w:pPr>
              <w:spacing w:line="360" w:lineRule="auto"/>
            </w:pPr>
            <w:r>
              <w:rPr>
                <w:rFonts w:hint="eastAsia"/>
              </w:rPr>
              <w:t>中等风险</w:t>
            </w:r>
          </w:p>
        </w:tc>
      </w:tr>
      <w:tr>
        <w:tblPrEx>
          <w:tblLayout w:type="fixed"/>
          <w:tblCellMar>
            <w:top w:w="0" w:type="dxa"/>
            <w:left w:w="108" w:type="dxa"/>
            <w:bottom w:w="0" w:type="dxa"/>
            <w:right w:w="108" w:type="dxa"/>
          </w:tblCellMar>
        </w:tblPrEx>
        <w:trPr>
          <w:trHeight w:val="270" w:hRule="atLeast"/>
        </w:trPr>
        <w:tc>
          <w:tcPr>
            <w:tcW w:w="1617" w:type="dxa"/>
            <w:vMerge w:val="continue"/>
            <w:tcBorders>
              <w:top w:val="nil"/>
              <w:left w:val="single" w:color="auto" w:sz="8" w:space="0"/>
              <w:bottom w:val="single" w:color="000000" w:sz="4" w:space="0"/>
              <w:right w:val="single" w:color="auto" w:sz="4" w:space="0"/>
            </w:tcBorders>
            <w:vAlign w:val="center"/>
          </w:tcPr>
          <w:p>
            <w:pPr>
              <w:spacing w:line="360" w:lineRule="auto"/>
            </w:pPr>
          </w:p>
        </w:tc>
        <w:tc>
          <w:tcPr>
            <w:tcW w:w="5046" w:type="dxa"/>
            <w:tcBorders>
              <w:top w:val="nil"/>
              <w:left w:val="nil"/>
              <w:bottom w:val="single" w:color="auto" w:sz="4" w:space="0"/>
              <w:right w:val="single" w:color="auto" w:sz="4" w:space="0"/>
            </w:tcBorders>
            <w:vAlign w:val="center"/>
          </w:tcPr>
          <w:p>
            <w:pPr>
              <w:spacing w:line="360" w:lineRule="auto"/>
            </w:pPr>
            <w:r>
              <w:rPr>
                <w:rFonts w:hint="eastAsia"/>
              </w:rPr>
              <w:t>有1个以上的高风险项目</w:t>
            </w:r>
          </w:p>
        </w:tc>
        <w:tc>
          <w:tcPr>
            <w:tcW w:w="1701" w:type="dxa"/>
            <w:tcBorders>
              <w:top w:val="nil"/>
              <w:left w:val="nil"/>
              <w:bottom w:val="single" w:color="auto" w:sz="4" w:space="0"/>
              <w:right w:val="single" w:color="auto" w:sz="8" w:space="0"/>
            </w:tcBorders>
            <w:vAlign w:val="center"/>
          </w:tcPr>
          <w:p>
            <w:pPr>
              <w:spacing w:line="360" w:lineRule="auto"/>
            </w:pPr>
            <w:r>
              <w:rPr>
                <w:rFonts w:hint="eastAsia"/>
              </w:rPr>
              <w:t>高风险</w:t>
            </w:r>
          </w:p>
        </w:tc>
      </w:tr>
      <w:tr>
        <w:tblPrEx>
          <w:tblLayout w:type="fixed"/>
          <w:tblCellMar>
            <w:top w:w="0" w:type="dxa"/>
            <w:left w:w="108" w:type="dxa"/>
            <w:bottom w:w="0" w:type="dxa"/>
            <w:right w:w="108" w:type="dxa"/>
          </w:tblCellMar>
        </w:tblPrEx>
        <w:trPr>
          <w:trHeight w:val="540" w:hRule="atLeast"/>
        </w:trPr>
        <w:tc>
          <w:tcPr>
            <w:tcW w:w="1617" w:type="dxa"/>
            <w:vMerge w:val="restart"/>
            <w:tcBorders>
              <w:top w:val="nil"/>
              <w:left w:val="single" w:color="auto" w:sz="8" w:space="0"/>
              <w:bottom w:val="single" w:color="000000" w:sz="4" w:space="0"/>
              <w:right w:val="single" w:color="auto" w:sz="4" w:space="0"/>
            </w:tcBorders>
            <w:vAlign w:val="center"/>
          </w:tcPr>
          <w:p>
            <w:pPr>
              <w:spacing w:line="360" w:lineRule="auto"/>
            </w:pPr>
            <w:r>
              <w:rPr>
                <w:rFonts w:hint="eastAsia"/>
              </w:rPr>
              <w:t>计划安排合理性</w:t>
            </w:r>
          </w:p>
        </w:tc>
        <w:tc>
          <w:tcPr>
            <w:tcW w:w="5046" w:type="dxa"/>
            <w:tcBorders>
              <w:top w:val="nil"/>
              <w:left w:val="nil"/>
              <w:bottom w:val="single" w:color="auto" w:sz="4" w:space="0"/>
              <w:right w:val="single" w:color="auto" w:sz="4" w:space="0"/>
            </w:tcBorders>
            <w:vAlign w:val="center"/>
          </w:tcPr>
          <w:p>
            <w:pPr>
              <w:spacing w:line="360" w:lineRule="auto"/>
            </w:pPr>
            <w:r>
              <w:rPr>
                <w:rFonts w:hint="eastAsia"/>
              </w:rPr>
              <w:t>计划切实可行且留有一定时间裕度以防意外情况发生</w:t>
            </w:r>
          </w:p>
        </w:tc>
        <w:tc>
          <w:tcPr>
            <w:tcW w:w="1701" w:type="dxa"/>
            <w:tcBorders>
              <w:top w:val="nil"/>
              <w:left w:val="nil"/>
              <w:bottom w:val="single" w:color="auto" w:sz="4" w:space="0"/>
              <w:right w:val="single" w:color="auto" w:sz="8" w:space="0"/>
            </w:tcBorders>
            <w:vAlign w:val="center"/>
          </w:tcPr>
          <w:p>
            <w:pPr>
              <w:spacing w:line="360" w:lineRule="auto"/>
            </w:pPr>
            <w:r>
              <w:rPr>
                <w:rFonts w:hint="eastAsia"/>
              </w:rPr>
              <w:t>低风险</w:t>
            </w:r>
          </w:p>
        </w:tc>
      </w:tr>
      <w:tr>
        <w:tblPrEx>
          <w:tblLayout w:type="fixed"/>
          <w:tblCellMar>
            <w:top w:w="0" w:type="dxa"/>
            <w:left w:w="108" w:type="dxa"/>
            <w:bottom w:w="0" w:type="dxa"/>
            <w:right w:w="108" w:type="dxa"/>
          </w:tblCellMar>
        </w:tblPrEx>
        <w:trPr>
          <w:trHeight w:val="270" w:hRule="atLeast"/>
        </w:trPr>
        <w:tc>
          <w:tcPr>
            <w:tcW w:w="1617" w:type="dxa"/>
            <w:vMerge w:val="continue"/>
            <w:tcBorders>
              <w:top w:val="nil"/>
              <w:left w:val="single" w:color="auto" w:sz="8" w:space="0"/>
              <w:bottom w:val="single" w:color="000000" w:sz="4" w:space="0"/>
              <w:right w:val="single" w:color="auto" w:sz="4" w:space="0"/>
            </w:tcBorders>
            <w:vAlign w:val="center"/>
          </w:tcPr>
          <w:p>
            <w:pPr>
              <w:spacing w:line="360" w:lineRule="auto"/>
            </w:pPr>
          </w:p>
        </w:tc>
        <w:tc>
          <w:tcPr>
            <w:tcW w:w="5046" w:type="dxa"/>
            <w:tcBorders>
              <w:top w:val="nil"/>
              <w:left w:val="nil"/>
              <w:bottom w:val="single" w:color="auto" w:sz="4" w:space="0"/>
              <w:right w:val="single" w:color="auto" w:sz="4" w:space="0"/>
            </w:tcBorders>
            <w:vAlign w:val="center"/>
          </w:tcPr>
          <w:p>
            <w:pPr>
              <w:spacing w:line="360" w:lineRule="auto"/>
            </w:pPr>
            <w:r>
              <w:rPr>
                <w:rFonts w:hint="eastAsia"/>
              </w:rPr>
              <w:t>计划可靠，但对意外发生的问题未留有裕度</w:t>
            </w:r>
          </w:p>
        </w:tc>
        <w:tc>
          <w:tcPr>
            <w:tcW w:w="1701" w:type="dxa"/>
            <w:tcBorders>
              <w:top w:val="nil"/>
              <w:left w:val="nil"/>
              <w:bottom w:val="single" w:color="auto" w:sz="4" w:space="0"/>
              <w:right w:val="single" w:color="auto" w:sz="8" w:space="0"/>
            </w:tcBorders>
            <w:vAlign w:val="center"/>
          </w:tcPr>
          <w:p>
            <w:pPr>
              <w:spacing w:line="360" w:lineRule="auto"/>
            </w:pPr>
            <w:r>
              <w:rPr>
                <w:rFonts w:hint="eastAsia"/>
              </w:rPr>
              <w:t>中等风险</w:t>
            </w:r>
          </w:p>
        </w:tc>
      </w:tr>
      <w:tr>
        <w:tblPrEx>
          <w:tblLayout w:type="fixed"/>
          <w:tblCellMar>
            <w:top w:w="0" w:type="dxa"/>
            <w:left w:w="108" w:type="dxa"/>
            <w:bottom w:w="0" w:type="dxa"/>
            <w:right w:w="108" w:type="dxa"/>
          </w:tblCellMar>
        </w:tblPrEx>
        <w:trPr>
          <w:trHeight w:val="810" w:hRule="atLeast"/>
        </w:trPr>
        <w:tc>
          <w:tcPr>
            <w:tcW w:w="1617" w:type="dxa"/>
            <w:vMerge w:val="continue"/>
            <w:tcBorders>
              <w:top w:val="nil"/>
              <w:left w:val="single" w:color="auto" w:sz="8" w:space="0"/>
              <w:bottom w:val="single" w:color="000000" w:sz="4" w:space="0"/>
              <w:right w:val="single" w:color="auto" w:sz="4" w:space="0"/>
            </w:tcBorders>
            <w:vAlign w:val="center"/>
          </w:tcPr>
          <w:p>
            <w:pPr>
              <w:spacing w:line="360" w:lineRule="auto"/>
            </w:pPr>
          </w:p>
        </w:tc>
        <w:tc>
          <w:tcPr>
            <w:tcW w:w="5046" w:type="dxa"/>
            <w:tcBorders>
              <w:top w:val="nil"/>
              <w:left w:val="nil"/>
              <w:bottom w:val="single" w:color="auto" w:sz="4" w:space="0"/>
              <w:right w:val="single" w:color="auto" w:sz="4" w:space="0"/>
            </w:tcBorders>
            <w:vAlign w:val="center"/>
          </w:tcPr>
          <w:p>
            <w:pPr>
              <w:spacing w:line="360" w:lineRule="auto"/>
            </w:pPr>
            <w:r>
              <w:rPr>
                <w:rFonts w:hint="eastAsia"/>
              </w:rPr>
              <w:t>计划不可靠，不是根据每项研制工作的实际需要来安排时间，而是根据竞争的需要或上级命令来分配时间</w:t>
            </w:r>
          </w:p>
        </w:tc>
        <w:tc>
          <w:tcPr>
            <w:tcW w:w="1701" w:type="dxa"/>
            <w:tcBorders>
              <w:top w:val="nil"/>
              <w:left w:val="nil"/>
              <w:bottom w:val="single" w:color="auto" w:sz="4" w:space="0"/>
              <w:right w:val="single" w:color="auto" w:sz="8" w:space="0"/>
            </w:tcBorders>
            <w:vAlign w:val="center"/>
          </w:tcPr>
          <w:p>
            <w:pPr>
              <w:spacing w:line="360" w:lineRule="auto"/>
            </w:pPr>
            <w:r>
              <w:rPr>
                <w:rFonts w:hint="eastAsia"/>
              </w:rPr>
              <w:t>高风险</w:t>
            </w:r>
          </w:p>
        </w:tc>
      </w:tr>
      <w:tr>
        <w:tblPrEx>
          <w:tblLayout w:type="fixed"/>
          <w:tblCellMar>
            <w:top w:w="0" w:type="dxa"/>
            <w:left w:w="108" w:type="dxa"/>
            <w:bottom w:w="0" w:type="dxa"/>
            <w:right w:w="108" w:type="dxa"/>
          </w:tblCellMar>
        </w:tblPrEx>
        <w:trPr>
          <w:trHeight w:val="270" w:hRule="atLeast"/>
        </w:trPr>
        <w:tc>
          <w:tcPr>
            <w:tcW w:w="1617" w:type="dxa"/>
            <w:vMerge w:val="restart"/>
            <w:tcBorders>
              <w:top w:val="nil"/>
              <w:left w:val="single" w:color="auto" w:sz="8" w:space="0"/>
              <w:bottom w:val="single" w:color="000000" w:sz="4" w:space="0"/>
              <w:right w:val="single" w:color="auto" w:sz="4" w:space="0"/>
            </w:tcBorders>
            <w:vAlign w:val="center"/>
          </w:tcPr>
          <w:p>
            <w:pPr>
              <w:spacing w:line="360" w:lineRule="auto"/>
            </w:pPr>
            <w:r>
              <w:rPr>
                <w:rFonts w:hint="eastAsia"/>
              </w:rPr>
              <w:t>资源充分性</w:t>
            </w:r>
          </w:p>
        </w:tc>
        <w:tc>
          <w:tcPr>
            <w:tcW w:w="5046" w:type="dxa"/>
            <w:tcBorders>
              <w:top w:val="nil"/>
              <w:left w:val="nil"/>
              <w:bottom w:val="single" w:color="auto" w:sz="4" w:space="0"/>
              <w:right w:val="single" w:color="auto" w:sz="4" w:space="0"/>
            </w:tcBorders>
            <w:vAlign w:val="center"/>
          </w:tcPr>
          <w:p>
            <w:pPr>
              <w:spacing w:line="360" w:lineRule="auto"/>
            </w:pPr>
            <w:r>
              <w:rPr>
                <w:rFonts w:hint="eastAsia"/>
              </w:rPr>
              <w:t>资源充足且可供使用</w:t>
            </w:r>
          </w:p>
        </w:tc>
        <w:tc>
          <w:tcPr>
            <w:tcW w:w="1701" w:type="dxa"/>
            <w:tcBorders>
              <w:top w:val="nil"/>
              <w:left w:val="nil"/>
              <w:bottom w:val="single" w:color="auto" w:sz="4" w:space="0"/>
              <w:right w:val="single" w:color="auto" w:sz="8" w:space="0"/>
            </w:tcBorders>
            <w:vAlign w:val="center"/>
          </w:tcPr>
          <w:p>
            <w:pPr>
              <w:spacing w:line="360" w:lineRule="auto"/>
            </w:pPr>
            <w:r>
              <w:rPr>
                <w:rFonts w:hint="eastAsia"/>
              </w:rPr>
              <w:t>低风险</w:t>
            </w:r>
          </w:p>
        </w:tc>
      </w:tr>
      <w:tr>
        <w:tblPrEx>
          <w:tblLayout w:type="fixed"/>
          <w:tblCellMar>
            <w:top w:w="0" w:type="dxa"/>
            <w:left w:w="108" w:type="dxa"/>
            <w:bottom w:w="0" w:type="dxa"/>
            <w:right w:w="108" w:type="dxa"/>
          </w:tblCellMar>
        </w:tblPrEx>
        <w:trPr>
          <w:trHeight w:val="810" w:hRule="atLeast"/>
        </w:trPr>
        <w:tc>
          <w:tcPr>
            <w:tcW w:w="1617" w:type="dxa"/>
            <w:vMerge w:val="continue"/>
            <w:tcBorders>
              <w:top w:val="nil"/>
              <w:left w:val="single" w:color="auto" w:sz="8" w:space="0"/>
              <w:bottom w:val="single" w:color="000000" w:sz="4" w:space="0"/>
              <w:right w:val="single" w:color="auto" w:sz="4" w:space="0"/>
            </w:tcBorders>
            <w:vAlign w:val="center"/>
          </w:tcPr>
          <w:p>
            <w:pPr>
              <w:spacing w:line="360" w:lineRule="auto"/>
            </w:pPr>
          </w:p>
        </w:tc>
        <w:tc>
          <w:tcPr>
            <w:tcW w:w="5046" w:type="dxa"/>
            <w:tcBorders>
              <w:top w:val="nil"/>
              <w:left w:val="nil"/>
              <w:bottom w:val="single" w:color="auto" w:sz="4" w:space="0"/>
              <w:right w:val="single" w:color="auto" w:sz="4" w:space="0"/>
            </w:tcBorders>
            <w:vAlign w:val="center"/>
          </w:tcPr>
          <w:p>
            <w:pPr>
              <w:spacing w:line="360" w:lineRule="auto"/>
            </w:pPr>
            <w:r>
              <w:rPr>
                <w:rFonts w:hint="eastAsia"/>
              </w:rPr>
              <w:t>现有资源充足，但与其他项目之间有潜在的矛盾冲突，可能因某些预想不到的问题而影响进度</w:t>
            </w:r>
          </w:p>
        </w:tc>
        <w:tc>
          <w:tcPr>
            <w:tcW w:w="1701" w:type="dxa"/>
            <w:tcBorders>
              <w:top w:val="nil"/>
              <w:left w:val="nil"/>
              <w:bottom w:val="single" w:color="auto" w:sz="4" w:space="0"/>
              <w:right w:val="single" w:color="auto" w:sz="8" w:space="0"/>
            </w:tcBorders>
            <w:vAlign w:val="center"/>
          </w:tcPr>
          <w:p>
            <w:pPr>
              <w:spacing w:line="360" w:lineRule="auto"/>
            </w:pPr>
            <w:r>
              <w:rPr>
                <w:rFonts w:hint="eastAsia"/>
              </w:rPr>
              <w:t>中等风险</w:t>
            </w:r>
          </w:p>
        </w:tc>
      </w:tr>
      <w:tr>
        <w:tblPrEx>
          <w:tblLayout w:type="fixed"/>
          <w:tblCellMar>
            <w:top w:w="0" w:type="dxa"/>
            <w:left w:w="108" w:type="dxa"/>
            <w:bottom w:w="0" w:type="dxa"/>
            <w:right w:w="108" w:type="dxa"/>
          </w:tblCellMar>
        </w:tblPrEx>
        <w:trPr>
          <w:trHeight w:val="540" w:hRule="atLeast"/>
        </w:trPr>
        <w:tc>
          <w:tcPr>
            <w:tcW w:w="1617" w:type="dxa"/>
            <w:vMerge w:val="continue"/>
            <w:tcBorders>
              <w:top w:val="nil"/>
              <w:left w:val="single" w:color="auto" w:sz="8" w:space="0"/>
              <w:bottom w:val="single" w:color="000000" w:sz="4" w:space="0"/>
              <w:right w:val="single" w:color="auto" w:sz="4" w:space="0"/>
            </w:tcBorders>
            <w:vAlign w:val="center"/>
          </w:tcPr>
          <w:p>
            <w:pPr>
              <w:spacing w:line="360" w:lineRule="auto"/>
            </w:pPr>
          </w:p>
        </w:tc>
        <w:tc>
          <w:tcPr>
            <w:tcW w:w="5046" w:type="dxa"/>
            <w:tcBorders>
              <w:top w:val="nil"/>
              <w:left w:val="nil"/>
              <w:bottom w:val="single" w:color="auto" w:sz="4" w:space="0"/>
              <w:right w:val="single" w:color="auto" w:sz="4" w:space="0"/>
            </w:tcBorders>
            <w:vAlign w:val="center"/>
          </w:tcPr>
          <w:p>
            <w:pPr>
              <w:spacing w:line="360" w:lineRule="auto"/>
            </w:pPr>
            <w:r>
              <w:rPr>
                <w:rFonts w:hint="eastAsia"/>
              </w:rPr>
              <w:t>现有资源不足或与其他项目之间存在严重的潜在冲突</w:t>
            </w:r>
          </w:p>
        </w:tc>
        <w:tc>
          <w:tcPr>
            <w:tcW w:w="1701" w:type="dxa"/>
            <w:tcBorders>
              <w:top w:val="nil"/>
              <w:left w:val="nil"/>
              <w:bottom w:val="single" w:color="auto" w:sz="4" w:space="0"/>
              <w:right w:val="single" w:color="auto" w:sz="8" w:space="0"/>
            </w:tcBorders>
            <w:vAlign w:val="center"/>
          </w:tcPr>
          <w:p>
            <w:pPr>
              <w:spacing w:line="360" w:lineRule="auto"/>
            </w:pPr>
            <w:r>
              <w:rPr>
                <w:rFonts w:hint="eastAsia"/>
              </w:rPr>
              <w:t>高风险</w:t>
            </w:r>
          </w:p>
        </w:tc>
      </w:tr>
      <w:tr>
        <w:tblPrEx>
          <w:tblLayout w:type="fixed"/>
          <w:tblCellMar>
            <w:top w:w="0" w:type="dxa"/>
            <w:left w:w="108" w:type="dxa"/>
            <w:bottom w:w="0" w:type="dxa"/>
            <w:right w:w="108" w:type="dxa"/>
          </w:tblCellMar>
        </w:tblPrEx>
        <w:trPr>
          <w:trHeight w:val="540" w:hRule="atLeast"/>
        </w:trPr>
        <w:tc>
          <w:tcPr>
            <w:tcW w:w="1617" w:type="dxa"/>
            <w:vMerge w:val="restart"/>
            <w:tcBorders>
              <w:top w:val="nil"/>
              <w:left w:val="single" w:color="auto" w:sz="8" w:space="0"/>
              <w:bottom w:val="single" w:color="000000" w:sz="4" w:space="0"/>
              <w:right w:val="single" w:color="auto" w:sz="4" w:space="0"/>
            </w:tcBorders>
            <w:vAlign w:val="center"/>
          </w:tcPr>
          <w:p>
            <w:pPr>
              <w:spacing w:line="360" w:lineRule="auto"/>
            </w:pPr>
            <w:r>
              <w:rPr>
                <w:rFonts w:hint="eastAsia"/>
              </w:rPr>
              <w:t>项目人员经验</w:t>
            </w:r>
          </w:p>
        </w:tc>
        <w:tc>
          <w:tcPr>
            <w:tcW w:w="5046" w:type="dxa"/>
            <w:tcBorders>
              <w:top w:val="nil"/>
              <w:left w:val="nil"/>
              <w:bottom w:val="single" w:color="auto" w:sz="4" w:space="0"/>
              <w:right w:val="single" w:color="auto" w:sz="4" w:space="0"/>
            </w:tcBorders>
            <w:vAlign w:val="center"/>
          </w:tcPr>
          <w:p>
            <w:pPr>
              <w:spacing w:line="360" w:lineRule="auto"/>
            </w:pPr>
            <w:r>
              <w:rPr>
                <w:rFonts w:hint="eastAsia"/>
              </w:rPr>
              <w:t>参与该项目的人员在类似的项目中已积累了经验，有足够的知识储备可用于该项目</w:t>
            </w:r>
          </w:p>
        </w:tc>
        <w:tc>
          <w:tcPr>
            <w:tcW w:w="1701" w:type="dxa"/>
            <w:tcBorders>
              <w:top w:val="nil"/>
              <w:left w:val="nil"/>
              <w:bottom w:val="single" w:color="auto" w:sz="4" w:space="0"/>
              <w:right w:val="single" w:color="auto" w:sz="8" w:space="0"/>
            </w:tcBorders>
            <w:vAlign w:val="center"/>
          </w:tcPr>
          <w:p>
            <w:pPr>
              <w:spacing w:line="360" w:lineRule="auto"/>
            </w:pPr>
            <w:r>
              <w:rPr>
                <w:rFonts w:hint="eastAsia"/>
              </w:rPr>
              <w:t>低风险</w:t>
            </w:r>
          </w:p>
        </w:tc>
      </w:tr>
      <w:tr>
        <w:tblPrEx>
          <w:tblLayout w:type="fixed"/>
          <w:tblCellMar>
            <w:top w:w="0" w:type="dxa"/>
            <w:left w:w="108" w:type="dxa"/>
            <w:bottom w:w="0" w:type="dxa"/>
            <w:right w:w="108" w:type="dxa"/>
          </w:tblCellMar>
        </w:tblPrEx>
        <w:trPr>
          <w:trHeight w:val="540" w:hRule="atLeast"/>
        </w:trPr>
        <w:tc>
          <w:tcPr>
            <w:tcW w:w="1617" w:type="dxa"/>
            <w:vMerge w:val="continue"/>
            <w:tcBorders>
              <w:top w:val="nil"/>
              <w:left w:val="single" w:color="auto" w:sz="8" w:space="0"/>
              <w:bottom w:val="single" w:color="000000" w:sz="4" w:space="0"/>
              <w:right w:val="single" w:color="auto" w:sz="4" w:space="0"/>
            </w:tcBorders>
            <w:vAlign w:val="center"/>
          </w:tcPr>
          <w:p>
            <w:pPr>
              <w:spacing w:line="360" w:lineRule="auto"/>
            </w:pPr>
          </w:p>
        </w:tc>
        <w:tc>
          <w:tcPr>
            <w:tcW w:w="5046" w:type="dxa"/>
            <w:tcBorders>
              <w:top w:val="nil"/>
              <w:left w:val="nil"/>
              <w:bottom w:val="single" w:color="auto" w:sz="4" w:space="0"/>
              <w:right w:val="single" w:color="auto" w:sz="4" w:space="0"/>
            </w:tcBorders>
            <w:vAlign w:val="center"/>
          </w:tcPr>
          <w:p>
            <w:pPr>
              <w:spacing w:line="360" w:lineRule="auto"/>
            </w:pPr>
            <w:r>
              <w:rPr>
                <w:rFonts w:hint="eastAsia"/>
              </w:rPr>
              <w:t>参与人员在类似的项目中已有一般性经验，但在某些关键部门还缺乏有经验的人员</w:t>
            </w:r>
          </w:p>
        </w:tc>
        <w:tc>
          <w:tcPr>
            <w:tcW w:w="1701" w:type="dxa"/>
            <w:tcBorders>
              <w:top w:val="nil"/>
              <w:left w:val="nil"/>
              <w:bottom w:val="single" w:color="auto" w:sz="4" w:space="0"/>
              <w:right w:val="single" w:color="auto" w:sz="8" w:space="0"/>
            </w:tcBorders>
            <w:vAlign w:val="center"/>
          </w:tcPr>
          <w:p>
            <w:pPr>
              <w:spacing w:line="360" w:lineRule="auto"/>
            </w:pPr>
            <w:r>
              <w:rPr>
                <w:rFonts w:hint="eastAsia"/>
              </w:rPr>
              <w:t>中等风险</w:t>
            </w:r>
          </w:p>
        </w:tc>
      </w:tr>
      <w:tr>
        <w:tblPrEx>
          <w:tblLayout w:type="fixed"/>
          <w:tblCellMar>
            <w:top w:w="0" w:type="dxa"/>
            <w:left w:w="108" w:type="dxa"/>
            <w:bottom w:w="0" w:type="dxa"/>
            <w:right w:w="108" w:type="dxa"/>
          </w:tblCellMar>
        </w:tblPrEx>
        <w:trPr>
          <w:trHeight w:val="540" w:hRule="atLeast"/>
        </w:trPr>
        <w:tc>
          <w:tcPr>
            <w:tcW w:w="1617" w:type="dxa"/>
            <w:vMerge w:val="continue"/>
            <w:tcBorders>
              <w:top w:val="nil"/>
              <w:left w:val="single" w:color="auto" w:sz="8" w:space="0"/>
              <w:bottom w:val="single" w:color="000000" w:sz="4" w:space="0"/>
              <w:right w:val="single" w:color="auto" w:sz="4" w:space="0"/>
            </w:tcBorders>
            <w:vAlign w:val="center"/>
          </w:tcPr>
          <w:p>
            <w:pPr>
              <w:spacing w:line="360" w:lineRule="auto"/>
            </w:pPr>
          </w:p>
        </w:tc>
        <w:tc>
          <w:tcPr>
            <w:tcW w:w="5046" w:type="dxa"/>
            <w:tcBorders>
              <w:top w:val="nil"/>
              <w:left w:val="nil"/>
              <w:bottom w:val="single" w:color="auto" w:sz="4" w:space="0"/>
              <w:right w:val="single" w:color="auto" w:sz="4" w:space="0"/>
            </w:tcBorders>
            <w:vAlign w:val="center"/>
          </w:tcPr>
          <w:p>
            <w:pPr>
              <w:spacing w:line="360" w:lineRule="auto"/>
            </w:pPr>
            <w:r>
              <w:rPr>
                <w:rFonts w:hint="eastAsia"/>
              </w:rPr>
              <w:t>参与人员普遍没有在类似的项目中工作的经验，关键部门可用的有经验的人员很少</w:t>
            </w:r>
          </w:p>
        </w:tc>
        <w:tc>
          <w:tcPr>
            <w:tcW w:w="1701" w:type="dxa"/>
            <w:tcBorders>
              <w:top w:val="nil"/>
              <w:left w:val="nil"/>
              <w:bottom w:val="single" w:color="auto" w:sz="4" w:space="0"/>
              <w:right w:val="single" w:color="auto" w:sz="8" w:space="0"/>
            </w:tcBorders>
            <w:vAlign w:val="center"/>
          </w:tcPr>
          <w:p>
            <w:pPr>
              <w:spacing w:line="360" w:lineRule="auto"/>
            </w:pPr>
            <w:r>
              <w:rPr>
                <w:rFonts w:hint="eastAsia"/>
              </w:rPr>
              <w:t>高风险</w:t>
            </w:r>
          </w:p>
        </w:tc>
      </w:tr>
    </w:tbl>
    <w:p>
      <w:pPr>
        <w:spacing w:line="360" w:lineRule="auto"/>
      </w:pPr>
    </w:p>
    <w:p>
      <w:pPr>
        <w:spacing w:line="360" w:lineRule="auto"/>
        <w:rPr>
          <w:sz w:val="24"/>
          <w:szCs w:val="24"/>
        </w:rPr>
      </w:pPr>
      <w:r>
        <w:rPr>
          <w:rFonts w:hint="eastAsia"/>
          <w:sz w:val="24"/>
          <w:szCs w:val="24"/>
        </w:rPr>
        <w:t>（三）费用风险</w:t>
      </w:r>
    </w:p>
    <w:p>
      <w:pPr>
        <w:spacing w:line="360" w:lineRule="auto"/>
        <w:ind w:firstLine="480" w:firstLineChars="200"/>
        <w:rPr>
          <w:sz w:val="24"/>
          <w:szCs w:val="24"/>
        </w:rPr>
      </w:pPr>
      <w:r>
        <w:rPr>
          <w:rFonts w:hint="eastAsia"/>
          <w:sz w:val="24"/>
          <w:szCs w:val="24"/>
        </w:rPr>
        <w:t>费用风险是指由于项目任务要求不明确，或受技术和进度等因素的影响而可能给项目费用带来超支的可能性。该风险可从任务要求明确性、技术风险影响、进度风险影响、成本预算准确性、合同影响五个因素出发进行估计。费用风险的级别描述如下表所示。</w:t>
      </w:r>
    </w:p>
    <w:tbl>
      <w:tblPr>
        <w:tblStyle w:val="34"/>
        <w:tblW w:w="8364" w:type="dxa"/>
        <w:tblInd w:w="108" w:type="dxa"/>
        <w:tblLayout w:type="fixed"/>
        <w:tblCellMar>
          <w:top w:w="0" w:type="dxa"/>
          <w:left w:w="108" w:type="dxa"/>
          <w:bottom w:w="0" w:type="dxa"/>
          <w:right w:w="108" w:type="dxa"/>
        </w:tblCellMar>
      </w:tblPr>
      <w:tblGrid>
        <w:gridCol w:w="1617"/>
        <w:gridCol w:w="5046"/>
        <w:gridCol w:w="1701"/>
      </w:tblGrid>
      <w:tr>
        <w:tblPrEx>
          <w:tblLayout w:type="fixed"/>
          <w:tblCellMar>
            <w:top w:w="0" w:type="dxa"/>
            <w:left w:w="108" w:type="dxa"/>
            <w:bottom w:w="0" w:type="dxa"/>
            <w:right w:w="108" w:type="dxa"/>
          </w:tblCellMar>
        </w:tblPrEx>
        <w:trPr>
          <w:trHeight w:val="390" w:hRule="atLeast"/>
          <w:tblHeader/>
        </w:trPr>
        <w:tc>
          <w:tcPr>
            <w:tcW w:w="6663" w:type="dxa"/>
            <w:gridSpan w:val="2"/>
            <w:tcBorders>
              <w:top w:val="single" w:color="auto" w:sz="8" w:space="0"/>
              <w:left w:val="single" w:color="auto" w:sz="8" w:space="0"/>
              <w:bottom w:val="single" w:color="auto" w:sz="8" w:space="0"/>
              <w:right w:val="single" w:color="000000" w:sz="4" w:space="0"/>
            </w:tcBorders>
            <w:shd w:val="clear" w:color="auto" w:fill="D9D9D9"/>
            <w:vAlign w:val="center"/>
          </w:tcPr>
          <w:p>
            <w:pPr>
              <w:spacing w:line="360" w:lineRule="auto"/>
            </w:pPr>
            <w:r>
              <w:rPr>
                <w:rFonts w:hint="eastAsia"/>
              </w:rPr>
              <w:t>费用风险</w:t>
            </w:r>
          </w:p>
        </w:tc>
        <w:tc>
          <w:tcPr>
            <w:tcW w:w="1701" w:type="dxa"/>
            <w:tcBorders>
              <w:top w:val="single" w:color="auto" w:sz="8" w:space="0"/>
              <w:left w:val="nil"/>
              <w:bottom w:val="single" w:color="auto" w:sz="8" w:space="0"/>
              <w:right w:val="single" w:color="auto" w:sz="8" w:space="0"/>
            </w:tcBorders>
            <w:shd w:val="clear" w:color="auto" w:fill="D9D9D9"/>
            <w:vAlign w:val="center"/>
          </w:tcPr>
          <w:p>
            <w:pPr>
              <w:spacing w:line="360" w:lineRule="auto"/>
            </w:pPr>
            <w:r>
              <w:rPr>
                <w:rFonts w:hint="eastAsia"/>
              </w:rPr>
              <w:t>风险级别</w:t>
            </w:r>
          </w:p>
        </w:tc>
      </w:tr>
      <w:tr>
        <w:tblPrEx>
          <w:tblLayout w:type="fixed"/>
          <w:tblCellMar>
            <w:top w:w="0" w:type="dxa"/>
            <w:left w:w="108" w:type="dxa"/>
            <w:bottom w:w="0" w:type="dxa"/>
            <w:right w:w="108" w:type="dxa"/>
          </w:tblCellMar>
        </w:tblPrEx>
        <w:trPr>
          <w:trHeight w:val="540" w:hRule="atLeast"/>
        </w:trPr>
        <w:tc>
          <w:tcPr>
            <w:tcW w:w="1617" w:type="dxa"/>
            <w:vMerge w:val="restart"/>
            <w:tcBorders>
              <w:top w:val="nil"/>
              <w:left w:val="single" w:color="auto" w:sz="8" w:space="0"/>
              <w:bottom w:val="single" w:color="000000" w:sz="4" w:space="0"/>
              <w:right w:val="single" w:color="auto" w:sz="4" w:space="0"/>
            </w:tcBorders>
            <w:vAlign w:val="center"/>
          </w:tcPr>
          <w:p>
            <w:pPr>
              <w:spacing w:line="360" w:lineRule="auto"/>
            </w:pPr>
            <w:r>
              <w:rPr>
                <w:rFonts w:hint="eastAsia"/>
              </w:rPr>
              <w:t>任务要求明确性</w:t>
            </w:r>
          </w:p>
        </w:tc>
        <w:tc>
          <w:tcPr>
            <w:tcW w:w="5046" w:type="dxa"/>
            <w:tcBorders>
              <w:top w:val="nil"/>
              <w:left w:val="nil"/>
              <w:bottom w:val="single" w:color="auto" w:sz="4" w:space="0"/>
              <w:right w:val="single" w:color="auto" w:sz="4" w:space="0"/>
            </w:tcBorders>
            <w:vAlign w:val="center"/>
          </w:tcPr>
          <w:p>
            <w:pPr>
              <w:spacing w:line="360" w:lineRule="auto"/>
            </w:pPr>
            <w:r>
              <w:rPr>
                <w:rFonts w:hint="eastAsia"/>
              </w:rPr>
              <w:t>任务要求明确，使用防和承制方队任务有共同的理解</w:t>
            </w:r>
          </w:p>
        </w:tc>
        <w:tc>
          <w:tcPr>
            <w:tcW w:w="1701" w:type="dxa"/>
            <w:tcBorders>
              <w:top w:val="nil"/>
              <w:left w:val="nil"/>
              <w:bottom w:val="single" w:color="auto" w:sz="4" w:space="0"/>
              <w:right w:val="single" w:color="auto" w:sz="8" w:space="0"/>
            </w:tcBorders>
            <w:vAlign w:val="center"/>
          </w:tcPr>
          <w:p>
            <w:pPr>
              <w:spacing w:line="360" w:lineRule="auto"/>
            </w:pPr>
            <w:r>
              <w:rPr>
                <w:rFonts w:hint="eastAsia"/>
              </w:rPr>
              <w:t>低风险</w:t>
            </w:r>
          </w:p>
        </w:tc>
      </w:tr>
      <w:tr>
        <w:tblPrEx>
          <w:tblLayout w:type="fixed"/>
          <w:tblCellMar>
            <w:top w:w="0" w:type="dxa"/>
            <w:left w:w="108" w:type="dxa"/>
            <w:bottom w:w="0" w:type="dxa"/>
            <w:right w:w="108" w:type="dxa"/>
          </w:tblCellMar>
        </w:tblPrEx>
        <w:trPr>
          <w:trHeight w:val="540" w:hRule="atLeast"/>
        </w:trPr>
        <w:tc>
          <w:tcPr>
            <w:tcW w:w="1617" w:type="dxa"/>
            <w:vMerge w:val="continue"/>
            <w:tcBorders>
              <w:top w:val="nil"/>
              <w:left w:val="single" w:color="auto" w:sz="8" w:space="0"/>
              <w:bottom w:val="single" w:color="000000" w:sz="4" w:space="0"/>
              <w:right w:val="single" w:color="auto" w:sz="4" w:space="0"/>
            </w:tcBorders>
            <w:vAlign w:val="center"/>
          </w:tcPr>
          <w:p>
            <w:pPr>
              <w:spacing w:line="360" w:lineRule="auto"/>
            </w:pPr>
          </w:p>
        </w:tc>
        <w:tc>
          <w:tcPr>
            <w:tcW w:w="5046" w:type="dxa"/>
            <w:tcBorders>
              <w:top w:val="nil"/>
              <w:left w:val="nil"/>
              <w:bottom w:val="single" w:color="auto" w:sz="4" w:space="0"/>
              <w:right w:val="single" w:color="auto" w:sz="4" w:space="0"/>
            </w:tcBorders>
            <w:vAlign w:val="center"/>
          </w:tcPr>
          <w:p>
            <w:pPr>
              <w:spacing w:line="360" w:lineRule="auto"/>
            </w:pPr>
            <w:r>
              <w:rPr>
                <w:rFonts w:hint="eastAsia"/>
              </w:rPr>
              <w:t>任务要求基本明确，某些细节上尚需进一步确定</w:t>
            </w:r>
          </w:p>
        </w:tc>
        <w:tc>
          <w:tcPr>
            <w:tcW w:w="1701" w:type="dxa"/>
            <w:tcBorders>
              <w:top w:val="nil"/>
              <w:left w:val="nil"/>
              <w:bottom w:val="single" w:color="auto" w:sz="4" w:space="0"/>
              <w:right w:val="single" w:color="auto" w:sz="8" w:space="0"/>
            </w:tcBorders>
            <w:vAlign w:val="center"/>
          </w:tcPr>
          <w:p>
            <w:pPr>
              <w:spacing w:line="360" w:lineRule="auto"/>
            </w:pPr>
            <w:r>
              <w:rPr>
                <w:rFonts w:hint="eastAsia"/>
              </w:rPr>
              <w:t>中等风险</w:t>
            </w:r>
          </w:p>
        </w:tc>
      </w:tr>
      <w:tr>
        <w:tblPrEx>
          <w:tblLayout w:type="fixed"/>
          <w:tblCellMar>
            <w:top w:w="0" w:type="dxa"/>
            <w:left w:w="108" w:type="dxa"/>
            <w:bottom w:w="0" w:type="dxa"/>
            <w:right w:w="108" w:type="dxa"/>
          </w:tblCellMar>
        </w:tblPrEx>
        <w:trPr>
          <w:trHeight w:val="540" w:hRule="atLeast"/>
        </w:trPr>
        <w:tc>
          <w:tcPr>
            <w:tcW w:w="1617" w:type="dxa"/>
            <w:vMerge w:val="continue"/>
            <w:tcBorders>
              <w:top w:val="nil"/>
              <w:left w:val="single" w:color="auto" w:sz="8" w:space="0"/>
              <w:bottom w:val="single" w:color="000000" w:sz="4" w:space="0"/>
              <w:right w:val="single" w:color="auto" w:sz="4" w:space="0"/>
            </w:tcBorders>
            <w:vAlign w:val="center"/>
          </w:tcPr>
          <w:p>
            <w:pPr>
              <w:spacing w:line="360" w:lineRule="auto"/>
            </w:pPr>
          </w:p>
        </w:tc>
        <w:tc>
          <w:tcPr>
            <w:tcW w:w="5046" w:type="dxa"/>
            <w:tcBorders>
              <w:top w:val="nil"/>
              <w:left w:val="nil"/>
              <w:bottom w:val="single" w:color="auto" w:sz="4" w:space="0"/>
              <w:right w:val="single" w:color="auto" w:sz="4" w:space="0"/>
            </w:tcBorders>
            <w:vAlign w:val="center"/>
          </w:tcPr>
          <w:p>
            <w:pPr>
              <w:spacing w:line="360" w:lineRule="auto"/>
            </w:pPr>
            <w:r>
              <w:rPr>
                <w:rFonts w:hint="eastAsia"/>
              </w:rPr>
              <w:t>任务要求不明确，使用方可能不断提出新的要求或双方对任务要求有不同的理解</w:t>
            </w:r>
          </w:p>
        </w:tc>
        <w:tc>
          <w:tcPr>
            <w:tcW w:w="1701" w:type="dxa"/>
            <w:tcBorders>
              <w:top w:val="nil"/>
              <w:left w:val="nil"/>
              <w:bottom w:val="single" w:color="auto" w:sz="4" w:space="0"/>
              <w:right w:val="single" w:color="auto" w:sz="8" w:space="0"/>
            </w:tcBorders>
            <w:vAlign w:val="center"/>
          </w:tcPr>
          <w:p>
            <w:pPr>
              <w:spacing w:line="360" w:lineRule="auto"/>
            </w:pPr>
            <w:r>
              <w:rPr>
                <w:rFonts w:hint="eastAsia"/>
              </w:rPr>
              <w:t>高风险</w:t>
            </w:r>
          </w:p>
        </w:tc>
      </w:tr>
      <w:tr>
        <w:tblPrEx>
          <w:tblLayout w:type="fixed"/>
          <w:tblCellMar>
            <w:top w:w="0" w:type="dxa"/>
            <w:left w:w="108" w:type="dxa"/>
            <w:bottom w:w="0" w:type="dxa"/>
            <w:right w:w="108" w:type="dxa"/>
          </w:tblCellMar>
        </w:tblPrEx>
        <w:trPr>
          <w:trHeight w:val="270" w:hRule="atLeast"/>
        </w:trPr>
        <w:tc>
          <w:tcPr>
            <w:tcW w:w="1617" w:type="dxa"/>
            <w:vMerge w:val="restart"/>
            <w:tcBorders>
              <w:top w:val="nil"/>
              <w:left w:val="single" w:color="auto" w:sz="8" w:space="0"/>
              <w:bottom w:val="single" w:color="000000" w:sz="4" w:space="0"/>
              <w:right w:val="single" w:color="auto" w:sz="4" w:space="0"/>
            </w:tcBorders>
            <w:vAlign w:val="center"/>
          </w:tcPr>
          <w:p>
            <w:pPr>
              <w:spacing w:line="360" w:lineRule="auto"/>
            </w:pPr>
            <w:r>
              <w:rPr>
                <w:rFonts w:hint="eastAsia"/>
              </w:rPr>
              <w:t>技术风险影响</w:t>
            </w:r>
          </w:p>
        </w:tc>
        <w:tc>
          <w:tcPr>
            <w:tcW w:w="5046" w:type="dxa"/>
            <w:tcBorders>
              <w:top w:val="nil"/>
              <w:left w:val="nil"/>
              <w:bottom w:val="single" w:color="auto" w:sz="4" w:space="0"/>
              <w:right w:val="single" w:color="auto" w:sz="4" w:space="0"/>
            </w:tcBorders>
            <w:vAlign w:val="center"/>
          </w:tcPr>
          <w:p>
            <w:pPr>
              <w:spacing w:line="360" w:lineRule="auto"/>
            </w:pPr>
            <w:r>
              <w:rPr>
                <w:rFonts w:hint="eastAsia"/>
              </w:rPr>
              <w:t>无高风险项目，中等风险项目不超过2个</w:t>
            </w:r>
          </w:p>
        </w:tc>
        <w:tc>
          <w:tcPr>
            <w:tcW w:w="1701" w:type="dxa"/>
            <w:tcBorders>
              <w:top w:val="nil"/>
              <w:left w:val="nil"/>
              <w:bottom w:val="single" w:color="auto" w:sz="4" w:space="0"/>
              <w:right w:val="single" w:color="auto" w:sz="8" w:space="0"/>
            </w:tcBorders>
            <w:vAlign w:val="center"/>
          </w:tcPr>
          <w:p>
            <w:pPr>
              <w:spacing w:line="360" w:lineRule="auto"/>
            </w:pPr>
            <w:r>
              <w:rPr>
                <w:rFonts w:hint="eastAsia"/>
              </w:rPr>
              <w:t>低风险</w:t>
            </w:r>
          </w:p>
        </w:tc>
      </w:tr>
      <w:tr>
        <w:tblPrEx>
          <w:tblLayout w:type="fixed"/>
          <w:tblCellMar>
            <w:top w:w="0" w:type="dxa"/>
            <w:left w:w="108" w:type="dxa"/>
            <w:bottom w:w="0" w:type="dxa"/>
            <w:right w:w="108" w:type="dxa"/>
          </w:tblCellMar>
        </w:tblPrEx>
        <w:trPr>
          <w:trHeight w:val="270" w:hRule="atLeast"/>
        </w:trPr>
        <w:tc>
          <w:tcPr>
            <w:tcW w:w="1617" w:type="dxa"/>
            <w:vMerge w:val="continue"/>
            <w:tcBorders>
              <w:top w:val="nil"/>
              <w:left w:val="single" w:color="auto" w:sz="8" w:space="0"/>
              <w:bottom w:val="single" w:color="000000" w:sz="4" w:space="0"/>
              <w:right w:val="single" w:color="auto" w:sz="4" w:space="0"/>
            </w:tcBorders>
            <w:vAlign w:val="center"/>
          </w:tcPr>
          <w:p>
            <w:pPr>
              <w:spacing w:line="360" w:lineRule="auto"/>
            </w:pPr>
          </w:p>
        </w:tc>
        <w:tc>
          <w:tcPr>
            <w:tcW w:w="5046" w:type="dxa"/>
            <w:tcBorders>
              <w:top w:val="nil"/>
              <w:left w:val="nil"/>
              <w:bottom w:val="single" w:color="auto" w:sz="4" w:space="0"/>
              <w:right w:val="single" w:color="auto" w:sz="4" w:space="0"/>
            </w:tcBorders>
            <w:vAlign w:val="center"/>
          </w:tcPr>
          <w:p>
            <w:pPr>
              <w:spacing w:line="360" w:lineRule="auto"/>
            </w:pPr>
            <w:r>
              <w:rPr>
                <w:rFonts w:hint="eastAsia"/>
              </w:rPr>
              <w:t>无高风险项目，中等风险项目超过3个</w:t>
            </w:r>
          </w:p>
        </w:tc>
        <w:tc>
          <w:tcPr>
            <w:tcW w:w="1701" w:type="dxa"/>
            <w:tcBorders>
              <w:top w:val="nil"/>
              <w:left w:val="nil"/>
              <w:bottom w:val="single" w:color="auto" w:sz="4" w:space="0"/>
              <w:right w:val="single" w:color="auto" w:sz="8" w:space="0"/>
            </w:tcBorders>
            <w:vAlign w:val="center"/>
          </w:tcPr>
          <w:p>
            <w:pPr>
              <w:spacing w:line="360" w:lineRule="auto"/>
            </w:pPr>
            <w:r>
              <w:rPr>
                <w:rFonts w:hint="eastAsia"/>
              </w:rPr>
              <w:t>中等风险</w:t>
            </w:r>
          </w:p>
        </w:tc>
      </w:tr>
      <w:tr>
        <w:tblPrEx>
          <w:tblLayout w:type="fixed"/>
          <w:tblCellMar>
            <w:top w:w="0" w:type="dxa"/>
            <w:left w:w="108" w:type="dxa"/>
            <w:bottom w:w="0" w:type="dxa"/>
            <w:right w:w="108" w:type="dxa"/>
          </w:tblCellMar>
        </w:tblPrEx>
        <w:trPr>
          <w:trHeight w:val="270" w:hRule="atLeast"/>
        </w:trPr>
        <w:tc>
          <w:tcPr>
            <w:tcW w:w="1617" w:type="dxa"/>
            <w:vMerge w:val="continue"/>
            <w:tcBorders>
              <w:top w:val="nil"/>
              <w:left w:val="single" w:color="auto" w:sz="8" w:space="0"/>
              <w:bottom w:val="single" w:color="000000" w:sz="4" w:space="0"/>
              <w:right w:val="single" w:color="auto" w:sz="4" w:space="0"/>
            </w:tcBorders>
            <w:vAlign w:val="center"/>
          </w:tcPr>
          <w:p>
            <w:pPr>
              <w:spacing w:line="360" w:lineRule="auto"/>
            </w:pPr>
          </w:p>
        </w:tc>
        <w:tc>
          <w:tcPr>
            <w:tcW w:w="5046" w:type="dxa"/>
            <w:tcBorders>
              <w:top w:val="nil"/>
              <w:left w:val="nil"/>
              <w:bottom w:val="single" w:color="auto" w:sz="4" w:space="0"/>
              <w:right w:val="single" w:color="auto" w:sz="4" w:space="0"/>
            </w:tcBorders>
            <w:vAlign w:val="center"/>
          </w:tcPr>
          <w:p>
            <w:pPr>
              <w:spacing w:line="360" w:lineRule="auto"/>
            </w:pPr>
            <w:r>
              <w:rPr>
                <w:rFonts w:hint="eastAsia"/>
              </w:rPr>
              <w:t>有1个以上的高风险项目</w:t>
            </w:r>
          </w:p>
        </w:tc>
        <w:tc>
          <w:tcPr>
            <w:tcW w:w="1701" w:type="dxa"/>
            <w:tcBorders>
              <w:top w:val="nil"/>
              <w:left w:val="nil"/>
              <w:bottom w:val="single" w:color="auto" w:sz="4" w:space="0"/>
              <w:right w:val="single" w:color="auto" w:sz="8" w:space="0"/>
            </w:tcBorders>
            <w:vAlign w:val="center"/>
          </w:tcPr>
          <w:p>
            <w:pPr>
              <w:spacing w:line="360" w:lineRule="auto"/>
            </w:pPr>
            <w:r>
              <w:rPr>
                <w:rFonts w:hint="eastAsia"/>
              </w:rPr>
              <w:t>高风险</w:t>
            </w:r>
          </w:p>
        </w:tc>
      </w:tr>
      <w:tr>
        <w:tblPrEx>
          <w:tblLayout w:type="fixed"/>
          <w:tblCellMar>
            <w:top w:w="0" w:type="dxa"/>
            <w:left w:w="108" w:type="dxa"/>
            <w:bottom w:w="0" w:type="dxa"/>
            <w:right w:w="108" w:type="dxa"/>
          </w:tblCellMar>
        </w:tblPrEx>
        <w:trPr>
          <w:trHeight w:val="540" w:hRule="atLeast"/>
        </w:trPr>
        <w:tc>
          <w:tcPr>
            <w:tcW w:w="1617" w:type="dxa"/>
            <w:vMerge w:val="restart"/>
            <w:tcBorders>
              <w:top w:val="nil"/>
              <w:left w:val="single" w:color="auto" w:sz="8" w:space="0"/>
              <w:bottom w:val="single" w:color="000000" w:sz="4" w:space="0"/>
              <w:right w:val="single" w:color="auto" w:sz="4" w:space="0"/>
            </w:tcBorders>
            <w:vAlign w:val="center"/>
          </w:tcPr>
          <w:p>
            <w:pPr>
              <w:spacing w:line="360" w:lineRule="auto"/>
            </w:pPr>
            <w:r>
              <w:rPr>
                <w:rFonts w:hint="eastAsia"/>
              </w:rPr>
              <w:t>进度风险影响</w:t>
            </w:r>
          </w:p>
        </w:tc>
        <w:tc>
          <w:tcPr>
            <w:tcW w:w="5046" w:type="dxa"/>
            <w:tcBorders>
              <w:top w:val="nil"/>
              <w:left w:val="nil"/>
              <w:bottom w:val="single" w:color="auto" w:sz="4" w:space="0"/>
              <w:right w:val="single" w:color="auto" w:sz="4" w:space="0"/>
            </w:tcBorders>
            <w:vAlign w:val="center"/>
          </w:tcPr>
          <w:p>
            <w:pPr>
              <w:spacing w:line="360" w:lineRule="auto"/>
            </w:pPr>
            <w:r>
              <w:rPr>
                <w:rFonts w:hint="eastAsia"/>
              </w:rPr>
              <w:t>无高风险项目，中等风险的进度指标不超过2个</w:t>
            </w:r>
          </w:p>
        </w:tc>
        <w:tc>
          <w:tcPr>
            <w:tcW w:w="1701" w:type="dxa"/>
            <w:tcBorders>
              <w:top w:val="nil"/>
              <w:left w:val="nil"/>
              <w:bottom w:val="single" w:color="auto" w:sz="4" w:space="0"/>
              <w:right w:val="single" w:color="auto" w:sz="8" w:space="0"/>
            </w:tcBorders>
            <w:vAlign w:val="center"/>
          </w:tcPr>
          <w:p>
            <w:pPr>
              <w:spacing w:line="360" w:lineRule="auto"/>
            </w:pPr>
            <w:r>
              <w:rPr>
                <w:rFonts w:hint="eastAsia"/>
              </w:rPr>
              <w:t>低风险</w:t>
            </w:r>
          </w:p>
        </w:tc>
      </w:tr>
      <w:tr>
        <w:tblPrEx>
          <w:tblLayout w:type="fixed"/>
          <w:tblCellMar>
            <w:top w:w="0" w:type="dxa"/>
            <w:left w:w="108" w:type="dxa"/>
            <w:bottom w:w="0" w:type="dxa"/>
            <w:right w:w="108" w:type="dxa"/>
          </w:tblCellMar>
        </w:tblPrEx>
        <w:trPr>
          <w:trHeight w:val="270" w:hRule="atLeast"/>
        </w:trPr>
        <w:tc>
          <w:tcPr>
            <w:tcW w:w="1617" w:type="dxa"/>
            <w:vMerge w:val="continue"/>
            <w:tcBorders>
              <w:top w:val="nil"/>
              <w:left w:val="single" w:color="auto" w:sz="8" w:space="0"/>
              <w:bottom w:val="single" w:color="000000" w:sz="4" w:space="0"/>
              <w:right w:val="single" w:color="auto" w:sz="4" w:space="0"/>
            </w:tcBorders>
            <w:vAlign w:val="center"/>
          </w:tcPr>
          <w:p>
            <w:pPr>
              <w:spacing w:line="360" w:lineRule="auto"/>
            </w:pPr>
          </w:p>
        </w:tc>
        <w:tc>
          <w:tcPr>
            <w:tcW w:w="5046" w:type="dxa"/>
            <w:tcBorders>
              <w:top w:val="nil"/>
              <w:left w:val="nil"/>
              <w:bottom w:val="single" w:color="auto" w:sz="4" w:space="0"/>
              <w:right w:val="single" w:color="auto" w:sz="4" w:space="0"/>
            </w:tcBorders>
            <w:vAlign w:val="center"/>
          </w:tcPr>
          <w:p>
            <w:pPr>
              <w:spacing w:line="360" w:lineRule="auto"/>
            </w:pPr>
            <w:r>
              <w:rPr>
                <w:rFonts w:hint="eastAsia"/>
              </w:rPr>
              <w:t>无高风险项目，中等风险项目超过3个</w:t>
            </w:r>
          </w:p>
        </w:tc>
        <w:tc>
          <w:tcPr>
            <w:tcW w:w="1701" w:type="dxa"/>
            <w:tcBorders>
              <w:top w:val="nil"/>
              <w:left w:val="nil"/>
              <w:bottom w:val="single" w:color="auto" w:sz="4" w:space="0"/>
              <w:right w:val="single" w:color="auto" w:sz="8" w:space="0"/>
            </w:tcBorders>
            <w:vAlign w:val="center"/>
          </w:tcPr>
          <w:p>
            <w:pPr>
              <w:spacing w:line="360" w:lineRule="auto"/>
            </w:pPr>
            <w:r>
              <w:rPr>
                <w:rFonts w:hint="eastAsia"/>
              </w:rPr>
              <w:t>中等风险</w:t>
            </w:r>
          </w:p>
        </w:tc>
      </w:tr>
      <w:tr>
        <w:tblPrEx>
          <w:tblLayout w:type="fixed"/>
          <w:tblCellMar>
            <w:top w:w="0" w:type="dxa"/>
            <w:left w:w="108" w:type="dxa"/>
            <w:bottom w:w="0" w:type="dxa"/>
            <w:right w:w="108" w:type="dxa"/>
          </w:tblCellMar>
        </w:tblPrEx>
        <w:trPr>
          <w:trHeight w:val="270" w:hRule="atLeast"/>
        </w:trPr>
        <w:tc>
          <w:tcPr>
            <w:tcW w:w="1617" w:type="dxa"/>
            <w:vMerge w:val="continue"/>
            <w:tcBorders>
              <w:top w:val="nil"/>
              <w:left w:val="single" w:color="auto" w:sz="8" w:space="0"/>
              <w:bottom w:val="single" w:color="000000" w:sz="4" w:space="0"/>
              <w:right w:val="single" w:color="auto" w:sz="4" w:space="0"/>
            </w:tcBorders>
            <w:vAlign w:val="center"/>
          </w:tcPr>
          <w:p>
            <w:pPr>
              <w:spacing w:line="360" w:lineRule="auto"/>
            </w:pPr>
          </w:p>
        </w:tc>
        <w:tc>
          <w:tcPr>
            <w:tcW w:w="5046" w:type="dxa"/>
            <w:tcBorders>
              <w:top w:val="nil"/>
              <w:left w:val="nil"/>
              <w:bottom w:val="single" w:color="auto" w:sz="4" w:space="0"/>
              <w:right w:val="single" w:color="auto" w:sz="4" w:space="0"/>
            </w:tcBorders>
            <w:vAlign w:val="center"/>
          </w:tcPr>
          <w:p>
            <w:pPr>
              <w:spacing w:line="360" w:lineRule="auto"/>
            </w:pPr>
            <w:r>
              <w:rPr>
                <w:rFonts w:hint="eastAsia"/>
              </w:rPr>
              <w:t>有1个以上的高风险项目</w:t>
            </w:r>
          </w:p>
        </w:tc>
        <w:tc>
          <w:tcPr>
            <w:tcW w:w="1701" w:type="dxa"/>
            <w:tcBorders>
              <w:top w:val="nil"/>
              <w:left w:val="nil"/>
              <w:bottom w:val="single" w:color="auto" w:sz="4" w:space="0"/>
              <w:right w:val="single" w:color="auto" w:sz="8" w:space="0"/>
            </w:tcBorders>
            <w:vAlign w:val="center"/>
          </w:tcPr>
          <w:p>
            <w:pPr>
              <w:spacing w:line="360" w:lineRule="auto"/>
            </w:pPr>
            <w:r>
              <w:rPr>
                <w:rFonts w:hint="eastAsia"/>
              </w:rPr>
              <w:t>高风险</w:t>
            </w:r>
          </w:p>
        </w:tc>
      </w:tr>
      <w:tr>
        <w:tblPrEx>
          <w:tblLayout w:type="fixed"/>
          <w:tblCellMar>
            <w:top w:w="0" w:type="dxa"/>
            <w:left w:w="108" w:type="dxa"/>
            <w:bottom w:w="0" w:type="dxa"/>
            <w:right w:w="108" w:type="dxa"/>
          </w:tblCellMar>
        </w:tblPrEx>
        <w:trPr>
          <w:trHeight w:val="540" w:hRule="atLeast"/>
        </w:trPr>
        <w:tc>
          <w:tcPr>
            <w:tcW w:w="1617" w:type="dxa"/>
            <w:vMerge w:val="restart"/>
            <w:tcBorders>
              <w:top w:val="nil"/>
              <w:left w:val="single" w:color="auto" w:sz="8" w:space="0"/>
              <w:bottom w:val="single" w:color="000000" w:sz="4" w:space="0"/>
              <w:right w:val="single" w:color="auto" w:sz="4" w:space="0"/>
            </w:tcBorders>
            <w:vAlign w:val="center"/>
          </w:tcPr>
          <w:p>
            <w:pPr>
              <w:spacing w:line="360" w:lineRule="auto"/>
            </w:pPr>
            <w:r>
              <w:rPr>
                <w:rFonts w:hint="eastAsia"/>
              </w:rPr>
              <w:t>成本预算准确性</w:t>
            </w:r>
          </w:p>
        </w:tc>
        <w:tc>
          <w:tcPr>
            <w:tcW w:w="5046" w:type="dxa"/>
            <w:tcBorders>
              <w:top w:val="nil"/>
              <w:left w:val="nil"/>
              <w:bottom w:val="single" w:color="auto" w:sz="4" w:space="0"/>
              <w:right w:val="single" w:color="auto" w:sz="4" w:space="0"/>
            </w:tcBorders>
            <w:vAlign w:val="center"/>
          </w:tcPr>
          <w:p>
            <w:pPr>
              <w:spacing w:line="360" w:lineRule="auto"/>
            </w:pPr>
            <w:r>
              <w:rPr>
                <w:rFonts w:hint="eastAsia"/>
              </w:rPr>
              <w:t>有充分的类似项目的历史数据可能参考，成本估算部门有足够可用的合格人员</w:t>
            </w:r>
          </w:p>
        </w:tc>
        <w:tc>
          <w:tcPr>
            <w:tcW w:w="1701" w:type="dxa"/>
            <w:tcBorders>
              <w:top w:val="nil"/>
              <w:left w:val="nil"/>
              <w:bottom w:val="single" w:color="auto" w:sz="4" w:space="0"/>
              <w:right w:val="single" w:color="auto" w:sz="8" w:space="0"/>
            </w:tcBorders>
            <w:vAlign w:val="center"/>
          </w:tcPr>
          <w:p>
            <w:pPr>
              <w:spacing w:line="360" w:lineRule="auto"/>
            </w:pPr>
            <w:r>
              <w:rPr>
                <w:rFonts w:hint="eastAsia"/>
              </w:rPr>
              <w:t>低风险</w:t>
            </w:r>
          </w:p>
        </w:tc>
      </w:tr>
      <w:tr>
        <w:tblPrEx>
          <w:tblLayout w:type="fixed"/>
          <w:tblCellMar>
            <w:top w:w="0" w:type="dxa"/>
            <w:left w:w="108" w:type="dxa"/>
            <w:bottom w:w="0" w:type="dxa"/>
            <w:right w:w="108" w:type="dxa"/>
          </w:tblCellMar>
        </w:tblPrEx>
        <w:trPr>
          <w:trHeight w:val="540" w:hRule="atLeast"/>
        </w:trPr>
        <w:tc>
          <w:tcPr>
            <w:tcW w:w="1617" w:type="dxa"/>
            <w:vMerge w:val="continue"/>
            <w:tcBorders>
              <w:top w:val="nil"/>
              <w:left w:val="single" w:color="auto" w:sz="8" w:space="0"/>
              <w:bottom w:val="single" w:color="000000" w:sz="4" w:space="0"/>
              <w:right w:val="single" w:color="auto" w:sz="4" w:space="0"/>
            </w:tcBorders>
            <w:vAlign w:val="center"/>
          </w:tcPr>
          <w:p>
            <w:pPr>
              <w:spacing w:line="360" w:lineRule="auto"/>
            </w:pPr>
          </w:p>
        </w:tc>
        <w:tc>
          <w:tcPr>
            <w:tcW w:w="5046" w:type="dxa"/>
            <w:tcBorders>
              <w:top w:val="nil"/>
              <w:left w:val="nil"/>
              <w:bottom w:val="single" w:color="auto" w:sz="4" w:space="0"/>
              <w:right w:val="single" w:color="auto" w:sz="4" w:space="0"/>
            </w:tcBorders>
            <w:vAlign w:val="center"/>
          </w:tcPr>
          <w:p>
            <w:pPr>
              <w:spacing w:line="360" w:lineRule="auto"/>
            </w:pPr>
            <w:r>
              <w:rPr>
                <w:rFonts w:hint="eastAsia"/>
              </w:rPr>
              <w:t>有足够可用的合格人员但仅有部分理事数据可供参考</w:t>
            </w:r>
          </w:p>
        </w:tc>
        <w:tc>
          <w:tcPr>
            <w:tcW w:w="1701" w:type="dxa"/>
            <w:tcBorders>
              <w:top w:val="nil"/>
              <w:left w:val="nil"/>
              <w:bottom w:val="single" w:color="auto" w:sz="4" w:space="0"/>
              <w:right w:val="single" w:color="auto" w:sz="8" w:space="0"/>
            </w:tcBorders>
            <w:vAlign w:val="center"/>
          </w:tcPr>
          <w:p>
            <w:pPr>
              <w:spacing w:line="360" w:lineRule="auto"/>
            </w:pPr>
            <w:r>
              <w:rPr>
                <w:rFonts w:hint="eastAsia"/>
              </w:rPr>
              <w:t>中等风险</w:t>
            </w:r>
          </w:p>
        </w:tc>
      </w:tr>
      <w:tr>
        <w:tblPrEx>
          <w:tblLayout w:type="fixed"/>
          <w:tblCellMar>
            <w:top w:w="0" w:type="dxa"/>
            <w:left w:w="108" w:type="dxa"/>
            <w:bottom w:w="0" w:type="dxa"/>
            <w:right w:w="108" w:type="dxa"/>
          </w:tblCellMar>
        </w:tblPrEx>
        <w:trPr>
          <w:trHeight w:val="540" w:hRule="atLeast"/>
        </w:trPr>
        <w:tc>
          <w:tcPr>
            <w:tcW w:w="1617" w:type="dxa"/>
            <w:vMerge w:val="continue"/>
            <w:tcBorders>
              <w:top w:val="nil"/>
              <w:left w:val="single" w:color="auto" w:sz="8" w:space="0"/>
              <w:bottom w:val="single" w:color="000000" w:sz="4" w:space="0"/>
              <w:right w:val="single" w:color="auto" w:sz="4" w:space="0"/>
            </w:tcBorders>
            <w:vAlign w:val="center"/>
          </w:tcPr>
          <w:p>
            <w:pPr>
              <w:spacing w:line="360" w:lineRule="auto"/>
            </w:pPr>
          </w:p>
        </w:tc>
        <w:tc>
          <w:tcPr>
            <w:tcW w:w="5046" w:type="dxa"/>
            <w:tcBorders>
              <w:top w:val="nil"/>
              <w:left w:val="nil"/>
              <w:bottom w:val="single" w:color="auto" w:sz="4" w:space="0"/>
              <w:right w:val="single" w:color="auto" w:sz="4" w:space="0"/>
            </w:tcBorders>
            <w:vAlign w:val="center"/>
          </w:tcPr>
          <w:p>
            <w:pPr>
              <w:spacing w:line="360" w:lineRule="auto"/>
            </w:pPr>
            <w:r>
              <w:rPr>
                <w:rFonts w:hint="eastAsia"/>
              </w:rPr>
              <w:t>缺乏可用的合格人员且无类似项目的历史数据可供参考</w:t>
            </w:r>
          </w:p>
        </w:tc>
        <w:tc>
          <w:tcPr>
            <w:tcW w:w="1701" w:type="dxa"/>
            <w:tcBorders>
              <w:top w:val="nil"/>
              <w:left w:val="nil"/>
              <w:bottom w:val="single" w:color="auto" w:sz="4" w:space="0"/>
              <w:right w:val="single" w:color="auto" w:sz="8" w:space="0"/>
            </w:tcBorders>
            <w:vAlign w:val="center"/>
          </w:tcPr>
          <w:p>
            <w:pPr>
              <w:spacing w:line="360" w:lineRule="auto"/>
            </w:pPr>
            <w:r>
              <w:rPr>
                <w:rFonts w:hint="eastAsia"/>
              </w:rPr>
              <w:t>高风险</w:t>
            </w:r>
          </w:p>
        </w:tc>
      </w:tr>
    </w:tbl>
    <w:p>
      <w:pPr>
        <w:spacing w:line="360" w:lineRule="auto"/>
      </w:pPr>
    </w:p>
    <w:p>
      <w:pPr>
        <w:spacing w:line="360" w:lineRule="auto"/>
        <w:rPr>
          <w:sz w:val="24"/>
          <w:szCs w:val="24"/>
        </w:rPr>
      </w:pPr>
      <w:r>
        <w:rPr>
          <w:rFonts w:hint="eastAsia"/>
          <w:sz w:val="24"/>
          <w:szCs w:val="24"/>
        </w:rPr>
        <w:t>四、外部风险</w:t>
      </w:r>
    </w:p>
    <w:p>
      <w:pPr>
        <w:spacing w:line="360" w:lineRule="auto"/>
        <w:ind w:firstLine="480" w:firstLineChars="200"/>
        <w:rPr>
          <w:sz w:val="24"/>
          <w:szCs w:val="24"/>
        </w:rPr>
      </w:pPr>
      <w:r>
        <w:rPr>
          <w:rFonts w:hint="eastAsia"/>
          <w:sz w:val="24"/>
          <w:szCs w:val="24"/>
        </w:rPr>
        <w:t>外部风险主要是指由于国际、国内的政治、经济技术的波动（如重大政策变化、战争、动乱等），或者由于自然界产生的灾害（如地震、洪水等）而可能给项目带来的风险。这类风险属于大环境下的自然风险，一般是致命的，几乎无法弥补的风险。这类风险往往属于“不可抗力”，一般不作为风险因素处理，而采用灾难防御措施。</w:t>
      </w:r>
    </w:p>
    <w:p>
      <w:pPr>
        <w:spacing w:line="360" w:lineRule="auto"/>
        <w:rPr>
          <w:sz w:val="24"/>
          <w:szCs w:val="24"/>
        </w:rPr>
      </w:pPr>
      <w:r>
        <w:rPr>
          <w:rFonts w:hint="eastAsia"/>
          <w:sz w:val="24"/>
          <w:szCs w:val="24"/>
        </w:rPr>
        <w:t>五、过程性能风险</w:t>
      </w:r>
    </w:p>
    <w:p>
      <w:pPr>
        <w:spacing w:line="360" w:lineRule="auto"/>
        <w:ind w:firstLine="480" w:firstLineChars="200"/>
        <w:rPr>
          <w:sz w:val="24"/>
          <w:szCs w:val="24"/>
        </w:rPr>
      </w:pPr>
      <w:r>
        <w:rPr>
          <w:rFonts w:hint="eastAsia"/>
          <w:sz w:val="24"/>
          <w:szCs w:val="24"/>
        </w:rPr>
        <w:t>项目过程性能风险主要来源于项目选择进行统计过程控制的度量目标和对应的子过程的过程性能，如果项目子过程性能基线中产生异常，如下：</w:t>
      </w:r>
    </w:p>
    <w:p>
      <w:pPr>
        <w:spacing w:line="360" w:lineRule="auto"/>
        <w:rPr>
          <w:sz w:val="24"/>
          <w:szCs w:val="24"/>
        </w:rPr>
      </w:pPr>
      <w:r>
        <w:rPr>
          <w:rFonts w:hint="eastAsia"/>
          <w:sz w:val="24"/>
          <w:szCs w:val="24"/>
        </w:rPr>
        <w:t>最基本的过程不稳定测试方法是</w:t>
      </w:r>
      <w:r>
        <w:rPr>
          <w:sz w:val="24"/>
          <w:szCs w:val="24"/>
        </w:rPr>
        <w:t>Western Electric</w:t>
      </w:r>
      <w:r>
        <w:rPr>
          <w:rFonts w:hint="eastAsia"/>
          <w:sz w:val="24"/>
          <w:szCs w:val="24"/>
        </w:rPr>
        <w:t>在《</w:t>
      </w:r>
      <w:r>
        <w:rPr>
          <w:sz w:val="24"/>
          <w:szCs w:val="24"/>
        </w:rPr>
        <w:t>Handbook</w:t>
      </w:r>
      <w:r>
        <w:rPr>
          <w:rFonts w:hint="eastAsia"/>
          <w:sz w:val="24"/>
          <w:szCs w:val="24"/>
        </w:rPr>
        <w:t>》提出了</w:t>
      </w:r>
      <w:r>
        <w:rPr>
          <w:sz w:val="24"/>
          <w:szCs w:val="24"/>
        </w:rPr>
        <w:t>4</w:t>
      </w:r>
      <w:r>
        <w:rPr>
          <w:rFonts w:hint="eastAsia"/>
          <w:sz w:val="24"/>
          <w:szCs w:val="24"/>
        </w:rPr>
        <w:t>种有效的测试不稳定过程的方法，如图所示：</w:t>
      </w:r>
    </w:p>
    <w:p>
      <w:pPr>
        <w:spacing w:line="360" w:lineRule="auto"/>
        <w:rPr>
          <w:sz w:val="24"/>
          <w:szCs w:val="24"/>
        </w:rPr>
      </w:pPr>
      <w:r>
        <w:rPr>
          <w:rFonts w:hint="eastAsia"/>
          <w:sz w:val="24"/>
          <w:szCs w:val="24"/>
        </w:rPr>
        <w:t>测试</w:t>
      </w:r>
      <w:r>
        <w:rPr>
          <w:sz w:val="24"/>
          <w:szCs w:val="24"/>
        </w:rPr>
        <w:t xml:space="preserve">1 </w:t>
      </w:r>
      <w:r>
        <w:rPr>
          <w:rFonts w:hint="eastAsia"/>
          <w:sz w:val="24"/>
          <w:szCs w:val="24"/>
        </w:rPr>
        <w:t>：一个点落在</w:t>
      </w:r>
      <w:r>
        <w:rPr>
          <w:sz w:val="24"/>
          <w:szCs w:val="24"/>
        </w:rPr>
        <w:t>3σ</w:t>
      </w:r>
      <w:r>
        <w:rPr>
          <w:rFonts w:hint="eastAsia"/>
          <w:sz w:val="24"/>
          <w:szCs w:val="24"/>
        </w:rPr>
        <w:t>控制限之外（</w:t>
      </w:r>
      <w:r>
        <w:rPr>
          <w:sz w:val="24"/>
          <w:szCs w:val="24"/>
        </w:rPr>
        <w:t>C</w:t>
      </w:r>
      <w:r>
        <w:rPr>
          <w:rFonts w:hint="eastAsia"/>
          <w:sz w:val="24"/>
          <w:szCs w:val="24"/>
        </w:rPr>
        <w:t>区之外）；</w:t>
      </w:r>
    </w:p>
    <w:p>
      <w:pPr>
        <w:spacing w:line="360" w:lineRule="auto"/>
        <w:rPr>
          <w:sz w:val="24"/>
          <w:szCs w:val="24"/>
        </w:rPr>
      </w:pPr>
      <w:r>
        <w:rPr>
          <w:rFonts w:hint="eastAsia"/>
          <w:sz w:val="24"/>
          <w:szCs w:val="24"/>
        </w:rPr>
        <w:t>测试2：三个相继的点中至少两个点落在中心线的同一侧，并且距离中心线有两个以上的σ单位（落在</w:t>
      </w:r>
      <w:r>
        <w:rPr>
          <w:sz w:val="24"/>
          <w:szCs w:val="24"/>
        </w:rPr>
        <w:t>C</w:t>
      </w:r>
      <w:r>
        <w:rPr>
          <w:rFonts w:hint="eastAsia"/>
          <w:sz w:val="24"/>
          <w:szCs w:val="24"/>
        </w:rPr>
        <w:t>区）；</w:t>
      </w:r>
    </w:p>
    <w:p>
      <w:pPr>
        <w:spacing w:line="360" w:lineRule="auto"/>
        <w:rPr>
          <w:sz w:val="24"/>
          <w:szCs w:val="24"/>
        </w:rPr>
      </w:pPr>
      <w:r>
        <w:rPr>
          <w:rFonts w:hint="eastAsia"/>
          <w:sz w:val="24"/>
          <w:szCs w:val="24"/>
        </w:rPr>
        <w:t>测试</w:t>
      </w:r>
      <w:r>
        <w:rPr>
          <w:sz w:val="24"/>
          <w:szCs w:val="24"/>
        </w:rPr>
        <w:t xml:space="preserve">3 </w:t>
      </w:r>
      <w:r>
        <w:rPr>
          <w:rFonts w:hint="eastAsia"/>
          <w:sz w:val="24"/>
          <w:szCs w:val="24"/>
        </w:rPr>
        <w:t>：五个相继的点中至少四个点落在中心线的同一侧，并且距离中心线有一个以上的σ单位（落在</w:t>
      </w:r>
      <w:r>
        <w:rPr>
          <w:sz w:val="24"/>
          <w:szCs w:val="24"/>
        </w:rPr>
        <w:t>B</w:t>
      </w:r>
      <w:r>
        <w:rPr>
          <w:rFonts w:hint="eastAsia"/>
          <w:sz w:val="24"/>
          <w:szCs w:val="24"/>
        </w:rPr>
        <w:t>区）；</w:t>
      </w:r>
    </w:p>
    <w:p>
      <w:pPr>
        <w:spacing w:line="360" w:lineRule="auto"/>
        <w:rPr>
          <w:sz w:val="24"/>
          <w:szCs w:val="24"/>
        </w:rPr>
      </w:pPr>
      <w:r>
        <w:rPr>
          <w:rFonts w:hint="eastAsia"/>
          <w:sz w:val="24"/>
          <w:szCs w:val="24"/>
        </w:rPr>
        <w:t>测试</w:t>
      </w:r>
      <w:r>
        <w:rPr>
          <w:sz w:val="24"/>
          <w:szCs w:val="24"/>
        </w:rPr>
        <w:t xml:space="preserve">4 </w:t>
      </w:r>
      <w:r>
        <w:rPr>
          <w:rFonts w:hint="eastAsia"/>
          <w:sz w:val="24"/>
          <w:szCs w:val="24"/>
        </w:rPr>
        <w:t>：至少八个相继的点落在中心线的同一。</w:t>
      </w:r>
    </w:p>
    <w:p>
      <w:pPr>
        <w:spacing w:line="360" w:lineRule="auto"/>
      </w:pPr>
      <w:r>
        <mc:AlternateContent>
          <mc:Choice Requires="wps">
            <w:drawing>
              <wp:anchor distT="0" distB="0" distL="114300" distR="114300" simplePos="0" relativeHeight="251669504" behindDoc="0" locked="0" layoutInCell="1" allowOverlap="1">
                <wp:simplePos x="0" y="0"/>
                <wp:positionH relativeFrom="column">
                  <wp:posOffset>210820</wp:posOffset>
                </wp:positionH>
                <wp:positionV relativeFrom="paragraph">
                  <wp:posOffset>1204595</wp:posOffset>
                </wp:positionV>
                <wp:extent cx="574040" cy="203835"/>
                <wp:effectExtent l="8890" t="13970" r="883920" b="210820"/>
                <wp:wrapNone/>
                <wp:docPr id="517" name="圆角矩形标注 517"/>
                <wp:cNvGraphicFramePr/>
                <a:graphic xmlns:a="http://schemas.openxmlformats.org/drawingml/2006/main">
                  <a:graphicData uri="http://schemas.microsoft.com/office/word/2010/wordprocessingShape">
                    <wps:wsp>
                      <wps:cNvSpPr>
                        <a:spLocks noChangeArrowheads="1"/>
                      </wps:cNvSpPr>
                      <wps:spPr bwMode="auto">
                        <a:xfrm>
                          <a:off x="0" y="0"/>
                          <a:ext cx="574040" cy="203835"/>
                        </a:xfrm>
                        <a:prstGeom prst="wedgeRoundRectCallout">
                          <a:avLst>
                            <a:gd name="adj1" fmla="val 202778"/>
                            <a:gd name="adj2" fmla="val 127352"/>
                            <a:gd name="adj3" fmla="val 16667"/>
                          </a:avLst>
                        </a:prstGeom>
                        <a:solidFill>
                          <a:srgbClr val="FFFFFF"/>
                        </a:solidFill>
                        <a:ln w="9525">
                          <a:solidFill>
                            <a:srgbClr val="000000"/>
                          </a:solidFill>
                          <a:miter lim="800000"/>
                        </a:ln>
                      </wps:spPr>
                      <wps:txbx>
                        <w:txbxContent>
                          <w:p>
                            <w:r>
                              <w:rPr>
                                <w:rFonts w:hint="eastAsia"/>
                              </w:rPr>
                              <w:t>测试</w:t>
                            </w:r>
                            <w:r>
                              <w:t>4</w:t>
                            </w:r>
                          </w:p>
                          <w:p/>
                          <w:p>
                            <w:r>
                              <w:rPr>
                                <w:rFonts w:hint="eastAsia"/>
                              </w:rPr>
                              <w:t>测试</w:t>
                            </w:r>
                            <w:r>
                              <w:t>4</w:t>
                            </w:r>
                          </w:p>
                        </w:txbxContent>
                      </wps:txbx>
                      <wps:bodyPr rot="0" vert="horz" wrap="square" lIns="91440" tIns="0" rIns="91440" bIns="0" anchor="t" anchorCtr="0" upright="1">
                        <a:noAutofit/>
                      </wps:bodyPr>
                    </wps:wsp>
                  </a:graphicData>
                </a:graphic>
              </wp:anchor>
            </w:drawing>
          </mc:Choice>
          <mc:Fallback>
            <w:pict>
              <v:shape id="_x0000_s1026" o:spid="_x0000_s1026" o:spt="62" type="#_x0000_t62" style="position:absolute;left:0pt;margin-left:16.6pt;margin-top:94.85pt;height:16.05pt;width:45.2pt;z-index:251669504;mso-width-relative:page;mso-height-relative:page;" fillcolor="#FFFFFF" filled="t" stroked="t" coordsize="21600,21600" o:gfxdata="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dKBkM2QAAAAoBAAAPAAAAAAAAAAEAIAAAACIAAABkcnMvZG93bnJldi54bWxQSwEC&#10;FAAUAAAACACHTuJASedehWUCAAC7BAAADgAAAAAAAAABACAAAAAoAQAAZHJzL2Uyb0RvYy54bWxQ&#10;SwUGAAAAAAYABgBZAQAA/wUAAAAA&#10;" adj="54600,38308,14400">
                <v:fill on="t" focussize="0,0"/>
                <v:stroke color="#000000" miterlimit="8" joinstyle="miter"/>
                <v:imagedata o:title=""/>
                <o:lock v:ext="edit" aspectratio="f"/>
                <v:textbox inset="2.54mm,0mm,2.54mm,0mm">
                  <w:txbxContent>
                    <w:p>
                      <w:r>
                        <w:rPr>
                          <w:rFonts w:hint="eastAsia"/>
                        </w:rPr>
                        <w:t>测试</w:t>
                      </w:r>
                      <w:r>
                        <w:t>4</w:t>
                      </w:r>
                    </w:p>
                    <w:p/>
                    <w:p>
                      <w:r>
                        <w:rPr>
                          <w:rFonts w:hint="eastAsia"/>
                        </w:rPr>
                        <w:t>测试</w:t>
                      </w:r>
                      <w:r>
                        <w:t>4</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210820</wp:posOffset>
                </wp:positionH>
                <wp:positionV relativeFrom="paragraph">
                  <wp:posOffset>2426970</wp:posOffset>
                </wp:positionV>
                <wp:extent cx="574040" cy="203835"/>
                <wp:effectExtent l="8890" t="112395" r="550545" b="7620"/>
                <wp:wrapNone/>
                <wp:docPr id="516" name="圆角矩形标注 516"/>
                <wp:cNvGraphicFramePr/>
                <a:graphic xmlns:a="http://schemas.openxmlformats.org/drawingml/2006/main">
                  <a:graphicData uri="http://schemas.microsoft.com/office/word/2010/wordprocessingShape">
                    <wps:wsp>
                      <wps:cNvSpPr>
                        <a:spLocks noChangeArrowheads="1"/>
                      </wps:cNvSpPr>
                      <wps:spPr bwMode="auto">
                        <a:xfrm>
                          <a:off x="0" y="0"/>
                          <a:ext cx="574040" cy="203835"/>
                        </a:xfrm>
                        <a:prstGeom prst="wedgeRoundRectCallout">
                          <a:avLst>
                            <a:gd name="adj1" fmla="val 144444"/>
                            <a:gd name="adj2" fmla="val -86750"/>
                            <a:gd name="adj3" fmla="val 16667"/>
                          </a:avLst>
                        </a:prstGeom>
                        <a:solidFill>
                          <a:srgbClr val="FFFFFF"/>
                        </a:solidFill>
                        <a:ln w="9525">
                          <a:solidFill>
                            <a:srgbClr val="000000"/>
                          </a:solidFill>
                          <a:miter lim="800000"/>
                        </a:ln>
                      </wps:spPr>
                      <wps:txbx>
                        <w:txbxContent>
                          <w:p>
                            <w:r>
                              <w:rPr>
                                <w:rFonts w:hint="eastAsia"/>
                              </w:rPr>
                              <w:t>测试</w:t>
                            </w:r>
                            <w:r>
                              <w:t xml:space="preserve">3 </w:t>
                            </w:r>
                          </w:p>
                          <w:p/>
                          <w:p>
                            <w:r>
                              <w:rPr>
                                <w:rFonts w:hint="eastAsia"/>
                              </w:rPr>
                              <w:t>测试</w:t>
                            </w:r>
                            <w:r>
                              <w:t xml:space="preserve">3 </w:t>
                            </w:r>
                          </w:p>
                        </w:txbxContent>
                      </wps:txbx>
                      <wps:bodyPr rot="0" vert="horz" wrap="square" lIns="91440" tIns="0" rIns="91440" bIns="0" anchor="t" anchorCtr="0" upright="1">
                        <a:noAutofit/>
                      </wps:bodyPr>
                    </wps:wsp>
                  </a:graphicData>
                </a:graphic>
              </wp:anchor>
            </w:drawing>
          </mc:Choice>
          <mc:Fallback>
            <w:pict>
              <v:shape id="_x0000_s1026" o:spid="_x0000_s1026" o:spt="62" type="#_x0000_t62" style="position:absolute;left:0pt;margin-left:16.6pt;margin-top:191.1pt;height:16.05pt;width:45.2pt;z-index:251670528;mso-width-relative:page;mso-height-relative:page;" fillcolor="#FFFFFF" filled="t" stroked="t" coordsize="21600,21600" o:gfxdata="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KM7X4NYAAAAKAQAADwAAAAAAAAABACAAAAAiAAAAZHJzL2Rvd25yZXYueG1sUEsBAhQA&#10;FAAAAAgAh07iQKCtgxRmAgAAuwQAAA4AAAAAAAAAAQAgAAAAJQEAAGRycy9lMm9Eb2MueG1sUEsF&#10;BgAAAAAGAAYAWQEAAP0FAAAAAA==&#10;" adj="42000,-7938,14400">
                <v:fill on="t" focussize="0,0"/>
                <v:stroke color="#000000" miterlimit="8" joinstyle="miter"/>
                <v:imagedata o:title=""/>
                <o:lock v:ext="edit" aspectratio="f"/>
                <v:textbox inset="2.54mm,0mm,2.54mm,0mm">
                  <w:txbxContent>
                    <w:p>
                      <w:r>
                        <w:rPr>
                          <w:rFonts w:hint="eastAsia"/>
                        </w:rPr>
                        <w:t>测试</w:t>
                      </w:r>
                      <w:r>
                        <w:t xml:space="preserve">3 </w:t>
                      </w:r>
                    </w:p>
                    <w:p/>
                    <w:p>
                      <w:r>
                        <w:rPr>
                          <w:rFonts w:hint="eastAsia"/>
                        </w:rPr>
                        <w:t>测试</w:t>
                      </w:r>
                      <w:r>
                        <w:t xml:space="preserve">3 </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4323080</wp:posOffset>
                </wp:positionH>
                <wp:positionV relativeFrom="paragraph">
                  <wp:posOffset>525145</wp:posOffset>
                </wp:positionV>
                <wp:extent cx="574040" cy="203835"/>
                <wp:effectExtent l="473075" t="10795" r="10160" b="42545"/>
                <wp:wrapNone/>
                <wp:docPr id="515" name="圆角矩形标注 515"/>
                <wp:cNvGraphicFramePr/>
                <a:graphic xmlns:a="http://schemas.openxmlformats.org/drawingml/2006/main">
                  <a:graphicData uri="http://schemas.microsoft.com/office/word/2010/wordprocessingShape">
                    <wps:wsp>
                      <wps:cNvSpPr>
                        <a:spLocks noChangeArrowheads="1"/>
                      </wps:cNvSpPr>
                      <wps:spPr bwMode="auto">
                        <a:xfrm>
                          <a:off x="0" y="0"/>
                          <a:ext cx="574040" cy="203835"/>
                        </a:xfrm>
                        <a:prstGeom prst="wedgeRoundRectCallout">
                          <a:avLst>
                            <a:gd name="adj1" fmla="val -130556"/>
                            <a:gd name="adj2" fmla="val 58120"/>
                            <a:gd name="adj3" fmla="val 16667"/>
                          </a:avLst>
                        </a:prstGeom>
                        <a:solidFill>
                          <a:srgbClr val="FFFFFF"/>
                        </a:solidFill>
                        <a:ln w="9525">
                          <a:solidFill>
                            <a:srgbClr val="000000"/>
                          </a:solidFill>
                          <a:miter lim="800000"/>
                        </a:ln>
                      </wps:spPr>
                      <wps:txbx>
                        <w:txbxContent>
                          <w:p>
                            <w:r>
                              <w:rPr>
                                <w:rFonts w:hint="eastAsia"/>
                              </w:rPr>
                              <w:t>测试</w:t>
                            </w:r>
                            <w:r>
                              <w:t xml:space="preserve">2 </w:t>
                            </w:r>
                          </w:p>
                          <w:p/>
                          <w:p>
                            <w:r>
                              <w:rPr>
                                <w:rFonts w:hint="eastAsia"/>
                              </w:rPr>
                              <w:t>测试</w:t>
                            </w:r>
                            <w:r>
                              <w:t xml:space="preserve">2 </w:t>
                            </w:r>
                          </w:p>
                        </w:txbxContent>
                      </wps:txbx>
                      <wps:bodyPr rot="0" vert="horz" wrap="square" lIns="72000" tIns="0" rIns="0" bIns="0" anchor="t" anchorCtr="0" upright="1">
                        <a:noAutofit/>
                      </wps:bodyPr>
                    </wps:wsp>
                  </a:graphicData>
                </a:graphic>
              </wp:anchor>
            </w:drawing>
          </mc:Choice>
          <mc:Fallback>
            <w:pict>
              <v:shape id="_x0000_s1026" o:spid="_x0000_s1026" o:spt="62" type="#_x0000_t62" style="position:absolute;left:0pt;margin-left:340.4pt;margin-top:41.35pt;height:16.05pt;width:45.2pt;z-index:251671552;mso-width-relative:page;mso-height-relative:page;" fillcolor="#FFFFFF" filled="t" stroked="t" coordsize="21600,21600" o:gfxdata="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QT39bYAAAACgEAAA8AAAAAAAAAAQAgAAAAIgAAAGRycy9kb3ducmV2LnhtbFBL&#10;AQIUABQAAAAIAIdO4kCfICWoaAIAALcEAAAOAAAAAAAAAAEAIAAAACcBAABkcnMvZTJvRG9jLnht&#10;bFBLBQYAAAAABgAGAFkBAAABBgAAAAA=&#10;" adj="-17400,23354,14400">
                <v:fill on="t" focussize="0,0"/>
                <v:stroke color="#000000" miterlimit="8" joinstyle="miter"/>
                <v:imagedata o:title=""/>
                <o:lock v:ext="edit" aspectratio="f"/>
                <v:textbox inset="2mm,0mm,0mm,0mm">
                  <w:txbxContent>
                    <w:p>
                      <w:r>
                        <w:rPr>
                          <w:rFonts w:hint="eastAsia"/>
                        </w:rPr>
                        <w:t>测试</w:t>
                      </w:r>
                      <w:r>
                        <w:t xml:space="preserve">2 </w:t>
                      </w:r>
                    </w:p>
                    <w:p/>
                    <w:p>
                      <w:r>
                        <w:rPr>
                          <w:rFonts w:hint="eastAsia"/>
                        </w:rPr>
                        <w:t>测试</w:t>
                      </w:r>
                      <w:r>
                        <w:t xml:space="preserve">2 </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3653790</wp:posOffset>
                </wp:positionH>
                <wp:positionV relativeFrom="paragraph">
                  <wp:posOffset>253365</wp:posOffset>
                </wp:positionV>
                <wp:extent cx="574040" cy="203835"/>
                <wp:effectExtent l="470535" t="5715" r="12700" b="38100"/>
                <wp:wrapNone/>
                <wp:docPr id="514" name="圆角矩形标注 514"/>
                <wp:cNvGraphicFramePr/>
                <a:graphic xmlns:a="http://schemas.openxmlformats.org/drawingml/2006/main">
                  <a:graphicData uri="http://schemas.microsoft.com/office/word/2010/wordprocessingShape">
                    <wps:wsp>
                      <wps:cNvSpPr>
                        <a:spLocks noChangeArrowheads="1"/>
                      </wps:cNvSpPr>
                      <wps:spPr bwMode="auto">
                        <a:xfrm>
                          <a:off x="0" y="0"/>
                          <a:ext cx="574040" cy="203835"/>
                        </a:xfrm>
                        <a:prstGeom prst="wedgeRoundRectCallout">
                          <a:avLst>
                            <a:gd name="adj1" fmla="val -130556"/>
                            <a:gd name="adj2" fmla="val 58120"/>
                            <a:gd name="adj3" fmla="val 16667"/>
                          </a:avLst>
                        </a:prstGeom>
                        <a:solidFill>
                          <a:srgbClr val="FFFFFF"/>
                        </a:solidFill>
                        <a:ln w="9525">
                          <a:solidFill>
                            <a:srgbClr val="000000"/>
                          </a:solidFill>
                          <a:miter lim="800000"/>
                        </a:ln>
                      </wps:spPr>
                      <wps:txbx>
                        <w:txbxContent>
                          <w:p>
                            <w:r>
                              <w:rPr>
                                <w:rFonts w:hint="eastAsia"/>
                              </w:rPr>
                              <w:t>测试</w:t>
                            </w:r>
                            <w:r>
                              <w:t xml:space="preserve">1 </w:t>
                            </w:r>
                          </w:p>
                          <w:p/>
                          <w:p>
                            <w:r>
                              <w:rPr>
                                <w:rFonts w:hint="eastAsia"/>
                              </w:rPr>
                              <w:t>测试</w:t>
                            </w:r>
                            <w:r>
                              <w:t xml:space="preserve">1 </w:t>
                            </w:r>
                          </w:p>
                        </w:txbxContent>
                      </wps:txbx>
                      <wps:bodyPr rot="0" vert="horz" wrap="square" lIns="91440" tIns="0" rIns="91440" bIns="0" anchor="t" anchorCtr="0" upright="1">
                        <a:noAutofit/>
                      </wps:bodyPr>
                    </wps:wsp>
                  </a:graphicData>
                </a:graphic>
              </wp:anchor>
            </w:drawing>
          </mc:Choice>
          <mc:Fallback>
            <w:pict>
              <v:shape id="_x0000_s1026" o:spid="_x0000_s1026" o:spt="62" type="#_x0000_t62" style="position:absolute;left:0pt;margin-left:287.7pt;margin-top:19.95pt;height:16.05pt;width:45.2pt;z-index:251672576;mso-width-relative:page;mso-height-relative:page;" fillcolor="#FFFFFF" filled="t" stroked="t" coordsize="21600,21600" o:gfxdata="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BIH9JtoAAAAJAQAADwAAAAAAAAABACAAAAAiAAAAZHJzL2Rvd25yZXYueG1s&#10;UEsBAhQAFAAAAAgAh07iQJqPbR5oAgAAuwQAAA4AAAAAAAAAAQAgAAAAKQEAAGRycy9lMm9Eb2Mu&#10;eG1sUEsFBgAAAAAGAAYAWQEAAAMGAAAAAA==&#10;" adj="-17400,23354,14400">
                <v:fill on="t" focussize="0,0"/>
                <v:stroke color="#000000" miterlimit="8" joinstyle="miter"/>
                <v:imagedata o:title=""/>
                <o:lock v:ext="edit" aspectratio="f"/>
                <v:textbox inset="2.54mm,0mm,2.54mm,0mm">
                  <w:txbxContent>
                    <w:p>
                      <w:r>
                        <w:rPr>
                          <w:rFonts w:hint="eastAsia"/>
                        </w:rPr>
                        <w:t>测试</w:t>
                      </w:r>
                      <w:r>
                        <w:t xml:space="preserve">1 </w:t>
                      </w:r>
                    </w:p>
                    <w:p/>
                    <w:p>
                      <w:r>
                        <w:rPr>
                          <w:rFonts w:hint="eastAsia"/>
                        </w:rPr>
                        <w:t>测试</w:t>
                      </w:r>
                      <w:r>
                        <w:t xml:space="preserve">1 </w:t>
                      </w:r>
                    </w:p>
                  </w:txbxContent>
                </v:textbox>
              </v:shape>
            </w:pict>
          </mc:Fallback>
        </mc:AlternateContent>
      </w:r>
      <w:r>
        <mc:AlternateContent>
          <mc:Choice Requires="wpg">
            <w:drawing>
              <wp:anchor distT="0" distB="0" distL="114300" distR="114300" simplePos="0" relativeHeight="251673600" behindDoc="0" locked="0" layoutInCell="1" allowOverlap="1">
                <wp:simplePos x="0" y="0"/>
                <wp:positionH relativeFrom="column">
                  <wp:posOffset>1071880</wp:posOffset>
                </wp:positionH>
                <wp:positionV relativeFrom="paragraph">
                  <wp:posOffset>457200</wp:posOffset>
                </wp:positionV>
                <wp:extent cx="2964180" cy="1901825"/>
                <wp:effectExtent l="12700" t="9525" r="13970" b="12700"/>
                <wp:wrapNone/>
                <wp:docPr id="470" name="组合 470"/>
                <wp:cNvGraphicFramePr/>
                <a:graphic xmlns:a="http://schemas.openxmlformats.org/drawingml/2006/main">
                  <a:graphicData uri="http://schemas.microsoft.com/office/word/2010/wordprocessingGroup">
                    <wpg:wgp>
                      <wpg:cNvGrpSpPr/>
                      <wpg:grpSpPr>
                        <a:xfrm>
                          <a:off x="0" y="0"/>
                          <a:ext cx="2964180" cy="1901825"/>
                          <a:chOff x="2520" y="9084"/>
                          <a:chExt cx="5580" cy="4368"/>
                        </a:xfrm>
                      </wpg:grpSpPr>
                      <wps:wsp>
                        <wps:cNvPr id="471" name="Oval 23"/>
                        <wps:cNvSpPr>
                          <a:spLocks noChangeArrowheads="1"/>
                        </wps:cNvSpPr>
                        <wps:spPr bwMode="auto">
                          <a:xfrm>
                            <a:off x="6300" y="9240"/>
                            <a:ext cx="57" cy="5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72" name="Oval 24"/>
                        <wps:cNvSpPr>
                          <a:spLocks noChangeArrowheads="1"/>
                        </wps:cNvSpPr>
                        <wps:spPr bwMode="auto">
                          <a:xfrm>
                            <a:off x="3060" y="12672"/>
                            <a:ext cx="57" cy="5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73" name="Oval 25"/>
                        <wps:cNvSpPr>
                          <a:spLocks noChangeArrowheads="1"/>
                        </wps:cNvSpPr>
                        <wps:spPr bwMode="auto">
                          <a:xfrm>
                            <a:off x="3600" y="13140"/>
                            <a:ext cx="57" cy="5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74" name="Oval 26"/>
                        <wps:cNvSpPr>
                          <a:spLocks noChangeArrowheads="1"/>
                        </wps:cNvSpPr>
                        <wps:spPr bwMode="auto">
                          <a:xfrm>
                            <a:off x="3240" y="13140"/>
                            <a:ext cx="57" cy="5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75" name="Oval 27"/>
                        <wps:cNvSpPr>
                          <a:spLocks noChangeArrowheads="1"/>
                        </wps:cNvSpPr>
                        <wps:spPr bwMode="auto">
                          <a:xfrm>
                            <a:off x="3420" y="13296"/>
                            <a:ext cx="57" cy="5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76" name="Oval 28"/>
                        <wps:cNvSpPr>
                          <a:spLocks noChangeArrowheads="1"/>
                        </wps:cNvSpPr>
                        <wps:spPr bwMode="auto">
                          <a:xfrm>
                            <a:off x="2880" y="13140"/>
                            <a:ext cx="57" cy="5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77" name="Oval 29"/>
                        <wps:cNvSpPr>
                          <a:spLocks noChangeArrowheads="1"/>
                        </wps:cNvSpPr>
                        <wps:spPr bwMode="auto">
                          <a:xfrm>
                            <a:off x="2520" y="12672"/>
                            <a:ext cx="57" cy="5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78" name="Oval 30"/>
                        <wps:cNvSpPr>
                          <a:spLocks noChangeArrowheads="1"/>
                        </wps:cNvSpPr>
                        <wps:spPr bwMode="auto">
                          <a:xfrm>
                            <a:off x="3960" y="11580"/>
                            <a:ext cx="57" cy="5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79" name="Oval 31"/>
                        <wps:cNvSpPr>
                          <a:spLocks noChangeArrowheads="1"/>
                        </wps:cNvSpPr>
                        <wps:spPr bwMode="auto">
                          <a:xfrm>
                            <a:off x="4320" y="11892"/>
                            <a:ext cx="57" cy="5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80" name="Oval 32"/>
                        <wps:cNvSpPr>
                          <a:spLocks noChangeArrowheads="1"/>
                        </wps:cNvSpPr>
                        <wps:spPr bwMode="auto">
                          <a:xfrm>
                            <a:off x="4500" y="11736"/>
                            <a:ext cx="57" cy="5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81" name="Oval 33"/>
                        <wps:cNvSpPr>
                          <a:spLocks noChangeArrowheads="1"/>
                        </wps:cNvSpPr>
                        <wps:spPr bwMode="auto">
                          <a:xfrm>
                            <a:off x="4860" y="11736"/>
                            <a:ext cx="57" cy="5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82" name="Oval 34"/>
                        <wps:cNvSpPr>
                          <a:spLocks noChangeArrowheads="1"/>
                        </wps:cNvSpPr>
                        <wps:spPr bwMode="auto">
                          <a:xfrm>
                            <a:off x="5220" y="11580"/>
                            <a:ext cx="57" cy="5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83" name="Oval 35"/>
                        <wps:cNvSpPr>
                          <a:spLocks noChangeArrowheads="1"/>
                        </wps:cNvSpPr>
                        <wps:spPr bwMode="auto">
                          <a:xfrm>
                            <a:off x="5400" y="11892"/>
                            <a:ext cx="57" cy="5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84" name="Oval 36"/>
                        <wps:cNvSpPr>
                          <a:spLocks noChangeArrowheads="1"/>
                        </wps:cNvSpPr>
                        <wps:spPr bwMode="auto">
                          <a:xfrm>
                            <a:off x="5580" y="11580"/>
                            <a:ext cx="57" cy="5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85" name="Oval 37"/>
                        <wps:cNvSpPr>
                          <a:spLocks noChangeArrowheads="1"/>
                        </wps:cNvSpPr>
                        <wps:spPr bwMode="auto">
                          <a:xfrm>
                            <a:off x="5040" y="11424"/>
                            <a:ext cx="57" cy="5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86" name="Oval 38"/>
                        <wps:cNvSpPr>
                          <a:spLocks noChangeArrowheads="1"/>
                        </wps:cNvSpPr>
                        <wps:spPr bwMode="auto">
                          <a:xfrm>
                            <a:off x="5940" y="12360"/>
                            <a:ext cx="57" cy="5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87" name="Oval 39"/>
                        <wps:cNvSpPr>
                          <a:spLocks noChangeArrowheads="1"/>
                        </wps:cNvSpPr>
                        <wps:spPr bwMode="auto">
                          <a:xfrm>
                            <a:off x="7020" y="10020"/>
                            <a:ext cx="57" cy="5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88" name="Oval 40"/>
                        <wps:cNvSpPr>
                          <a:spLocks noChangeArrowheads="1"/>
                        </wps:cNvSpPr>
                        <wps:spPr bwMode="auto">
                          <a:xfrm>
                            <a:off x="7740" y="10020"/>
                            <a:ext cx="57" cy="5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89" name="Oval 41"/>
                        <wps:cNvSpPr>
                          <a:spLocks noChangeArrowheads="1"/>
                        </wps:cNvSpPr>
                        <wps:spPr bwMode="auto">
                          <a:xfrm>
                            <a:off x="7380" y="11580"/>
                            <a:ext cx="57" cy="5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90" name="Line 42"/>
                        <wps:cNvCnPr/>
                        <wps:spPr bwMode="auto">
                          <a:xfrm flipV="1">
                            <a:off x="2910" y="12687"/>
                            <a:ext cx="180" cy="468"/>
                          </a:xfrm>
                          <a:prstGeom prst="line">
                            <a:avLst/>
                          </a:prstGeom>
                          <a:noFill/>
                          <a:ln w="9525">
                            <a:solidFill>
                              <a:srgbClr val="000000"/>
                            </a:solidFill>
                            <a:round/>
                          </a:ln>
                        </wps:spPr>
                        <wps:bodyPr/>
                      </wps:wsp>
                      <wps:wsp>
                        <wps:cNvPr id="491" name="Line 43"/>
                        <wps:cNvCnPr/>
                        <wps:spPr bwMode="auto">
                          <a:xfrm>
                            <a:off x="3060" y="12672"/>
                            <a:ext cx="180" cy="468"/>
                          </a:xfrm>
                          <a:prstGeom prst="line">
                            <a:avLst/>
                          </a:prstGeom>
                          <a:noFill/>
                          <a:ln w="9525">
                            <a:solidFill>
                              <a:srgbClr val="000000"/>
                            </a:solidFill>
                            <a:round/>
                          </a:ln>
                        </wps:spPr>
                        <wps:bodyPr/>
                      </wps:wsp>
                      <wps:wsp>
                        <wps:cNvPr id="492" name="Line 44"/>
                        <wps:cNvCnPr/>
                        <wps:spPr bwMode="auto">
                          <a:xfrm>
                            <a:off x="3240" y="13140"/>
                            <a:ext cx="180" cy="156"/>
                          </a:xfrm>
                          <a:prstGeom prst="line">
                            <a:avLst/>
                          </a:prstGeom>
                          <a:noFill/>
                          <a:ln w="9525">
                            <a:solidFill>
                              <a:srgbClr val="000000"/>
                            </a:solidFill>
                            <a:round/>
                          </a:ln>
                        </wps:spPr>
                        <wps:bodyPr/>
                      </wps:wsp>
                      <wps:wsp>
                        <wps:cNvPr id="493" name="Line 45"/>
                        <wps:cNvCnPr/>
                        <wps:spPr bwMode="auto">
                          <a:xfrm flipV="1">
                            <a:off x="3465" y="13155"/>
                            <a:ext cx="180" cy="156"/>
                          </a:xfrm>
                          <a:prstGeom prst="line">
                            <a:avLst/>
                          </a:prstGeom>
                          <a:noFill/>
                          <a:ln w="9525">
                            <a:solidFill>
                              <a:srgbClr val="000000"/>
                            </a:solidFill>
                            <a:round/>
                          </a:ln>
                        </wps:spPr>
                        <wps:bodyPr/>
                      </wps:wsp>
                      <wps:wsp>
                        <wps:cNvPr id="494" name="Line 46"/>
                        <wps:cNvCnPr/>
                        <wps:spPr bwMode="auto">
                          <a:xfrm>
                            <a:off x="2520" y="12672"/>
                            <a:ext cx="360" cy="468"/>
                          </a:xfrm>
                          <a:prstGeom prst="line">
                            <a:avLst/>
                          </a:prstGeom>
                          <a:noFill/>
                          <a:ln w="9525">
                            <a:solidFill>
                              <a:srgbClr val="000000"/>
                            </a:solidFill>
                            <a:round/>
                          </a:ln>
                        </wps:spPr>
                        <wps:bodyPr/>
                      </wps:wsp>
                      <wps:wsp>
                        <wps:cNvPr id="495" name="Oval 47"/>
                        <wps:cNvSpPr>
                          <a:spLocks noChangeArrowheads="1"/>
                        </wps:cNvSpPr>
                        <wps:spPr bwMode="auto">
                          <a:xfrm>
                            <a:off x="2520" y="12516"/>
                            <a:ext cx="1440" cy="936"/>
                          </a:xfrm>
                          <a:prstGeom prst="ellipse">
                            <a:avLst/>
                          </a:prstGeom>
                          <a:noFill/>
                          <a:ln w="9525">
                            <a:solidFill>
                              <a:srgbClr val="000000"/>
                            </a:solidFill>
                            <a:round/>
                          </a:ln>
                        </wps:spPr>
                        <wps:bodyPr rot="0" vert="horz" wrap="square" lIns="91440" tIns="45720" rIns="91440" bIns="45720" anchor="t" anchorCtr="0" upright="1">
                          <a:noAutofit/>
                        </wps:bodyPr>
                      </wps:wsp>
                      <wps:wsp>
                        <wps:cNvPr id="496" name="Line 48"/>
                        <wps:cNvCnPr/>
                        <wps:spPr bwMode="auto">
                          <a:xfrm flipV="1">
                            <a:off x="3630" y="11595"/>
                            <a:ext cx="360" cy="1560"/>
                          </a:xfrm>
                          <a:prstGeom prst="line">
                            <a:avLst/>
                          </a:prstGeom>
                          <a:noFill/>
                          <a:ln w="9525">
                            <a:solidFill>
                              <a:srgbClr val="000000"/>
                            </a:solidFill>
                            <a:round/>
                          </a:ln>
                        </wps:spPr>
                        <wps:bodyPr/>
                      </wps:wsp>
                      <wps:wsp>
                        <wps:cNvPr id="497" name="Line 49"/>
                        <wps:cNvCnPr/>
                        <wps:spPr bwMode="auto">
                          <a:xfrm>
                            <a:off x="3960" y="11580"/>
                            <a:ext cx="360" cy="312"/>
                          </a:xfrm>
                          <a:prstGeom prst="line">
                            <a:avLst/>
                          </a:prstGeom>
                          <a:noFill/>
                          <a:ln w="9525">
                            <a:solidFill>
                              <a:srgbClr val="000000"/>
                            </a:solidFill>
                            <a:round/>
                          </a:ln>
                        </wps:spPr>
                        <wps:bodyPr/>
                      </wps:wsp>
                      <wps:wsp>
                        <wps:cNvPr id="498" name="Line 50"/>
                        <wps:cNvCnPr/>
                        <wps:spPr bwMode="auto">
                          <a:xfrm flipV="1">
                            <a:off x="4350" y="11751"/>
                            <a:ext cx="180" cy="156"/>
                          </a:xfrm>
                          <a:prstGeom prst="line">
                            <a:avLst/>
                          </a:prstGeom>
                          <a:noFill/>
                          <a:ln w="9525">
                            <a:solidFill>
                              <a:srgbClr val="000000"/>
                            </a:solidFill>
                            <a:round/>
                          </a:ln>
                        </wps:spPr>
                        <wps:bodyPr/>
                      </wps:wsp>
                      <wps:wsp>
                        <wps:cNvPr id="499" name="Line 51"/>
                        <wps:cNvCnPr/>
                        <wps:spPr bwMode="auto">
                          <a:xfrm>
                            <a:off x="4515" y="11766"/>
                            <a:ext cx="360" cy="0"/>
                          </a:xfrm>
                          <a:prstGeom prst="line">
                            <a:avLst/>
                          </a:prstGeom>
                          <a:noFill/>
                          <a:ln w="9525">
                            <a:solidFill>
                              <a:srgbClr val="000000"/>
                            </a:solidFill>
                            <a:round/>
                          </a:ln>
                        </wps:spPr>
                        <wps:bodyPr/>
                      </wps:wsp>
                      <wps:wsp>
                        <wps:cNvPr id="500" name="Line 52"/>
                        <wps:cNvCnPr/>
                        <wps:spPr bwMode="auto">
                          <a:xfrm flipV="1">
                            <a:off x="4875" y="11439"/>
                            <a:ext cx="180" cy="312"/>
                          </a:xfrm>
                          <a:prstGeom prst="line">
                            <a:avLst/>
                          </a:prstGeom>
                          <a:noFill/>
                          <a:ln w="9525">
                            <a:solidFill>
                              <a:srgbClr val="000000"/>
                            </a:solidFill>
                            <a:round/>
                          </a:ln>
                        </wps:spPr>
                        <wps:bodyPr/>
                      </wps:wsp>
                      <wps:wsp>
                        <wps:cNvPr id="501" name="Line 53"/>
                        <wps:cNvCnPr/>
                        <wps:spPr bwMode="auto">
                          <a:xfrm>
                            <a:off x="5040" y="11424"/>
                            <a:ext cx="180" cy="156"/>
                          </a:xfrm>
                          <a:prstGeom prst="line">
                            <a:avLst/>
                          </a:prstGeom>
                          <a:noFill/>
                          <a:ln w="9525">
                            <a:solidFill>
                              <a:srgbClr val="000000"/>
                            </a:solidFill>
                            <a:round/>
                          </a:ln>
                        </wps:spPr>
                        <wps:bodyPr/>
                      </wps:wsp>
                      <wps:wsp>
                        <wps:cNvPr id="502" name="Line 54"/>
                        <wps:cNvCnPr/>
                        <wps:spPr bwMode="auto">
                          <a:xfrm>
                            <a:off x="5235" y="11580"/>
                            <a:ext cx="180" cy="312"/>
                          </a:xfrm>
                          <a:prstGeom prst="line">
                            <a:avLst/>
                          </a:prstGeom>
                          <a:noFill/>
                          <a:ln w="9525">
                            <a:solidFill>
                              <a:srgbClr val="000000"/>
                            </a:solidFill>
                            <a:round/>
                          </a:ln>
                        </wps:spPr>
                        <wps:bodyPr/>
                      </wps:wsp>
                      <wps:wsp>
                        <wps:cNvPr id="503" name="Line 55"/>
                        <wps:cNvCnPr/>
                        <wps:spPr bwMode="auto">
                          <a:xfrm flipV="1">
                            <a:off x="5430" y="11580"/>
                            <a:ext cx="180" cy="312"/>
                          </a:xfrm>
                          <a:prstGeom prst="line">
                            <a:avLst/>
                          </a:prstGeom>
                          <a:noFill/>
                          <a:ln w="9525">
                            <a:solidFill>
                              <a:srgbClr val="000000"/>
                            </a:solidFill>
                            <a:round/>
                          </a:ln>
                        </wps:spPr>
                        <wps:bodyPr/>
                      </wps:wsp>
                      <wps:wsp>
                        <wps:cNvPr id="504" name="Oval 56"/>
                        <wps:cNvSpPr>
                          <a:spLocks noChangeArrowheads="1"/>
                        </wps:cNvSpPr>
                        <wps:spPr bwMode="auto">
                          <a:xfrm>
                            <a:off x="3600" y="11268"/>
                            <a:ext cx="2520" cy="936"/>
                          </a:xfrm>
                          <a:prstGeom prst="ellipse">
                            <a:avLst/>
                          </a:prstGeom>
                          <a:noFill/>
                          <a:ln w="9525">
                            <a:solidFill>
                              <a:srgbClr val="000000"/>
                            </a:solidFill>
                            <a:round/>
                          </a:ln>
                        </wps:spPr>
                        <wps:bodyPr rot="0" vert="horz" wrap="square" lIns="91440" tIns="45720" rIns="91440" bIns="45720" anchor="t" anchorCtr="0" upright="1">
                          <a:noAutofit/>
                        </wps:bodyPr>
                      </wps:wsp>
                      <wps:wsp>
                        <wps:cNvPr id="505" name="Line 57"/>
                        <wps:cNvCnPr/>
                        <wps:spPr bwMode="auto">
                          <a:xfrm>
                            <a:off x="5580" y="11580"/>
                            <a:ext cx="360" cy="780"/>
                          </a:xfrm>
                          <a:prstGeom prst="line">
                            <a:avLst/>
                          </a:prstGeom>
                          <a:noFill/>
                          <a:ln w="9525">
                            <a:solidFill>
                              <a:srgbClr val="000000"/>
                            </a:solidFill>
                            <a:round/>
                          </a:ln>
                        </wps:spPr>
                        <wps:bodyPr/>
                      </wps:wsp>
                      <wps:wsp>
                        <wps:cNvPr id="506" name="Line 58"/>
                        <wps:cNvCnPr/>
                        <wps:spPr bwMode="auto">
                          <a:xfrm flipV="1">
                            <a:off x="5955" y="9255"/>
                            <a:ext cx="360" cy="3120"/>
                          </a:xfrm>
                          <a:prstGeom prst="line">
                            <a:avLst/>
                          </a:prstGeom>
                          <a:noFill/>
                          <a:ln w="9525">
                            <a:solidFill>
                              <a:srgbClr val="000000"/>
                            </a:solidFill>
                            <a:round/>
                          </a:ln>
                        </wps:spPr>
                        <wps:bodyPr/>
                      </wps:wsp>
                      <wps:wsp>
                        <wps:cNvPr id="507" name="Oval 59"/>
                        <wps:cNvSpPr>
                          <a:spLocks noChangeArrowheads="1"/>
                        </wps:cNvSpPr>
                        <wps:spPr bwMode="auto">
                          <a:xfrm>
                            <a:off x="5580" y="9084"/>
                            <a:ext cx="1260" cy="624"/>
                          </a:xfrm>
                          <a:prstGeom prst="ellipse">
                            <a:avLst/>
                          </a:prstGeom>
                          <a:noFill/>
                          <a:ln w="9525">
                            <a:solidFill>
                              <a:srgbClr val="000000"/>
                            </a:solidFill>
                            <a:round/>
                          </a:ln>
                        </wps:spPr>
                        <wps:bodyPr rot="0" vert="horz" wrap="square" lIns="91440" tIns="45720" rIns="91440" bIns="45720" anchor="t" anchorCtr="0" upright="1">
                          <a:noAutofit/>
                        </wps:bodyPr>
                      </wps:wsp>
                      <wps:wsp>
                        <wps:cNvPr id="508" name="Oval 60"/>
                        <wps:cNvSpPr>
                          <a:spLocks noChangeArrowheads="1"/>
                        </wps:cNvSpPr>
                        <wps:spPr bwMode="auto">
                          <a:xfrm>
                            <a:off x="6660" y="11580"/>
                            <a:ext cx="57" cy="5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509" name="Line 61"/>
                        <wps:cNvCnPr/>
                        <wps:spPr bwMode="auto">
                          <a:xfrm>
                            <a:off x="6330" y="9255"/>
                            <a:ext cx="360" cy="2340"/>
                          </a:xfrm>
                          <a:prstGeom prst="line">
                            <a:avLst/>
                          </a:prstGeom>
                          <a:noFill/>
                          <a:ln w="9525">
                            <a:solidFill>
                              <a:srgbClr val="000000"/>
                            </a:solidFill>
                            <a:round/>
                          </a:ln>
                        </wps:spPr>
                        <wps:bodyPr/>
                      </wps:wsp>
                      <wps:wsp>
                        <wps:cNvPr id="510" name="Line 62"/>
                        <wps:cNvCnPr/>
                        <wps:spPr bwMode="auto">
                          <a:xfrm flipV="1">
                            <a:off x="6675" y="10035"/>
                            <a:ext cx="360" cy="1560"/>
                          </a:xfrm>
                          <a:prstGeom prst="line">
                            <a:avLst/>
                          </a:prstGeom>
                          <a:noFill/>
                          <a:ln w="9525">
                            <a:solidFill>
                              <a:srgbClr val="000000"/>
                            </a:solidFill>
                            <a:round/>
                          </a:ln>
                        </wps:spPr>
                        <wps:bodyPr/>
                      </wps:wsp>
                      <wps:wsp>
                        <wps:cNvPr id="511" name="Line 63"/>
                        <wps:cNvCnPr/>
                        <wps:spPr bwMode="auto">
                          <a:xfrm>
                            <a:off x="7050" y="10035"/>
                            <a:ext cx="360" cy="1560"/>
                          </a:xfrm>
                          <a:prstGeom prst="line">
                            <a:avLst/>
                          </a:prstGeom>
                          <a:noFill/>
                          <a:ln w="9525">
                            <a:solidFill>
                              <a:srgbClr val="000000"/>
                            </a:solidFill>
                            <a:round/>
                          </a:ln>
                        </wps:spPr>
                        <wps:bodyPr/>
                      </wps:wsp>
                      <wps:wsp>
                        <wps:cNvPr id="512" name="Line 64"/>
                        <wps:cNvCnPr/>
                        <wps:spPr bwMode="auto">
                          <a:xfrm flipV="1">
                            <a:off x="7410" y="10035"/>
                            <a:ext cx="360" cy="1560"/>
                          </a:xfrm>
                          <a:prstGeom prst="line">
                            <a:avLst/>
                          </a:prstGeom>
                          <a:noFill/>
                          <a:ln w="9525">
                            <a:solidFill>
                              <a:srgbClr val="000000"/>
                            </a:solidFill>
                            <a:round/>
                          </a:ln>
                        </wps:spPr>
                        <wps:bodyPr/>
                      </wps:wsp>
                      <wps:wsp>
                        <wps:cNvPr id="513" name="Oval 65"/>
                        <wps:cNvSpPr>
                          <a:spLocks noChangeArrowheads="1"/>
                        </wps:cNvSpPr>
                        <wps:spPr bwMode="auto">
                          <a:xfrm>
                            <a:off x="6660" y="9708"/>
                            <a:ext cx="1440" cy="624"/>
                          </a:xfrm>
                          <a:prstGeom prst="ellipse">
                            <a:avLst/>
                          </a:prstGeom>
                          <a:noFill/>
                          <a:ln w="9525">
                            <a:solidFill>
                              <a:srgbClr val="000000"/>
                            </a:solidFill>
                            <a:round/>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84.4pt;margin-top:36pt;height:149.75pt;width:233.4pt;z-index:251673600;mso-width-relative:page;mso-height-relative:page;" coordorigin="2520,9084" coordsize="5580,4368" o:gfxdata="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">
                <o:lock v:ext="edit" aspectratio="f"/>
                <v:shape id="Oval 23" o:spid="_x0000_s1026" o:spt="3" type="#_x0000_t3" style="position:absolute;left:6300;top:9240;height:57;width:57;" fillcolor="#000000" filled="t" stroked="t" coordsize="21600,21600" o:gfxdata="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jgQW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24" o:spid="_x0000_s1026" o:spt="3" type="#_x0000_t3" style="position:absolute;left:3060;top:12672;height:57;width:57;" fillcolor="#000000" filled="t" stroked="t" coordsize="21600,21600" o:gfxdata="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xH3K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25" o:spid="_x0000_s1026" o:spt="3" type="#_x0000_t3" style="position:absolute;left:3600;top:13140;height:57;width:57;" fillcolor="#000000" filled="t" stroked="t" coordsize="21600,21600" o:gfxdata="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Pbrp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6" o:spid="_x0000_s1026" o:spt="3" type="#_x0000_t3" style="position:absolute;left:3240;top:13140;height:57;width:57;" fillcolor="#000000" filled="t" stroked="t" coordsize="21600,21600" o:gfxdata="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UIp2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27" o:spid="_x0000_s1026" o:spt="3" type="#_x0000_t3" style="position:absolute;left:3420;top:13296;height:57;width:57;" fillcolor="#000000" filled="t" stroked="t" coordsize="21600,21600" o:gfxdata="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Yhwa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28" o:spid="_x0000_s1026" o:spt="3" type="#_x0000_t3" style="position:absolute;left:2880;top:13140;height:57;width:57;" fillcolor="#000000" filled="t" stroked="t" coordsize="21600,21600" o:gfxdata="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Shlx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9" o:spid="_x0000_s1026" o:spt="3" type="#_x0000_t3" style="position:absolute;left:2520;top:12672;height:57;width:57;" fillcolor="#000000" filled="t" stroked="t" coordsize="21600,21600" o:gfxdata="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GvOq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30" o:spid="_x0000_s1026" o:spt="3" type="#_x0000_t3" style="position:absolute;left:3960;top:11580;height:57;width:57;" fillcolor="#000000" filled="t" stroked="t" coordsize="21600,21600" o:gfxdata="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KZKJi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shape id="Oval 31" o:spid="_x0000_s1026" o:spt="3" type="#_x0000_t3" style="position:absolute;left:4320;top:11892;height:57;width:57;" fillcolor="#000000" filled="t" stroked="t" coordsize="21600,21600" o:gfxdata="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1Y0D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32" o:spid="_x0000_s1026" o:spt="3" type="#_x0000_t3" style="position:absolute;left:4500;top:11736;height:57;width:57;" fillcolor="#000000" filled="t" stroked="t" coordsize="21600,21600" o:gfxdata="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k6VLm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shape id="Oval 33" o:spid="_x0000_s1026" o:spt="3" type="#_x0000_t3" style="position:absolute;left:4860;top:11736;height:57;width:57;" fillcolor="#000000" filled="t" stroked="t" coordsize="21600,21600" o:gfxdata="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28SK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34" o:spid="_x0000_s1026" o:spt="3" type="#_x0000_t3" style="position:absolute;left:5220;top:11580;height:57;width:57;" fillcolor="#000000" filled="t" stroked="t" coordsize="21600,21600" o:gfxdata="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kb1W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35" o:spid="_x0000_s1026" o:spt="3" type="#_x0000_t3" style="position:absolute;left:5400;top:11892;height:57;width:57;" fillcolor="#000000" filled="t" stroked="t" coordsize="21600,21600" o:gfxdata="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6MrO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36" o:spid="_x0000_s1026" o:spt="3" type="#_x0000_t3" style="position:absolute;left:5580;top:11580;height:57;width:57;" fillcolor="#000000" filled="t" stroked="t" coordsize="21600,21600" o:gfxdata="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BUrq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37" o:spid="_x0000_s1026" o:spt="3" type="#_x0000_t3" style="position:absolute;left:5040;top:11424;height:57;width:57;" fillcolor="#000000" filled="t" stroked="t" coordsize="21600,21600" o:gfxdata="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N9yG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38" o:spid="_x0000_s1026" o:spt="3" type="#_x0000_t3" style="position:absolute;left:5940;top:12360;height:57;width:57;" fillcolor="#000000" filled="t" stroked="t" coordsize="21600,21600" o:gfxdata="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faVa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39" o:spid="_x0000_s1026" o:spt="3" type="#_x0000_t3" style="position:absolute;left:7020;top:10020;height:57;width:57;" fillcolor="#000000" filled="t" stroked="t" coordsize="21600,21600" o:gfxdata="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08zN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40" o:spid="_x0000_s1026" o:spt="3" type="#_x0000_t3" style="position:absolute;left:7740;top:10020;height:57;width:57;" fillcolor="#000000" filled="t" stroked="t" coordsize="21600,21600" o:gfxdata="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dMWL+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shape id="Oval 41" o:spid="_x0000_s1026" o:spt="3" type="#_x0000_t3" style="position:absolute;left:7380;top:11580;height:57;width:57;" fillcolor="#000000" filled="t" stroked="t" coordsize="21600,21600" o:gfxdata="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AP0k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line id="Line 42" o:spid="_x0000_s1026" o:spt="20" style="position:absolute;left:2910;top:12687;flip:y;height:468;width:180;" filled="f" stroked="t" coordsize="21600,21600" o:gfxdata="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dbd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3" o:spid="_x0000_s1026" o:spt="20" style="position:absolute;left:3060;top:12672;height:468;width:180;" filled="f" stroked="t" coordsize="21600,21600" o:gfxdata="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VCr+/&#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4" o:spid="_x0000_s1026" o:spt="20" style="position:absolute;left:3240;top:13140;height:156;width:180;" filled="f" stroked="t" coordsize="21600,21600" o:gfxdata="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HlMi/&#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5" o:spid="_x0000_s1026" o:spt="20" style="position:absolute;left:3465;top:13155;flip:y;height:156;width:180;" filled="f" stroked="t" coordsize="21600,21600" o:gfxdata="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XFA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6" o:spid="_x0000_s1026" o:spt="20" style="position:absolute;left:2520;top:12672;height:468;width:360;" filled="f" stroked="t" coordsize="21600,21600" o:gfxdata="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iqS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Oval 47" o:spid="_x0000_s1026" o:spt="3" type="#_x0000_t3" style="position:absolute;left:2520;top:12516;height:936;width:1440;" filled="f" stroked="t" coordsize="21600,21600" o:gfxdata="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43Tm/&#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line id="Line 48" o:spid="_x0000_s1026" o:spt="20" style="position:absolute;left:3630;top:11595;flip:y;height:1560;width:360;" filled="f" stroked="t" coordsize="21600,21600" o:gfxdata="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Jmm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9" o:spid="_x0000_s1026" o:spt="20" style="position:absolute;left:3960;top:11580;height:312;width:360;" filled="f" stroked="t" coordsize="21600,21600" o:gfxdata="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nA3U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0" o:spid="_x0000_s1026" o:spt="20" style="position:absolute;left:4350;top:11751;flip:y;height:156;width:180;" filled="f" stroked="t" coordsize="21600,21600" o:gfxdata="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9FXc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51" o:spid="_x0000_s1026" o:spt="20" style="position:absolute;left:4515;top:11766;height:0;width:360;" filled="f" stroked="t" coordsize="21600,21600" o:gfxdata="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jBrm/&#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52" o:spid="_x0000_s1026" o:spt="20" style="position:absolute;left:4875;top:11439;flip:y;height:312;width:180;" filled="f" stroked="t" coordsize="21600,21600" o:gfxdata="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0zBb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53" o:spid="_x0000_s1026" o:spt="20" style="position:absolute;left:5040;top:11424;height:156;width:180;" filled="f" stroked="t" coordsize="21600,21600" o:gfxdata="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PpC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4" o:spid="_x0000_s1026" o:spt="20" style="position:absolute;left:5235;top:11580;height:312;width:180;" filled="f" stroked="t" coordsize="21600,21600" o:gfxdata="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A7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5" o:spid="_x0000_s1026" o:spt="20" style="position:absolute;left:5430;top:11580;flip:y;height:312;width:180;" filled="f" stroked="t" coordsize="21600,21600" o:gfxdata="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nl8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Oval 56" o:spid="_x0000_s1026" o:spt="3" type="#_x0000_t3" style="position:absolute;left:3600;top:11268;height:936;width:2520;" filled="f" stroked="t" coordsize="21600,21600" o:gfxdata="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p/iu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line id="Line 57" o:spid="_x0000_s1026" o:spt="20" style="position:absolute;left:5580;top:11580;height:780;width:360;" filled="f" stroked="t" coordsize="21600,21600" o:gfxdata="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Flq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58" o:spid="_x0000_s1026" o:spt="20" style="position:absolute;left:5955;top:9255;flip:y;height:3120;width:360;" filled="f" stroked="t" coordsize="21600,21600" o:gfxdata="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6fy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Oval 59" o:spid="_x0000_s1026" o:spt="3" type="#_x0000_t3" style="position:absolute;left:5580;top:9084;height:624;width:1260;" filled="f" stroked="t" coordsize="21600,21600" o:gfxdata="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18z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Oval 60" o:spid="_x0000_s1026" o:spt="3" type="#_x0000_t3" style="position:absolute;left:6660;top:11580;height:57;width:57;" fillcolor="#000000" filled="t" stroked="t" coordsize="21600,21600" o:gfxdata="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5UeLgAAADcAAAA&#10;DwAAAAAAAAABACAAAAAiAAAAZHJzL2Rvd25yZXYueG1sUEsBAhQAFAAAAAgAh07iQDMvBZ47AAAA&#10;OQAAABAAAAAAAAAAAQAgAAAABwEAAGRycy9zaGFwZXhtbC54bWxQSwUGAAAAAAYABgBbAQAAsQMA&#10;AAAA&#10;">
                  <v:fill on="t" focussize="0,0"/>
                  <v:stroke color="#000000" joinstyle="round"/>
                  <v:imagedata o:title=""/>
                  <o:lock v:ext="edit" aspectratio="f"/>
                </v:shape>
                <v:line id="Line 61" o:spid="_x0000_s1026" o:spt="20" style="position:absolute;left:6330;top:9255;height:2340;width:360;" filled="f" stroked="t" coordsize="21600,21600" o:gfxdata="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InKO/&#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62" o:spid="_x0000_s1026" o:spt="20" style="position:absolute;left:6675;top:10035;flip:y;height:1560;width:360;" filled="f" stroked="t" coordsize="21600,21600" o:gfxdata="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pVXs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63" o:spid="_x0000_s1026" o:spt="20" style="position:absolute;left:7050;top:10035;height:1560;width:360;" filled="f" stroked="t" coordsize="21600,21600" o:gfxdata="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5wZ4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4" o:spid="_x0000_s1026" o:spt="20" style="position:absolute;left:7410;top:10035;flip:y;height:1560;width:360;" filled="f" stroked="t" coordsize="21600,21600" o:gfxdata="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tsX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Oval 65" o:spid="_x0000_s1026" o:spt="3" type="#_x0000_t3" style="position:absolute;left:6660;top:9708;height:624;width:1440;" filled="f" stroked="t" coordsize="21600,21600" o:gfxdata="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E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r>
        <w:object>
          <v:shape id="_x0000_i1025" o:spt="75" type="#_x0000_t75" style="height:237.75pt;width:292.5pt;" o:ole="t" filled="f" o:preferrelative="t" stroked="f" coordsize="21600,21600">
            <v:path/>
            <v:fill on="f" focussize="0,0"/>
            <v:stroke on="f" joinstyle="miter"/>
            <v:imagedata r:id="rId18" o:title=""/>
            <o:lock v:ext="edit" aspectratio="t"/>
            <w10:wrap type="none"/>
            <w10:anchorlock/>
          </v:shape>
          <o:OLEObject Type="Embed" ProgID="Visio.Drawing.11" ShapeID="_x0000_i1025" DrawAspect="Content" ObjectID="_1468075725" r:id="rId17">
            <o:LockedField>false</o:LockedField>
          </o:OLEObject>
        </w:object>
      </w:r>
    </w:p>
    <w:p>
      <w:pPr>
        <w:spacing w:line="360" w:lineRule="auto"/>
        <w:jc w:val="center"/>
      </w:pPr>
      <w:r>
        <w:rPr>
          <w:rFonts w:hint="eastAsia"/>
        </w:rPr>
        <w:t>项目风险管理——过程性能风险</w:t>
      </w:r>
    </w:p>
    <w:p>
      <w:pPr>
        <w:spacing w:line="360" w:lineRule="auto"/>
        <w:ind w:firstLine="480" w:firstLineChars="200"/>
        <w:rPr>
          <w:sz w:val="24"/>
          <w:szCs w:val="24"/>
        </w:rPr>
      </w:pPr>
      <w:r>
        <w:rPr>
          <w:rFonts w:hint="eastAsia"/>
          <w:sz w:val="24"/>
          <w:szCs w:val="24"/>
        </w:rPr>
        <w:t>测试</w:t>
      </w:r>
      <w:r>
        <w:rPr>
          <w:sz w:val="24"/>
          <w:szCs w:val="24"/>
        </w:rPr>
        <w:t>2</w:t>
      </w:r>
      <w:r>
        <w:rPr>
          <w:rFonts w:hint="eastAsia"/>
          <w:sz w:val="24"/>
          <w:szCs w:val="24"/>
        </w:rPr>
        <w:t>、</w:t>
      </w:r>
      <w:r>
        <w:rPr>
          <w:sz w:val="24"/>
          <w:szCs w:val="24"/>
        </w:rPr>
        <w:t>3</w:t>
      </w:r>
      <w:r>
        <w:rPr>
          <w:rFonts w:hint="eastAsia"/>
          <w:sz w:val="24"/>
          <w:szCs w:val="24"/>
        </w:rPr>
        <w:t>、</w:t>
      </w:r>
      <w:r>
        <w:rPr>
          <w:sz w:val="24"/>
          <w:szCs w:val="24"/>
        </w:rPr>
        <w:t>4</w:t>
      </w:r>
      <w:r>
        <w:rPr>
          <w:rFonts w:hint="eastAsia"/>
          <w:sz w:val="24"/>
          <w:szCs w:val="24"/>
        </w:rPr>
        <w:t>被称为趋势测试，并且基于这样的假定：内在的、自然的偏差分布是关于中间对称的，数据是按照时序绘制的，连续观察到的值是独立统计的。对称的要求意味着设计测试主要是为了使用</w:t>
      </w:r>
      <w:r>
        <w:rPr>
          <w:sz w:val="24"/>
          <w:szCs w:val="24"/>
        </w:rPr>
        <w:t xml:space="preserve">X </w:t>
      </w:r>
      <w:r>
        <w:rPr>
          <w:rFonts w:hint="eastAsia"/>
          <w:sz w:val="24"/>
          <w:szCs w:val="24"/>
        </w:rPr>
        <w:t>图和单点图。严格的说，它们不适用于</w:t>
      </w:r>
      <w:r>
        <w:rPr>
          <w:sz w:val="24"/>
          <w:szCs w:val="24"/>
        </w:rPr>
        <w:t>R</w:t>
      </w:r>
      <w:r>
        <w:rPr>
          <w:rFonts w:hint="eastAsia"/>
          <w:sz w:val="24"/>
          <w:szCs w:val="24"/>
        </w:rPr>
        <w:t>图和</w:t>
      </w:r>
      <w:r>
        <w:rPr>
          <w:sz w:val="24"/>
          <w:szCs w:val="24"/>
        </w:rPr>
        <w:t>S</w:t>
      </w:r>
      <w:r>
        <w:rPr>
          <w:rFonts w:hint="eastAsia"/>
          <w:sz w:val="24"/>
          <w:szCs w:val="24"/>
        </w:rPr>
        <w:t>图或移动值域图。</w:t>
      </w:r>
    </w:p>
    <w:p>
      <w:pPr>
        <w:spacing w:line="360" w:lineRule="auto"/>
        <w:ind w:firstLine="480" w:firstLineChars="200"/>
        <w:rPr>
          <w:sz w:val="24"/>
          <w:szCs w:val="24"/>
        </w:rPr>
      </w:pPr>
      <w:r>
        <w:rPr>
          <w:rFonts w:hint="eastAsia"/>
          <w:sz w:val="24"/>
          <w:szCs w:val="24"/>
        </w:rPr>
        <w:t>使用这</w:t>
      </w:r>
      <w:r>
        <w:rPr>
          <w:sz w:val="24"/>
          <w:szCs w:val="24"/>
        </w:rPr>
        <w:t>4</w:t>
      </w:r>
      <w:r>
        <w:rPr>
          <w:rFonts w:hint="eastAsia"/>
          <w:sz w:val="24"/>
          <w:szCs w:val="24"/>
        </w:rPr>
        <w:t>个测试，与只使用第一个测试相比，增加了发现失控状况的机会，但同时也增加了伪警的机会（提高了</w:t>
      </w:r>
      <w:r>
        <w:rPr>
          <w:sz w:val="24"/>
          <w:szCs w:val="24"/>
        </w:rPr>
        <w:t>4</w:t>
      </w:r>
      <w:r>
        <w:rPr>
          <w:rFonts w:hint="eastAsia"/>
          <w:sz w:val="24"/>
          <w:szCs w:val="24"/>
        </w:rPr>
        <w:t>倍）。决定使用哪种测试或模式，原则上应当在察看数据之前进行。等到察看数据之后再决定哪一种模式被作为异常来对待，就可能增加了伪警的可能性。</w:t>
      </w:r>
    </w:p>
    <w:p>
      <w:pPr>
        <w:spacing w:line="360" w:lineRule="auto"/>
        <w:ind w:firstLine="480" w:firstLineChars="200"/>
        <w:rPr>
          <w:sz w:val="24"/>
          <w:szCs w:val="24"/>
        </w:rPr>
      </w:pPr>
      <w:r>
        <w:rPr>
          <w:rFonts w:hint="eastAsia"/>
          <w:sz w:val="24"/>
          <w:szCs w:val="24"/>
        </w:rPr>
        <w:t>根据</w:t>
      </w:r>
      <w:r>
        <w:rPr>
          <w:sz w:val="24"/>
          <w:szCs w:val="24"/>
        </w:rPr>
        <w:t>SEI</w:t>
      </w:r>
      <w:r>
        <w:rPr>
          <w:rFonts w:hint="eastAsia"/>
          <w:sz w:val="24"/>
          <w:szCs w:val="24"/>
        </w:rPr>
        <w:t>软件工程协会推荐的判异原则：</w:t>
      </w:r>
    </w:p>
    <w:p>
      <w:pPr>
        <w:spacing w:line="360" w:lineRule="auto"/>
        <w:ind w:firstLine="200"/>
        <w:rPr>
          <w:sz w:val="24"/>
          <w:szCs w:val="24"/>
        </w:rPr>
      </w:pPr>
      <w:r>
        <w:rPr>
          <w:rFonts w:hint="eastAsia"/>
          <w:sz w:val="24"/>
          <w:szCs w:val="24"/>
        </w:rPr>
        <w:t>一个点距离中心线大于</w:t>
      </w:r>
      <w:r>
        <w:rPr>
          <w:sz w:val="24"/>
          <w:szCs w:val="24"/>
        </w:rPr>
        <w:t>K</w:t>
      </w:r>
      <w:r>
        <w:rPr>
          <w:rFonts w:hint="eastAsia"/>
          <w:sz w:val="24"/>
          <w:szCs w:val="24"/>
        </w:rPr>
        <w:t>个标准差；</w:t>
      </w:r>
    </w:p>
    <w:p>
      <w:pPr>
        <w:spacing w:line="360" w:lineRule="auto"/>
        <w:ind w:firstLine="200"/>
        <w:rPr>
          <w:sz w:val="24"/>
          <w:szCs w:val="24"/>
        </w:rPr>
      </w:pPr>
      <w:r>
        <w:rPr>
          <w:sz w:val="24"/>
          <w:szCs w:val="24"/>
        </w:rPr>
        <w:t>K+1</w:t>
      </w:r>
      <w:r>
        <w:rPr>
          <w:rFonts w:hint="eastAsia"/>
          <w:sz w:val="24"/>
          <w:szCs w:val="24"/>
        </w:rPr>
        <w:t>个点中有</w:t>
      </w:r>
      <w:r>
        <w:rPr>
          <w:sz w:val="24"/>
          <w:szCs w:val="24"/>
        </w:rPr>
        <w:t>K</w:t>
      </w:r>
      <w:r>
        <w:rPr>
          <w:rFonts w:hint="eastAsia"/>
          <w:sz w:val="24"/>
          <w:szCs w:val="24"/>
        </w:rPr>
        <w:t>个点，距离中心线（同侧）大于两个标准差；</w:t>
      </w:r>
    </w:p>
    <w:p>
      <w:pPr>
        <w:spacing w:line="360" w:lineRule="auto"/>
        <w:ind w:firstLine="200"/>
        <w:rPr>
          <w:sz w:val="24"/>
          <w:szCs w:val="24"/>
        </w:rPr>
      </w:pPr>
      <w:r>
        <w:rPr>
          <w:rFonts w:hint="eastAsia"/>
          <w:sz w:val="24"/>
          <w:szCs w:val="24"/>
        </w:rPr>
        <w:t>连续</w:t>
      </w:r>
      <w:r>
        <w:rPr>
          <w:sz w:val="24"/>
          <w:szCs w:val="24"/>
        </w:rPr>
        <w:t>K</w:t>
      </w:r>
      <w:r>
        <w:rPr>
          <w:rFonts w:hint="eastAsia"/>
          <w:sz w:val="24"/>
          <w:szCs w:val="24"/>
        </w:rPr>
        <w:t>个点距离中心线（任一侧）一个标准差以内；</w:t>
      </w:r>
    </w:p>
    <w:p>
      <w:pPr>
        <w:spacing w:line="360" w:lineRule="auto"/>
        <w:ind w:firstLine="200"/>
        <w:rPr>
          <w:sz w:val="24"/>
          <w:szCs w:val="24"/>
        </w:rPr>
      </w:pPr>
      <w:r>
        <w:rPr>
          <w:rFonts w:hint="eastAsia"/>
          <w:sz w:val="24"/>
          <w:szCs w:val="24"/>
        </w:rPr>
        <w:t>连续</w:t>
      </w:r>
      <w:r>
        <w:rPr>
          <w:sz w:val="24"/>
          <w:szCs w:val="24"/>
        </w:rPr>
        <w:t>K</w:t>
      </w:r>
      <w:r>
        <w:rPr>
          <w:rFonts w:hint="eastAsia"/>
          <w:sz w:val="24"/>
          <w:szCs w:val="24"/>
        </w:rPr>
        <w:t>个点距离中心线（任一侧）大于一个标准差</w:t>
      </w:r>
    </w:p>
    <w:p>
      <w:pPr>
        <w:spacing w:line="360" w:lineRule="auto"/>
        <w:ind w:firstLine="200"/>
      </w:pPr>
      <w:r>
        <w:rPr>
          <w:rFonts w:hint="eastAsia"/>
          <w:sz w:val="24"/>
          <w:szCs w:val="24"/>
        </w:rPr>
        <w:t>分析，对于项目过程性能基线中发现的异常可能影响到项目后期的过程情况，则能够产生后期项目工程、项目管理和支持等子过程的风险。</w:t>
      </w:r>
    </w:p>
    <w:p>
      <w:pPr>
        <w:pStyle w:val="4"/>
        <w:numPr>
          <w:ilvl w:val="2"/>
          <w:numId w:val="3"/>
        </w:numPr>
        <w:spacing w:before="0" w:after="0" w:line="360" w:lineRule="auto"/>
        <w:ind w:left="0" w:leftChars="0" w:firstLine="402" w:firstLineChars="0"/>
      </w:pPr>
      <w:bookmarkStart w:id="351" w:name="_Toc31623"/>
      <w:r>
        <w:rPr>
          <w:rFonts w:hint="eastAsia"/>
        </w:rPr>
        <w:t>实施定性风险分析</w:t>
      </w:r>
      <w:bookmarkEnd w:id="351"/>
    </w:p>
    <w:p>
      <w:pPr>
        <w:spacing w:line="360" w:lineRule="auto"/>
        <w:ind w:firstLine="480" w:firstLineChars="200"/>
        <w:rPr>
          <w:sz w:val="24"/>
          <w:szCs w:val="24"/>
        </w:rPr>
      </w:pPr>
      <w:r>
        <w:rPr>
          <w:rFonts w:hint="eastAsia"/>
          <w:sz w:val="24"/>
          <w:szCs w:val="24"/>
        </w:rPr>
        <w:t>实施定性风险分析是评估并综合分析风险的发生概率和影响，对风险进行优先排序，从而为后续分析或行动提供基础的过程。组织可以通过关注高优先级的风险来提升项目绩效。实施定性风险分析根据风险发生的相对概率或可能性、风险发生后对项目目标的相应影响以及其他因素（如应对时间要求，与项目成本、进度、范围和质量等制约因素相关的组织风险承受力），来评估已识别风险的优先级。这类评估会受项目团队和其他干系人的风险态度的影响。因此，为了实现有效评估，就需要清晰地识别和管理实施定性风险分析过程的关键参与者的风险态度。如果他们的风险态度会导致风险评估中的偏颇，则应该注意对偏颇进行分析，并加以纠正。</w:t>
      </w:r>
    </w:p>
    <w:p>
      <w:pPr>
        <w:spacing w:line="360" w:lineRule="auto"/>
        <w:ind w:firstLine="480" w:firstLineChars="200"/>
        <w:rPr>
          <w:sz w:val="24"/>
          <w:szCs w:val="24"/>
        </w:rPr>
      </w:pPr>
      <w:r>
        <w:rPr>
          <w:rFonts w:hint="eastAsia"/>
          <w:sz w:val="24"/>
          <w:szCs w:val="24"/>
        </w:rPr>
        <w:t>建立概率和影响层级定义，有助于减少偏见的影响。风险行动的时间紧迫性可能会放大风险的重要性。对项目风险相关信息的质量进行评估，也有助于澄清关于风险重要性的评估结果。</w:t>
      </w:r>
    </w:p>
    <w:p>
      <w:pPr>
        <w:spacing w:line="360" w:lineRule="auto"/>
        <w:ind w:firstLine="480" w:firstLineChars="200"/>
      </w:pPr>
      <w:r>
        <w:rPr>
          <w:rFonts w:hint="eastAsia"/>
          <w:sz w:val="24"/>
          <w:szCs w:val="24"/>
        </w:rPr>
        <w:t>实施定性风险分析通常可以快速且经济有效地为规划风险应对建立优先级，可以为实施定量风险分析（如果需要）奠定基础。为了确保与项目风险的实时变化保持同步，在整个项目生命周期内应该反复开展定性风险分析。本过程完成后，可进入实施定量风险分析过程或直接进入规划风险应对过程。</w:t>
      </w:r>
    </w:p>
    <w:p>
      <w:pPr>
        <w:spacing w:line="360" w:lineRule="auto"/>
      </w:pPr>
    </w:p>
    <w:p>
      <w:pPr>
        <w:spacing w:line="360" w:lineRule="auto"/>
      </w:pPr>
      <w:r>
        <w:drawing>
          <wp:inline distT="0" distB="0" distL="0" distR="0">
            <wp:extent cx="4587240" cy="2423160"/>
            <wp:effectExtent l="0" t="0" r="3810" b="0"/>
            <wp:docPr id="4356" name="图片 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 name="图片 43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587240" cy="2423160"/>
                    </a:xfrm>
                    <a:prstGeom prst="rect">
                      <a:avLst/>
                    </a:prstGeom>
                    <a:noFill/>
                    <a:ln>
                      <a:noFill/>
                    </a:ln>
                  </pic:spPr>
                </pic:pic>
              </a:graphicData>
            </a:graphic>
          </wp:inline>
        </w:drawing>
      </w:r>
    </w:p>
    <w:p>
      <w:pPr>
        <w:spacing w:line="360" w:lineRule="auto"/>
        <w:jc w:val="center"/>
      </w:pPr>
      <w:r>
        <w:rPr>
          <w:rFonts w:hint="eastAsia"/>
        </w:rPr>
        <w:t>项目风险管理——定性分析</w:t>
      </w:r>
    </w:p>
    <w:p>
      <w:pPr>
        <w:pStyle w:val="4"/>
        <w:numPr>
          <w:ilvl w:val="2"/>
          <w:numId w:val="3"/>
        </w:numPr>
        <w:spacing w:before="0" w:after="0" w:line="360" w:lineRule="auto"/>
        <w:ind w:left="0" w:leftChars="0" w:firstLine="402" w:firstLineChars="0"/>
      </w:pPr>
      <w:bookmarkStart w:id="352" w:name="_Toc13454"/>
      <w:r>
        <w:rPr>
          <w:rFonts w:hint="eastAsia"/>
        </w:rPr>
        <w:t>实施定量风险分析</w:t>
      </w:r>
      <w:bookmarkEnd w:id="352"/>
    </w:p>
    <w:p>
      <w:pPr>
        <w:spacing w:line="360" w:lineRule="auto"/>
        <w:ind w:firstLine="480" w:firstLineChars="200"/>
        <w:rPr>
          <w:sz w:val="24"/>
          <w:szCs w:val="24"/>
        </w:rPr>
      </w:pPr>
      <w:r>
        <w:rPr>
          <w:rFonts w:hint="eastAsia"/>
          <w:sz w:val="24"/>
          <w:szCs w:val="24"/>
        </w:rPr>
        <w:t>实施定量风险分析是就已识别风险对项目整体目标的影响进行定量分析的过程。实施定量风险分析的对象是在定性风险分析过程中被认为对项目的竞争性需求存在潜在重大影响的风险。实施定量风险分析过程就是对这些风险事件的影响进行分析。它可以为每个风险单独进行量化评级，或者可以评估所有风险对项目的总体影响。它也是在不确定情况下进行决策的一种量化方法。</w:t>
      </w:r>
    </w:p>
    <w:p>
      <w:pPr>
        <w:spacing w:line="360" w:lineRule="auto"/>
        <w:ind w:firstLine="480" w:firstLineChars="200"/>
      </w:pPr>
      <w:r>
        <w:rPr>
          <w:rFonts w:hint="eastAsia"/>
          <w:sz w:val="24"/>
          <w:szCs w:val="24"/>
        </w:rPr>
        <w:t>实施定量风险分析通常在定性风险分析之后进行。有时，不需要实施定量风险分析，就可以制定出有效的风险应对措施。在特定的项目中，究竟采用哪种（些）方法进行风险分析，取决于可用的时间和预算，以及对风险及其后果进行定性或定量描述的需要。在规划风险应对之后，应该随着监控风险过程的开展，重新实施风险定量分析，以确定项目总体风险的降低程度是否令人满意。通过反复进行定量风险分析，可以了解风险的发展趋势，并揭示增减风险管理措施的必要性。</w:t>
      </w:r>
    </w:p>
    <w:p>
      <w:pPr>
        <w:spacing w:line="360" w:lineRule="auto"/>
      </w:pPr>
      <w:r>
        <w:object>
          <v:shape id="_x0000_i1026" o:spt="75" type="#_x0000_t75" style="height:189.75pt;width:366pt;" o:ole="t" filled="f" o:preferrelative="t" stroked="f" coordsize="21600,21600">
            <v:path/>
            <v:fill on="f" focussize="0,0"/>
            <v:stroke on="f" joinstyle="miter"/>
            <v:imagedata r:id="rId21" o:title=""/>
            <o:lock v:ext="edit" aspectratio="t"/>
            <w10:wrap type="none"/>
            <w10:anchorlock/>
          </v:shape>
          <o:OLEObject Type="Embed" ProgID="Visio.Drawing.11" ShapeID="_x0000_i1026" DrawAspect="Content" ObjectID="_1468075726" r:id="rId20">
            <o:LockedField>false</o:LockedField>
          </o:OLEObject>
        </w:object>
      </w:r>
    </w:p>
    <w:p>
      <w:pPr>
        <w:spacing w:line="360" w:lineRule="auto"/>
        <w:rPr>
          <w:sz w:val="24"/>
          <w:szCs w:val="24"/>
        </w:rPr>
      </w:pPr>
      <w:r>
        <w:rPr>
          <w:rFonts w:hint="eastAsia"/>
          <w:sz w:val="24"/>
          <w:szCs w:val="24"/>
        </w:rPr>
        <w:t>项目风险管理——定量分析</w:t>
      </w:r>
    </w:p>
    <w:p>
      <w:pPr>
        <w:spacing w:line="360" w:lineRule="auto"/>
        <w:ind w:firstLine="480" w:firstLineChars="200"/>
        <w:rPr>
          <w:sz w:val="24"/>
          <w:szCs w:val="24"/>
        </w:rPr>
      </w:pPr>
      <w:r>
        <w:rPr>
          <w:rFonts w:hint="eastAsia"/>
          <w:sz w:val="24"/>
          <w:szCs w:val="24"/>
        </w:rPr>
        <w:t>对每项风险发生的概率和对项目和有关业务的影响进行量化。对于每项风险要划分优先级，这要按照概率和影响的等级，并清楚的标明低、中、高的优先级。</w:t>
      </w:r>
    </w:p>
    <w:p>
      <w:pPr>
        <w:spacing w:line="360" w:lineRule="auto"/>
        <w:rPr>
          <w:sz w:val="24"/>
          <w:szCs w:val="24"/>
        </w:rPr>
      </w:pPr>
      <w:r>
        <w:rPr>
          <w:rFonts w:hint="eastAsia"/>
          <w:sz w:val="24"/>
          <w:szCs w:val="24"/>
        </w:rPr>
        <w:t>一、风险概率</w:t>
      </w:r>
    </w:p>
    <w:p>
      <w:pPr>
        <w:spacing w:line="360" w:lineRule="auto"/>
        <w:ind w:firstLine="480" w:firstLineChars="200"/>
      </w:pPr>
      <w:r>
        <w:rPr>
          <w:rFonts w:hint="eastAsia"/>
          <w:sz w:val="24"/>
          <w:szCs w:val="24"/>
        </w:rPr>
        <w:t>度量风险发生概率的评分体系如下图所示：</w:t>
      </w:r>
    </w:p>
    <w:p>
      <w:pPr>
        <w:spacing w:line="360" w:lineRule="auto"/>
      </w:pPr>
      <w:r>
        <w:drawing>
          <wp:inline distT="0" distB="0" distL="0" distR="0">
            <wp:extent cx="4846320" cy="1760220"/>
            <wp:effectExtent l="0" t="0" r="0" b="0"/>
            <wp:docPr id="4357" name="图片 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 name="图片 43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846320" cy="1760220"/>
                    </a:xfrm>
                    <a:prstGeom prst="rect">
                      <a:avLst/>
                    </a:prstGeom>
                    <a:noFill/>
                    <a:ln>
                      <a:noFill/>
                    </a:ln>
                  </pic:spPr>
                </pic:pic>
              </a:graphicData>
            </a:graphic>
          </wp:inline>
        </w:drawing>
      </w:r>
    </w:p>
    <w:p>
      <w:pPr>
        <w:spacing w:line="360" w:lineRule="auto"/>
        <w:rPr>
          <w:sz w:val="24"/>
          <w:szCs w:val="24"/>
        </w:rPr>
      </w:pPr>
      <w:r>
        <w:rPr>
          <w:rFonts w:hint="eastAsia"/>
          <w:sz w:val="24"/>
          <w:szCs w:val="24"/>
        </w:rPr>
        <w:t>二、风险影响</w:t>
      </w:r>
    </w:p>
    <w:p>
      <w:pPr>
        <w:spacing w:line="360" w:lineRule="auto"/>
        <w:ind w:firstLine="480" w:firstLineChars="200"/>
      </w:pPr>
      <w:r>
        <w:rPr>
          <w:rFonts w:hint="eastAsia"/>
          <w:sz w:val="24"/>
          <w:szCs w:val="24"/>
        </w:rPr>
        <w:t>度量风险发生之后所带来的影响评分体系如下图所示：</w:t>
      </w:r>
    </w:p>
    <w:p>
      <w:pPr>
        <w:spacing w:line="360" w:lineRule="auto"/>
      </w:pPr>
      <w:r>
        <w:drawing>
          <wp:inline distT="0" distB="0" distL="0" distR="0">
            <wp:extent cx="4838700" cy="1630680"/>
            <wp:effectExtent l="0" t="0" r="0" b="7620"/>
            <wp:docPr id="4358" name="图片 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 name="图片 43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838700" cy="1630680"/>
                    </a:xfrm>
                    <a:prstGeom prst="rect">
                      <a:avLst/>
                    </a:prstGeom>
                    <a:noFill/>
                    <a:ln>
                      <a:noFill/>
                    </a:ln>
                  </pic:spPr>
                </pic:pic>
              </a:graphicData>
            </a:graphic>
          </wp:inline>
        </w:drawing>
      </w:r>
    </w:p>
    <w:p>
      <w:pPr>
        <w:spacing w:line="360" w:lineRule="auto"/>
        <w:rPr>
          <w:sz w:val="24"/>
          <w:szCs w:val="24"/>
        </w:rPr>
      </w:pPr>
      <w:r>
        <w:rPr>
          <w:rFonts w:hint="eastAsia"/>
          <w:sz w:val="24"/>
          <w:szCs w:val="24"/>
        </w:rPr>
        <w:t>三、风险优先级</w:t>
      </w:r>
    </w:p>
    <w:p>
      <w:pPr>
        <w:spacing w:line="360" w:lineRule="auto"/>
        <w:ind w:firstLine="480" w:firstLineChars="200"/>
        <w:rPr>
          <w:sz w:val="24"/>
          <w:szCs w:val="24"/>
        </w:rPr>
      </w:pPr>
      <w:r>
        <w:rPr>
          <w:rFonts w:hint="eastAsia"/>
          <w:sz w:val="24"/>
          <w:szCs w:val="24"/>
        </w:rPr>
        <w:t>通过识别风险发生的概率以及它对项目的影响，确定每项风险的优先级。一旦分配了概率和影响，优先级的评分将按照以下的方式计算出：</w:t>
      </w:r>
    </w:p>
    <w:p>
      <w:pPr>
        <w:spacing w:line="360" w:lineRule="auto"/>
        <w:rPr>
          <w:sz w:val="24"/>
          <w:szCs w:val="24"/>
        </w:rPr>
      </w:pPr>
      <w:r>
        <w:rPr>
          <w:rFonts w:hint="eastAsia"/>
          <w:sz w:val="24"/>
          <w:szCs w:val="24"/>
        </w:rPr>
        <w:t>优先级等于概率和影响的平均值，优先级＝</w:t>
      </w:r>
      <w:r>
        <w:rPr>
          <w:sz w:val="24"/>
          <w:szCs w:val="24"/>
        </w:rPr>
        <w:t xml:space="preserve"> (</w:t>
      </w:r>
      <w:r>
        <w:rPr>
          <w:rFonts w:hint="eastAsia"/>
          <w:sz w:val="24"/>
          <w:szCs w:val="24"/>
        </w:rPr>
        <w:t>概率＋影响</w:t>
      </w:r>
      <w:r>
        <w:rPr>
          <w:sz w:val="24"/>
          <w:szCs w:val="24"/>
        </w:rPr>
        <w:t>)/ 2</w:t>
      </w:r>
    </w:p>
    <w:p>
      <w:pPr>
        <w:spacing w:line="360" w:lineRule="auto"/>
      </w:pPr>
      <w:r>
        <w:rPr>
          <w:rFonts w:hint="eastAsia"/>
          <w:sz w:val="24"/>
          <w:szCs w:val="24"/>
        </w:rPr>
        <w:t>优先级的等级是基于计算得出的优先级的得分。使用如下的方法确定等级：</w:t>
      </w:r>
    </w:p>
    <w:tbl>
      <w:tblPr>
        <w:tblStyle w:val="34"/>
        <w:tblW w:w="5820" w:type="dxa"/>
        <w:jc w:val="center"/>
        <w:tblInd w:w="0" w:type="dxa"/>
        <w:tblLayout w:type="fixed"/>
        <w:tblCellMar>
          <w:top w:w="0" w:type="dxa"/>
          <w:left w:w="108" w:type="dxa"/>
          <w:bottom w:w="0" w:type="dxa"/>
          <w:right w:w="108" w:type="dxa"/>
        </w:tblCellMar>
      </w:tblPr>
      <w:tblGrid>
        <w:gridCol w:w="1660"/>
        <w:gridCol w:w="2380"/>
        <w:gridCol w:w="1780"/>
      </w:tblGrid>
      <w:tr>
        <w:tblPrEx>
          <w:tblLayout w:type="fixed"/>
          <w:tblCellMar>
            <w:top w:w="0" w:type="dxa"/>
            <w:left w:w="108" w:type="dxa"/>
            <w:bottom w:w="0" w:type="dxa"/>
            <w:right w:w="108" w:type="dxa"/>
          </w:tblCellMar>
        </w:tblPrEx>
        <w:trPr>
          <w:trHeight w:val="285" w:hRule="atLeast"/>
          <w:jc w:val="center"/>
        </w:trPr>
        <w:tc>
          <w:tcPr>
            <w:tcW w:w="1660" w:type="dxa"/>
            <w:tcBorders>
              <w:top w:val="single" w:color="auto" w:sz="4" w:space="0"/>
              <w:left w:val="single" w:color="auto" w:sz="4" w:space="0"/>
              <w:bottom w:val="single" w:color="auto" w:sz="4" w:space="0"/>
              <w:right w:val="single" w:color="auto" w:sz="4" w:space="0"/>
            </w:tcBorders>
            <w:shd w:val="clear" w:color="auto" w:fill="969696"/>
            <w:vAlign w:val="center"/>
          </w:tcPr>
          <w:p>
            <w:pPr>
              <w:spacing w:line="360" w:lineRule="auto"/>
            </w:pPr>
            <w:r>
              <w:rPr>
                <w:rFonts w:hint="eastAsia"/>
              </w:rPr>
              <w:t>优先级评分</w:t>
            </w:r>
          </w:p>
        </w:tc>
        <w:tc>
          <w:tcPr>
            <w:tcW w:w="2380" w:type="dxa"/>
            <w:tcBorders>
              <w:top w:val="single" w:color="auto" w:sz="4" w:space="0"/>
              <w:left w:val="nil"/>
              <w:bottom w:val="single" w:color="auto" w:sz="4" w:space="0"/>
              <w:right w:val="single" w:color="auto" w:sz="4" w:space="0"/>
            </w:tcBorders>
            <w:shd w:val="clear" w:color="auto" w:fill="969696"/>
            <w:vAlign w:val="center"/>
          </w:tcPr>
          <w:p>
            <w:pPr>
              <w:spacing w:line="360" w:lineRule="auto"/>
            </w:pPr>
            <w:r>
              <w:rPr>
                <w:rFonts w:hint="eastAsia"/>
              </w:rPr>
              <w:t>优先级等级</w:t>
            </w:r>
          </w:p>
        </w:tc>
        <w:tc>
          <w:tcPr>
            <w:tcW w:w="1780" w:type="dxa"/>
            <w:tcBorders>
              <w:top w:val="single" w:color="auto" w:sz="4" w:space="0"/>
              <w:left w:val="nil"/>
              <w:bottom w:val="single" w:color="auto" w:sz="4" w:space="0"/>
              <w:right w:val="single" w:color="auto" w:sz="4" w:space="0"/>
            </w:tcBorders>
            <w:shd w:val="clear" w:color="auto" w:fill="969696"/>
            <w:vAlign w:val="center"/>
          </w:tcPr>
          <w:p>
            <w:pPr>
              <w:spacing w:line="360" w:lineRule="auto"/>
            </w:pPr>
            <w:r>
              <w:rPr>
                <w:rFonts w:hint="eastAsia"/>
              </w:rPr>
              <w:t>颜色</w:t>
            </w:r>
          </w:p>
        </w:tc>
      </w:tr>
      <w:tr>
        <w:tblPrEx>
          <w:tblLayout w:type="fixed"/>
          <w:tblCellMar>
            <w:top w:w="0" w:type="dxa"/>
            <w:left w:w="108" w:type="dxa"/>
            <w:bottom w:w="0" w:type="dxa"/>
            <w:right w:w="108" w:type="dxa"/>
          </w:tblCellMar>
        </w:tblPrEx>
        <w:trPr>
          <w:trHeight w:val="285" w:hRule="atLeast"/>
          <w:jc w:val="center"/>
        </w:trPr>
        <w:tc>
          <w:tcPr>
            <w:tcW w:w="166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0~20</w:t>
            </w:r>
          </w:p>
        </w:tc>
        <w:tc>
          <w:tcPr>
            <w:tcW w:w="2380" w:type="dxa"/>
            <w:tcBorders>
              <w:top w:val="single" w:color="auto" w:sz="4" w:space="0"/>
              <w:left w:val="nil"/>
              <w:bottom w:val="single" w:color="auto" w:sz="4" w:space="0"/>
              <w:right w:val="single" w:color="auto" w:sz="4" w:space="0"/>
            </w:tcBorders>
            <w:vAlign w:val="center"/>
          </w:tcPr>
          <w:p>
            <w:pPr>
              <w:spacing w:line="360" w:lineRule="auto"/>
            </w:pPr>
            <w:r>
              <w:rPr>
                <w:rFonts w:hint="eastAsia"/>
              </w:rPr>
              <w:t>很低</w:t>
            </w:r>
          </w:p>
        </w:tc>
        <w:tc>
          <w:tcPr>
            <w:tcW w:w="1780" w:type="dxa"/>
            <w:tcBorders>
              <w:top w:val="single" w:color="auto" w:sz="4" w:space="0"/>
              <w:left w:val="nil"/>
              <w:bottom w:val="single" w:color="auto" w:sz="4" w:space="0"/>
              <w:right w:val="single" w:color="auto" w:sz="4" w:space="0"/>
            </w:tcBorders>
            <w:vAlign w:val="center"/>
          </w:tcPr>
          <w:p>
            <w:pPr>
              <w:spacing w:line="360" w:lineRule="auto"/>
            </w:pPr>
            <w:r>
              <w:rPr>
                <w:rFonts w:hint="eastAsia"/>
              </w:rPr>
              <w:t>蓝</w:t>
            </w:r>
          </w:p>
        </w:tc>
      </w:tr>
      <w:tr>
        <w:tblPrEx>
          <w:tblLayout w:type="fixed"/>
          <w:tblCellMar>
            <w:top w:w="0" w:type="dxa"/>
            <w:left w:w="108" w:type="dxa"/>
            <w:bottom w:w="0" w:type="dxa"/>
            <w:right w:w="108" w:type="dxa"/>
          </w:tblCellMar>
        </w:tblPrEx>
        <w:trPr>
          <w:trHeight w:val="285" w:hRule="atLeast"/>
          <w:jc w:val="center"/>
        </w:trPr>
        <w:tc>
          <w:tcPr>
            <w:tcW w:w="166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21~40</w:t>
            </w:r>
          </w:p>
        </w:tc>
        <w:tc>
          <w:tcPr>
            <w:tcW w:w="2380" w:type="dxa"/>
            <w:tcBorders>
              <w:top w:val="single" w:color="auto" w:sz="4" w:space="0"/>
              <w:left w:val="nil"/>
              <w:bottom w:val="single" w:color="auto" w:sz="4" w:space="0"/>
              <w:right w:val="single" w:color="auto" w:sz="4" w:space="0"/>
            </w:tcBorders>
            <w:vAlign w:val="center"/>
          </w:tcPr>
          <w:p>
            <w:pPr>
              <w:spacing w:line="360" w:lineRule="auto"/>
            </w:pPr>
            <w:r>
              <w:rPr>
                <w:rFonts w:hint="eastAsia"/>
              </w:rPr>
              <w:t>低</w:t>
            </w:r>
          </w:p>
        </w:tc>
        <w:tc>
          <w:tcPr>
            <w:tcW w:w="1780" w:type="dxa"/>
            <w:tcBorders>
              <w:top w:val="single" w:color="auto" w:sz="4" w:space="0"/>
              <w:left w:val="nil"/>
              <w:bottom w:val="single" w:color="auto" w:sz="4" w:space="0"/>
              <w:right w:val="single" w:color="auto" w:sz="4" w:space="0"/>
            </w:tcBorders>
            <w:vAlign w:val="center"/>
          </w:tcPr>
          <w:p>
            <w:pPr>
              <w:spacing w:line="360" w:lineRule="auto"/>
            </w:pPr>
            <w:r>
              <w:rPr>
                <w:rFonts w:hint="eastAsia"/>
              </w:rPr>
              <w:t>绿</w:t>
            </w:r>
          </w:p>
        </w:tc>
      </w:tr>
      <w:tr>
        <w:tblPrEx>
          <w:tblLayout w:type="fixed"/>
          <w:tblCellMar>
            <w:top w:w="0" w:type="dxa"/>
            <w:left w:w="108" w:type="dxa"/>
            <w:bottom w:w="0" w:type="dxa"/>
            <w:right w:w="108" w:type="dxa"/>
          </w:tblCellMar>
        </w:tblPrEx>
        <w:trPr>
          <w:trHeight w:val="285" w:hRule="atLeast"/>
          <w:jc w:val="center"/>
        </w:trPr>
        <w:tc>
          <w:tcPr>
            <w:tcW w:w="166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41~60</w:t>
            </w:r>
          </w:p>
        </w:tc>
        <w:tc>
          <w:tcPr>
            <w:tcW w:w="2380" w:type="dxa"/>
            <w:tcBorders>
              <w:top w:val="single" w:color="auto" w:sz="4" w:space="0"/>
              <w:left w:val="nil"/>
              <w:bottom w:val="single" w:color="auto" w:sz="4" w:space="0"/>
              <w:right w:val="single" w:color="auto" w:sz="4" w:space="0"/>
            </w:tcBorders>
            <w:vAlign w:val="center"/>
          </w:tcPr>
          <w:p>
            <w:pPr>
              <w:spacing w:line="360" w:lineRule="auto"/>
            </w:pPr>
            <w:r>
              <w:rPr>
                <w:rFonts w:hint="eastAsia"/>
              </w:rPr>
              <w:t>中等</w:t>
            </w:r>
          </w:p>
        </w:tc>
        <w:tc>
          <w:tcPr>
            <w:tcW w:w="1780" w:type="dxa"/>
            <w:tcBorders>
              <w:top w:val="single" w:color="auto" w:sz="4" w:space="0"/>
              <w:left w:val="nil"/>
              <w:bottom w:val="single" w:color="auto" w:sz="4" w:space="0"/>
              <w:right w:val="single" w:color="auto" w:sz="4" w:space="0"/>
            </w:tcBorders>
            <w:vAlign w:val="center"/>
          </w:tcPr>
          <w:p>
            <w:pPr>
              <w:spacing w:line="360" w:lineRule="auto"/>
            </w:pPr>
            <w:r>
              <w:rPr>
                <w:rFonts w:hint="eastAsia"/>
              </w:rPr>
              <w:t>黄</w:t>
            </w:r>
          </w:p>
        </w:tc>
      </w:tr>
      <w:tr>
        <w:tblPrEx>
          <w:tblLayout w:type="fixed"/>
          <w:tblCellMar>
            <w:top w:w="0" w:type="dxa"/>
            <w:left w:w="108" w:type="dxa"/>
            <w:bottom w:w="0" w:type="dxa"/>
            <w:right w:w="108" w:type="dxa"/>
          </w:tblCellMar>
        </w:tblPrEx>
        <w:trPr>
          <w:trHeight w:val="285" w:hRule="atLeast"/>
          <w:jc w:val="center"/>
        </w:trPr>
        <w:tc>
          <w:tcPr>
            <w:tcW w:w="166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61~80</w:t>
            </w:r>
          </w:p>
        </w:tc>
        <w:tc>
          <w:tcPr>
            <w:tcW w:w="2380" w:type="dxa"/>
            <w:tcBorders>
              <w:top w:val="single" w:color="auto" w:sz="4" w:space="0"/>
              <w:left w:val="nil"/>
              <w:bottom w:val="single" w:color="auto" w:sz="4" w:space="0"/>
              <w:right w:val="single" w:color="auto" w:sz="4" w:space="0"/>
            </w:tcBorders>
            <w:vAlign w:val="center"/>
          </w:tcPr>
          <w:p>
            <w:pPr>
              <w:spacing w:line="360" w:lineRule="auto"/>
            </w:pPr>
            <w:r>
              <w:rPr>
                <w:rFonts w:hint="eastAsia"/>
              </w:rPr>
              <w:t>高</w:t>
            </w:r>
          </w:p>
        </w:tc>
        <w:tc>
          <w:tcPr>
            <w:tcW w:w="1780" w:type="dxa"/>
            <w:tcBorders>
              <w:top w:val="single" w:color="auto" w:sz="4" w:space="0"/>
              <w:left w:val="nil"/>
              <w:bottom w:val="single" w:color="auto" w:sz="4" w:space="0"/>
              <w:right w:val="single" w:color="auto" w:sz="4" w:space="0"/>
            </w:tcBorders>
            <w:vAlign w:val="center"/>
          </w:tcPr>
          <w:p>
            <w:pPr>
              <w:spacing w:line="360" w:lineRule="auto"/>
            </w:pPr>
            <w:r>
              <w:rPr>
                <w:rFonts w:hint="eastAsia"/>
              </w:rPr>
              <w:t>橙</w:t>
            </w:r>
          </w:p>
        </w:tc>
      </w:tr>
      <w:tr>
        <w:tblPrEx>
          <w:tblLayout w:type="fixed"/>
          <w:tblCellMar>
            <w:top w:w="0" w:type="dxa"/>
            <w:left w:w="108" w:type="dxa"/>
            <w:bottom w:w="0" w:type="dxa"/>
            <w:right w:w="108" w:type="dxa"/>
          </w:tblCellMar>
        </w:tblPrEx>
        <w:trPr>
          <w:trHeight w:val="285" w:hRule="atLeast"/>
          <w:jc w:val="center"/>
        </w:trPr>
        <w:tc>
          <w:tcPr>
            <w:tcW w:w="166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81~100</w:t>
            </w:r>
          </w:p>
        </w:tc>
        <w:tc>
          <w:tcPr>
            <w:tcW w:w="2380" w:type="dxa"/>
            <w:tcBorders>
              <w:top w:val="single" w:color="auto" w:sz="4" w:space="0"/>
              <w:left w:val="nil"/>
              <w:bottom w:val="single" w:color="auto" w:sz="4" w:space="0"/>
              <w:right w:val="single" w:color="auto" w:sz="4" w:space="0"/>
            </w:tcBorders>
            <w:vAlign w:val="center"/>
          </w:tcPr>
          <w:p>
            <w:pPr>
              <w:spacing w:line="360" w:lineRule="auto"/>
            </w:pPr>
            <w:r>
              <w:rPr>
                <w:rFonts w:hint="eastAsia"/>
              </w:rPr>
              <w:t>很高</w:t>
            </w:r>
          </w:p>
        </w:tc>
        <w:tc>
          <w:tcPr>
            <w:tcW w:w="1780" w:type="dxa"/>
            <w:tcBorders>
              <w:top w:val="single" w:color="auto" w:sz="4" w:space="0"/>
              <w:left w:val="nil"/>
              <w:bottom w:val="single" w:color="auto" w:sz="4" w:space="0"/>
              <w:right w:val="single" w:color="auto" w:sz="4" w:space="0"/>
            </w:tcBorders>
            <w:vAlign w:val="center"/>
          </w:tcPr>
          <w:p>
            <w:pPr>
              <w:spacing w:line="360" w:lineRule="auto"/>
            </w:pPr>
            <w:r>
              <w:rPr>
                <w:rFonts w:hint="eastAsia"/>
              </w:rPr>
              <w:t>红</w:t>
            </w:r>
          </w:p>
        </w:tc>
      </w:tr>
    </w:tbl>
    <w:p>
      <w:pPr>
        <w:spacing w:line="360" w:lineRule="auto"/>
      </w:pPr>
    </w:p>
    <w:p>
      <w:pPr>
        <w:spacing w:line="360" w:lineRule="auto"/>
      </w:pPr>
      <w:r>
        <w:rPr>
          <w:rFonts w:hint="eastAsia"/>
        </w:rPr>
        <w:t>完成的结果示例如下：</w:t>
      </w:r>
    </w:p>
    <w:tbl>
      <w:tblPr>
        <w:tblStyle w:val="34"/>
        <w:tblW w:w="7980" w:type="dxa"/>
        <w:tblInd w:w="0" w:type="dxa"/>
        <w:tblLayout w:type="fixed"/>
        <w:tblCellMar>
          <w:top w:w="0" w:type="dxa"/>
          <w:left w:w="108" w:type="dxa"/>
          <w:bottom w:w="0" w:type="dxa"/>
          <w:right w:w="108" w:type="dxa"/>
        </w:tblCellMar>
      </w:tblPr>
      <w:tblGrid>
        <w:gridCol w:w="1080"/>
        <w:gridCol w:w="1080"/>
        <w:gridCol w:w="1660"/>
        <w:gridCol w:w="2380"/>
        <w:gridCol w:w="1780"/>
      </w:tblGrid>
      <w:tr>
        <w:tblPrEx>
          <w:tblLayout w:type="fixed"/>
          <w:tblCellMar>
            <w:top w:w="0" w:type="dxa"/>
            <w:left w:w="108" w:type="dxa"/>
            <w:bottom w:w="0" w:type="dxa"/>
            <w:right w:w="108" w:type="dxa"/>
          </w:tblCellMar>
        </w:tblPrEx>
        <w:trPr>
          <w:trHeight w:val="285" w:hRule="atLeast"/>
          <w:tblHeader/>
        </w:trPr>
        <w:tc>
          <w:tcPr>
            <w:tcW w:w="1080" w:type="dxa"/>
            <w:tcBorders>
              <w:top w:val="single" w:color="auto" w:sz="4" w:space="0"/>
              <w:left w:val="single" w:color="auto" w:sz="4" w:space="0"/>
              <w:bottom w:val="single" w:color="auto" w:sz="4" w:space="0"/>
              <w:right w:val="single" w:color="auto" w:sz="4" w:space="0"/>
            </w:tcBorders>
            <w:shd w:val="clear" w:color="auto" w:fill="969696"/>
            <w:vAlign w:val="center"/>
          </w:tcPr>
          <w:p>
            <w:pPr>
              <w:spacing w:line="360" w:lineRule="auto"/>
            </w:pPr>
            <w:r>
              <w:rPr>
                <w:rFonts w:hint="eastAsia"/>
              </w:rPr>
              <w:t>ID</w:t>
            </w:r>
          </w:p>
        </w:tc>
        <w:tc>
          <w:tcPr>
            <w:tcW w:w="1080" w:type="dxa"/>
            <w:tcBorders>
              <w:top w:val="single" w:color="auto" w:sz="4" w:space="0"/>
              <w:left w:val="nil"/>
              <w:bottom w:val="single" w:color="auto" w:sz="4" w:space="0"/>
              <w:right w:val="single" w:color="auto" w:sz="4" w:space="0"/>
            </w:tcBorders>
            <w:shd w:val="clear" w:color="auto" w:fill="969696"/>
            <w:vAlign w:val="center"/>
          </w:tcPr>
          <w:p>
            <w:pPr>
              <w:spacing w:line="360" w:lineRule="auto"/>
            </w:pPr>
            <w:r>
              <w:rPr>
                <w:rFonts w:hint="eastAsia"/>
              </w:rPr>
              <w:t>概率</w:t>
            </w:r>
          </w:p>
        </w:tc>
        <w:tc>
          <w:tcPr>
            <w:tcW w:w="1660" w:type="dxa"/>
            <w:tcBorders>
              <w:top w:val="single" w:color="auto" w:sz="4" w:space="0"/>
              <w:left w:val="nil"/>
              <w:bottom w:val="single" w:color="auto" w:sz="4" w:space="0"/>
              <w:right w:val="single" w:color="auto" w:sz="4" w:space="0"/>
            </w:tcBorders>
            <w:shd w:val="clear" w:color="auto" w:fill="969696"/>
            <w:vAlign w:val="center"/>
          </w:tcPr>
          <w:p>
            <w:pPr>
              <w:spacing w:line="360" w:lineRule="auto"/>
            </w:pPr>
            <w:r>
              <w:rPr>
                <w:rFonts w:hint="eastAsia"/>
              </w:rPr>
              <w:t>影响</w:t>
            </w:r>
          </w:p>
        </w:tc>
        <w:tc>
          <w:tcPr>
            <w:tcW w:w="2380" w:type="dxa"/>
            <w:tcBorders>
              <w:top w:val="single" w:color="auto" w:sz="4" w:space="0"/>
              <w:left w:val="nil"/>
              <w:bottom w:val="single" w:color="auto" w:sz="4" w:space="0"/>
              <w:right w:val="single" w:color="auto" w:sz="4" w:space="0"/>
            </w:tcBorders>
            <w:shd w:val="clear" w:color="auto" w:fill="969696"/>
            <w:vAlign w:val="center"/>
          </w:tcPr>
          <w:p>
            <w:pPr>
              <w:spacing w:line="360" w:lineRule="auto"/>
            </w:pPr>
            <w:r>
              <w:rPr>
                <w:rFonts w:hint="eastAsia"/>
              </w:rPr>
              <w:t>优先级评分</w:t>
            </w:r>
          </w:p>
        </w:tc>
        <w:tc>
          <w:tcPr>
            <w:tcW w:w="1780" w:type="dxa"/>
            <w:tcBorders>
              <w:top w:val="single" w:color="auto" w:sz="4" w:space="0"/>
              <w:left w:val="nil"/>
              <w:bottom w:val="single" w:color="auto" w:sz="4" w:space="0"/>
              <w:right w:val="single" w:color="auto" w:sz="4" w:space="0"/>
            </w:tcBorders>
            <w:shd w:val="clear" w:color="auto" w:fill="969696"/>
            <w:vAlign w:val="center"/>
          </w:tcPr>
          <w:p>
            <w:pPr>
              <w:spacing w:line="360" w:lineRule="auto"/>
            </w:pPr>
            <w:r>
              <w:rPr>
                <w:rFonts w:hint="eastAsia"/>
              </w:rPr>
              <w:t>等级</w:t>
            </w:r>
          </w:p>
        </w:tc>
      </w:tr>
      <w:tr>
        <w:tblPrEx>
          <w:tblLayout w:type="fixed"/>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1.1</w:t>
            </w:r>
          </w:p>
        </w:tc>
        <w:tc>
          <w:tcPr>
            <w:tcW w:w="1080" w:type="dxa"/>
            <w:tcBorders>
              <w:top w:val="single" w:color="auto" w:sz="4" w:space="0"/>
              <w:left w:val="nil"/>
              <w:bottom w:val="single" w:color="auto" w:sz="4" w:space="0"/>
              <w:right w:val="single" w:color="auto" w:sz="4" w:space="0"/>
            </w:tcBorders>
            <w:vAlign w:val="center"/>
          </w:tcPr>
          <w:p>
            <w:pPr>
              <w:spacing w:line="360" w:lineRule="auto"/>
            </w:pPr>
            <w:r>
              <w:rPr>
                <w:rFonts w:hint="eastAsia"/>
              </w:rPr>
              <w:t>20</w:t>
            </w:r>
          </w:p>
        </w:tc>
        <w:tc>
          <w:tcPr>
            <w:tcW w:w="1660" w:type="dxa"/>
            <w:tcBorders>
              <w:top w:val="single" w:color="auto" w:sz="4" w:space="0"/>
              <w:left w:val="nil"/>
              <w:bottom w:val="single" w:color="auto" w:sz="4" w:space="0"/>
              <w:right w:val="single" w:color="auto" w:sz="4" w:space="0"/>
            </w:tcBorders>
            <w:vAlign w:val="center"/>
          </w:tcPr>
          <w:p>
            <w:pPr>
              <w:spacing w:line="360" w:lineRule="auto"/>
            </w:pPr>
            <w:r>
              <w:rPr>
                <w:rFonts w:hint="eastAsia"/>
              </w:rPr>
              <w:t>80</w:t>
            </w:r>
          </w:p>
        </w:tc>
        <w:tc>
          <w:tcPr>
            <w:tcW w:w="2380" w:type="dxa"/>
            <w:tcBorders>
              <w:top w:val="single" w:color="auto" w:sz="4" w:space="0"/>
              <w:left w:val="nil"/>
              <w:bottom w:val="single" w:color="auto" w:sz="4" w:space="0"/>
              <w:right w:val="single" w:color="auto" w:sz="4" w:space="0"/>
            </w:tcBorders>
            <w:vAlign w:val="center"/>
          </w:tcPr>
          <w:p>
            <w:pPr>
              <w:spacing w:line="360" w:lineRule="auto"/>
            </w:pPr>
            <w:r>
              <w:rPr>
                <w:rFonts w:hint="eastAsia"/>
              </w:rPr>
              <w:t>50</w:t>
            </w:r>
          </w:p>
        </w:tc>
        <w:tc>
          <w:tcPr>
            <w:tcW w:w="1780" w:type="dxa"/>
            <w:tcBorders>
              <w:top w:val="single" w:color="auto" w:sz="4" w:space="0"/>
              <w:left w:val="nil"/>
              <w:bottom w:val="single" w:color="auto" w:sz="4" w:space="0"/>
              <w:right w:val="single" w:color="auto" w:sz="4" w:space="0"/>
            </w:tcBorders>
            <w:vAlign w:val="center"/>
          </w:tcPr>
          <w:p>
            <w:pPr>
              <w:spacing w:line="360" w:lineRule="auto"/>
            </w:pPr>
            <w:r>
              <w:rPr>
                <w:rFonts w:hint="eastAsia"/>
              </w:rPr>
              <w:t>中等</w:t>
            </w:r>
          </w:p>
        </w:tc>
      </w:tr>
      <w:tr>
        <w:tblPrEx>
          <w:tblLayout w:type="fixed"/>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1.2</w:t>
            </w:r>
          </w:p>
        </w:tc>
        <w:tc>
          <w:tcPr>
            <w:tcW w:w="1080" w:type="dxa"/>
            <w:tcBorders>
              <w:top w:val="single" w:color="auto" w:sz="4" w:space="0"/>
              <w:left w:val="nil"/>
              <w:bottom w:val="single" w:color="auto" w:sz="4" w:space="0"/>
              <w:right w:val="single" w:color="auto" w:sz="4" w:space="0"/>
            </w:tcBorders>
            <w:vAlign w:val="center"/>
          </w:tcPr>
          <w:p>
            <w:pPr>
              <w:spacing w:line="360" w:lineRule="auto"/>
            </w:pPr>
            <w:r>
              <w:rPr>
                <w:rFonts w:hint="eastAsia"/>
              </w:rPr>
              <w:t>80</w:t>
            </w:r>
          </w:p>
        </w:tc>
        <w:tc>
          <w:tcPr>
            <w:tcW w:w="1660" w:type="dxa"/>
            <w:tcBorders>
              <w:top w:val="single" w:color="auto" w:sz="4" w:space="0"/>
              <w:left w:val="nil"/>
              <w:bottom w:val="single" w:color="auto" w:sz="4" w:space="0"/>
              <w:right w:val="single" w:color="auto" w:sz="4" w:space="0"/>
            </w:tcBorders>
            <w:vAlign w:val="center"/>
          </w:tcPr>
          <w:p>
            <w:pPr>
              <w:spacing w:line="360" w:lineRule="auto"/>
            </w:pPr>
            <w:r>
              <w:rPr>
                <w:rFonts w:hint="eastAsia"/>
              </w:rPr>
              <w:t>60</w:t>
            </w:r>
          </w:p>
        </w:tc>
        <w:tc>
          <w:tcPr>
            <w:tcW w:w="2380" w:type="dxa"/>
            <w:tcBorders>
              <w:top w:val="single" w:color="auto" w:sz="4" w:space="0"/>
              <w:left w:val="nil"/>
              <w:bottom w:val="single" w:color="auto" w:sz="4" w:space="0"/>
              <w:right w:val="single" w:color="auto" w:sz="4" w:space="0"/>
            </w:tcBorders>
            <w:vAlign w:val="center"/>
          </w:tcPr>
          <w:p>
            <w:pPr>
              <w:spacing w:line="360" w:lineRule="auto"/>
            </w:pPr>
            <w:r>
              <w:rPr>
                <w:rFonts w:hint="eastAsia"/>
              </w:rPr>
              <w:t>70</w:t>
            </w:r>
          </w:p>
        </w:tc>
        <w:tc>
          <w:tcPr>
            <w:tcW w:w="1780" w:type="dxa"/>
            <w:tcBorders>
              <w:top w:val="single" w:color="auto" w:sz="4" w:space="0"/>
              <w:left w:val="nil"/>
              <w:bottom w:val="single" w:color="auto" w:sz="4" w:space="0"/>
              <w:right w:val="single" w:color="auto" w:sz="4" w:space="0"/>
            </w:tcBorders>
            <w:vAlign w:val="center"/>
          </w:tcPr>
          <w:p>
            <w:pPr>
              <w:spacing w:line="360" w:lineRule="auto"/>
            </w:pPr>
            <w:r>
              <w:rPr>
                <w:rFonts w:hint="eastAsia"/>
              </w:rPr>
              <w:t>高</w:t>
            </w:r>
          </w:p>
        </w:tc>
      </w:tr>
      <w:tr>
        <w:tblPrEx>
          <w:tblLayout w:type="fixed"/>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1.3</w:t>
            </w:r>
          </w:p>
        </w:tc>
        <w:tc>
          <w:tcPr>
            <w:tcW w:w="1080" w:type="dxa"/>
            <w:tcBorders>
              <w:top w:val="single" w:color="auto" w:sz="4" w:space="0"/>
              <w:left w:val="nil"/>
              <w:bottom w:val="single" w:color="auto" w:sz="4" w:space="0"/>
              <w:right w:val="single" w:color="auto" w:sz="4" w:space="0"/>
            </w:tcBorders>
            <w:vAlign w:val="center"/>
          </w:tcPr>
          <w:p>
            <w:pPr>
              <w:spacing w:line="360" w:lineRule="auto"/>
            </w:pPr>
            <w:r>
              <w:rPr>
                <w:rFonts w:hint="eastAsia"/>
              </w:rPr>
              <w:t>100</w:t>
            </w:r>
          </w:p>
        </w:tc>
        <w:tc>
          <w:tcPr>
            <w:tcW w:w="1660" w:type="dxa"/>
            <w:tcBorders>
              <w:top w:val="single" w:color="auto" w:sz="4" w:space="0"/>
              <w:left w:val="nil"/>
              <w:bottom w:val="single" w:color="auto" w:sz="4" w:space="0"/>
              <w:right w:val="single" w:color="auto" w:sz="4" w:space="0"/>
            </w:tcBorders>
            <w:vAlign w:val="center"/>
          </w:tcPr>
          <w:p>
            <w:pPr>
              <w:spacing w:line="360" w:lineRule="auto"/>
            </w:pPr>
            <w:r>
              <w:rPr>
                <w:rFonts w:hint="eastAsia"/>
              </w:rPr>
              <w:t>40</w:t>
            </w:r>
          </w:p>
        </w:tc>
        <w:tc>
          <w:tcPr>
            <w:tcW w:w="2380" w:type="dxa"/>
            <w:tcBorders>
              <w:top w:val="single" w:color="auto" w:sz="4" w:space="0"/>
              <w:left w:val="nil"/>
              <w:bottom w:val="single" w:color="auto" w:sz="4" w:space="0"/>
              <w:right w:val="single" w:color="auto" w:sz="4" w:space="0"/>
            </w:tcBorders>
            <w:vAlign w:val="center"/>
          </w:tcPr>
          <w:p>
            <w:pPr>
              <w:spacing w:line="360" w:lineRule="auto"/>
            </w:pPr>
            <w:r>
              <w:rPr>
                <w:rFonts w:hint="eastAsia"/>
              </w:rPr>
              <w:t>70</w:t>
            </w:r>
          </w:p>
        </w:tc>
        <w:tc>
          <w:tcPr>
            <w:tcW w:w="1780" w:type="dxa"/>
            <w:tcBorders>
              <w:top w:val="single" w:color="auto" w:sz="4" w:space="0"/>
              <w:left w:val="nil"/>
              <w:bottom w:val="single" w:color="auto" w:sz="4" w:space="0"/>
              <w:right w:val="single" w:color="auto" w:sz="4" w:space="0"/>
            </w:tcBorders>
            <w:vAlign w:val="center"/>
          </w:tcPr>
          <w:p>
            <w:pPr>
              <w:spacing w:line="360" w:lineRule="auto"/>
            </w:pPr>
            <w:r>
              <w:rPr>
                <w:rFonts w:hint="eastAsia"/>
              </w:rPr>
              <w:t>高</w:t>
            </w:r>
          </w:p>
        </w:tc>
      </w:tr>
      <w:tr>
        <w:tblPrEx>
          <w:tblLayout w:type="fixed"/>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2.1</w:t>
            </w:r>
          </w:p>
        </w:tc>
        <w:tc>
          <w:tcPr>
            <w:tcW w:w="1080" w:type="dxa"/>
            <w:tcBorders>
              <w:top w:val="single" w:color="auto" w:sz="4" w:space="0"/>
              <w:left w:val="nil"/>
              <w:bottom w:val="single" w:color="auto" w:sz="4" w:space="0"/>
              <w:right w:val="single" w:color="auto" w:sz="4" w:space="0"/>
            </w:tcBorders>
            <w:vAlign w:val="center"/>
          </w:tcPr>
          <w:p>
            <w:pPr>
              <w:spacing w:line="360" w:lineRule="auto"/>
            </w:pPr>
            <w:r>
              <w:rPr>
                <w:rFonts w:hint="eastAsia"/>
              </w:rPr>
              <w:t>40</w:t>
            </w:r>
          </w:p>
        </w:tc>
        <w:tc>
          <w:tcPr>
            <w:tcW w:w="1660" w:type="dxa"/>
            <w:tcBorders>
              <w:top w:val="single" w:color="auto" w:sz="4" w:space="0"/>
              <w:left w:val="nil"/>
              <w:bottom w:val="single" w:color="auto" w:sz="4" w:space="0"/>
              <w:right w:val="single" w:color="auto" w:sz="4" w:space="0"/>
            </w:tcBorders>
            <w:vAlign w:val="center"/>
          </w:tcPr>
          <w:p>
            <w:pPr>
              <w:spacing w:line="360" w:lineRule="auto"/>
            </w:pPr>
            <w:r>
              <w:rPr>
                <w:rFonts w:hint="eastAsia"/>
              </w:rPr>
              <w:t>20</w:t>
            </w:r>
          </w:p>
        </w:tc>
        <w:tc>
          <w:tcPr>
            <w:tcW w:w="2380" w:type="dxa"/>
            <w:tcBorders>
              <w:top w:val="single" w:color="auto" w:sz="4" w:space="0"/>
              <w:left w:val="nil"/>
              <w:bottom w:val="single" w:color="auto" w:sz="4" w:space="0"/>
              <w:right w:val="single" w:color="auto" w:sz="4" w:space="0"/>
            </w:tcBorders>
            <w:vAlign w:val="center"/>
          </w:tcPr>
          <w:p>
            <w:pPr>
              <w:spacing w:line="360" w:lineRule="auto"/>
            </w:pPr>
            <w:r>
              <w:rPr>
                <w:rFonts w:hint="eastAsia"/>
              </w:rPr>
              <w:t>30</w:t>
            </w:r>
          </w:p>
        </w:tc>
        <w:tc>
          <w:tcPr>
            <w:tcW w:w="1780" w:type="dxa"/>
            <w:tcBorders>
              <w:top w:val="single" w:color="auto" w:sz="4" w:space="0"/>
              <w:left w:val="nil"/>
              <w:bottom w:val="single" w:color="auto" w:sz="4" w:space="0"/>
              <w:right w:val="single" w:color="auto" w:sz="4" w:space="0"/>
            </w:tcBorders>
            <w:vAlign w:val="center"/>
          </w:tcPr>
          <w:p>
            <w:pPr>
              <w:spacing w:line="360" w:lineRule="auto"/>
            </w:pPr>
            <w:r>
              <w:rPr>
                <w:rFonts w:hint="eastAsia"/>
              </w:rPr>
              <w:t>低</w:t>
            </w:r>
          </w:p>
        </w:tc>
      </w:tr>
      <w:tr>
        <w:tblPrEx>
          <w:tblLayout w:type="fixed"/>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2.2</w:t>
            </w:r>
          </w:p>
        </w:tc>
        <w:tc>
          <w:tcPr>
            <w:tcW w:w="1080" w:type="dxa"/>
            <w:tcBorders>
              <w:top w:val="single" w:color="auto" w:sz="4" w:space="0"/>
              <w:left w:val="nil"/>
              <w:bottom w:val="single" w:color="auto" w:sz="4" w:space="0"/>
              <w:right w:val="single" w:color="auto" w:sz="4" w:space="0"/>
            </w:tcBorders>
            <w:vAlign w:val="center"/>
          </w:tcPr>
          <w:p>
            <w:pPr>
              <w:spacing w:line="360" w:lineRule="auto"/>
            </w:pPr>
            <w:r>
              <w:rPr>
                <w:rFonts w:hint="eastAsia"/>
              </w:rPr>
              <w:t>80</w:t>
            </w:r>
          </w:p>
        </w:tc>
        <w:tc>
          <w:tcPr>
            <w:tcW w:w="1660" w:type="dxa"/>
            <w:tcBorders>
              <w:top w:val="single" w:color="auto" w:sz="4" w:space="0"/>
              <w:left w:val="nil"/>
              <w:bottom w:val="single" w:color="auto" w:sz="4" w:space="0"/>
              <w:right w:val="single" w:color="auto" w:sz="4" w:space="0"/>
            </w:tcBorders>
            <w:vAlign w:val="center"/>
          </w:tcPr>
          <w:p>
            <w:pPr>
              <w:spacing w:line="360" w:lineRule="auto"/>
            </w:pPr>
            <w:r>
              <w:rPr>
                <w:rFonts w:hint="eastAsia"/>
              </w:rPr>
              <w:t>100</w:t>
            </w:r>
          </w:p>
        </w:tc>
        <w:tc>
          <w:tcPr>
            <w:tcW w:w="2380" w:type="dxa"/>
            <w:tcBorders>
              <w:top w:val="single" w:color="auto" w:sz="4" w:space="0"/>
              <w:left w:val="nil"/>
              <w:bottom w:val="single" w:color="auto" w:sz="4" w:space="0"/>
              <w:right w:val="single" w:color="auto" w:sz="4" w:space="0"/>
            </w:tcBorders>
            <w:vAlign w:val="center"/>
          </w:tcPr>
          <w:p>
            <w:pPr>
              <w:spacing w:line="360" w:lineRule="auto"/>
            </w:pPr>
            <w:r>
              <w:rPr>
                <w:rFonts w:hint="eastAsia"/>
              </w:rPr>
              <w:t>80</w:t>
            </w:r>
          </w:p>
        </w:tc>
        <w:tc>
          <w:tcPr>
            <w:tcW w:w="1780" w:type="dxa"/>
            <w:tcBorders>
              <w:top w:val="single" w:color="auto" w:sz="4" w:space="0"/>
              <w:left w:val="nil"/>
              <w:bottom w:val="single" w:color="auto" w:sz="4" w:space="0"/>
              <w:right w:val="single" w:color="auto" w:sz="4" w:space="0"/>
            </w:tcBorders>
            <w:vAlign w:val="center"/>
          </w:tcPr>
          <w:p>
            <w:pPr>
              <w:spacing w:line="360" w:lineRule="auto"/>
            </w:pPr>
            <w:r>
              <w:rPr>
                <w:rFonts w:hint="eastAsia"/>
              </w:rPr>
              <w:t>很高</w:t>
            </w:r>
          </w:p>
        </w:tc>
      </w:tr>
      <w:tr>
        <w:tblPrEx>
          <w:tblLayout w:type="fixed"/>
          <w:tblCellMar>
            <w:top w:w="0" w:type="dxa"/>
            <w:left w:w="108" w:type="dxa"/>
            <w:bottom w:w="0" w:type="dxa"/>
            <w:right w:w="108"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2.3</w:t>
            </w:r>
          </w:p>
        </w:tc>
        <w:tc>
          <w:tcPr>
            <w:tcW w:w="1080" w:type="dxa"/>
            <w:tcBorders>
              <w:top w:val="single" w:color="auto" w:sz="4" w:space="0"/>
              <w:left w:val="nil"/>
              <w:bottom w:val="single" w:color="auto" w:sz="4" w:space="0"/>
              <w:right w:val="single" w:color="auto" w:sz="4" w:space="0"/>
            </w:tcBorders>
            <w:vAlign w:val="center"/>
          </w:tcPr>
          <w:p>
            <w:pPr>
              <w:spacing w:line="360" w:lineRule="auto"/>
            </w:pPr>
            <w:r>
              <w:rPr>
                <w:rFonts w:hint="eastAsia"/>
              </w:rPr>
              <w:t>20</w:t>
            </w:r>
          </w:p>
        </w:tc>
        <w:tc>
          <w:tcPr>
            <w:tcW w:w="1660" w:type="dxa"/>
            <w:tcBorders>
              <w:top w:val="single" w:color="auto" w:sz="4" w:space="0"/>
              <w:left w:val="nil"/>
              <w:bottom w:val="single" w:color="auto" w:sz="4" w:space="0"/>
              <w:right w:val="single" w:color="auto" w:sz="4" w:space="0"/>
            </w:tcBorders>
            <w:vAlign w:val="center"/>
          </w:tcPr>
          <w:p>
            <w:pPr>
              <w:spacing w:line="360" w:lineRule="auto"/>
            </w:pPr>
            <w:r>
              <w:rPr>
                <w:rFonts w:hint="eastAsia"/>
              </w:rPr>
              <w:t>80</w:t>
            </w:r>
          </w:p>
        </w:tc>
        <w:tc>
          <w:tcPr>
            <w:tcW w:w="2380" w:type="dxa"/>
            <w:tcBorders>
              <w:top w:val="single" w:color="auto" w:sz="4" w:space="0"/>
              <w:left w:val="nil"/>
              <w:bottom w:val="single" w:color="auto" w:sz="4" w:space="0"/>
              <w:right w:val="single" w:color="auto" w:sz="4" w:space="0"/>
            </w:tcBorders>
            <w:vAlign w:val="center"/>
          </w:tcPr>
          <w:p>
            <w:pPr>
              <w:spacing w:line="360" w:lineRule="auto"/>
            </w:pPr>
            <w:r>
              <w:rPr>
                <w:rFonts w:hint="eastAsia"/>
              </w:rPr>
              <w:t>50</w:t>
            </w:r>
          </w:p>
        </w:tc>
        <w:tc>
          <w:tcPr>
            <w:tcW w:w="1780" w:type="dxa"/>
            <w:tcBorders>
              <w:top w:val="single" w:color="auto" w:sz="4" w:space="0"/>
              <w:left w:val="nil"/>
              <w:bottom w:val="single" w:color="auto" w:sz="4" w:space="0"/>
              <w:right w:val="single" w:color="auto" w:sz="4" w:space="0"/>
            </w:tcBorders>
            <w:vAlign w:val="center"/>
          </w:tcPr>
          <w:p>
            <w:pPr>
              <w:spacing w:line="360" w:lineRule="auto"/>
            </w:pPr>
            <w:r>
              <w:rPr>
                <w:rFonts w:hint="eastAsia"/>
              </w:rPr>
              <w:t>中等</w:t>
            </w:r>
          </w:p>
        </w:tc>
      </w:tr>
    </w:tbl>
    <w:p>
      <w:pPr>
        <w:spacing w:line="360" w:lineRule="auto"/>
      </w:pPr>
      <w:r>
        <w:rPr>
          <w:rFonts w:hint="eastAsia"/>
        </w:rPr>
        <w:t>注：可以以颜色码表示以上最终的等级，最高级的风险需要最大的关注。</w:t>
      </w:r>
    </w:p>
    <w:p>
      <w:pPr>
        <w:pStyle w:val="4"/>
        <w:numPr>
          <w:ilvl w:val="2"/>
          <w:numId w:val="3"/>
        </w:numPr>
        <w:spacing w:before="0" w:after="0" w:line="360" w:lineRule="auto"/>
        <w:ind w:left="0" w:leftChars="0" w:firstLine="402" w:firstLineChars="0"/>
      </w:pPr>
      <w:bookmarkStart w:id="353" w:name="_Toc10373"/>
      <w:r>
        <w:rPr>
          <w:rFonts w:hint="eastAsia"/>
        </w:rPr>
        <w:t>规划风险应对</w:t>
      </w:r>
      <w:bookmarkEnd w:id="353"/>
    </w:p>
    <w:p>
      <w:pPr>
        <w:spacing w:line="360" w:lineRule="auto"/>
        <w:ind w:firstLine="480" w:firstLineChars="200"/>
        <w:rPr>
          <w:sz w:val="24"/>
          <w:szCs w:val="24"/>
        </w:rPr>
      </w:pPr>
      <w:r>
        <w:rPr>
          <w:rFonts w:hint="eastAsia"/>
          <w:sz w:val="24"/>
          <w:szCs w:val="24"/>
        </w:rPr>
        <w:t>规划风险应对是针对项目目标，制定提高机会、降低威胁的方案和措施的过程。规划风险应对过程在实施定性风险分析过程和实施定量风险分析过程（如已使用）之后进行，包括确定和分配某个人（即“风险应对责任人”），来实施已获同意和资金支持的风险应对措施。在规划风险应对的过程中，需要根据风险的优先级来制定应对措施，并把风险应对所需的资源和活动加进项目的预算、进度计划和项目管理计划中。</w:t>
      </w:r>
    </w:p>
    <w:p>
      <w:pPr>
        <w:spacing w:line="360" w:lineRule="auto"/>
        <w:ind w:firstLine="480" w:firstLineChars="200"/>
        <w:rPr>
          <w:sz w:val="24"/>
          <w:szCs w:val="24"/>
        </w:rPr>
      </w:pPr>
      <w:r>
        <w:rPr>
          <w:rFonts w:hint="eastAsia"/>
          <w:sz w:val="24"/>
          <w:szCs w:val="24"/>
        </w:rPr>
        <w:t>拟定的风险应对措施必须与风险的重要性相匹配，能经济有效地应对挑战，在当前项目背景下现实可行，能获得全体相关方的同意，并由一名责任人具体负责。风险应对措施还必须及时。经常需要从几个备选方案中选择一项最佳的风险应对措施。</w:t>
      </w:r>
    </w:p>
    <w:p>
      <w:pPr>
        <w:spacing w:line="360" w:lineRule="auto"/>
      </w:pPr>
      <w:r>
        <w:object>
          <v:shape id="_x0000_i1027" o:spt="75" type="#_x0000_t75" style="height:186pt;width:381pt;" o:ole="t" filled="f" o:preferrelative="t" stroked="f" coordsize="21600,21600">
            <v:path/>
            <v:fill on="f" focussize="0,0"/>
            <v:stroke on="f" joinstyle="miter"/>
            <v:imagedata r:id="rId25" o:title=""/>
            <o:lock v:ext="edit" aspectratio="t"/>
            <w10:wrap type="none"/>
            <w10:anchorlock/>
          </v:shape>
          <o:OLEObject Type="Embed" ProgID="Visio.Drawing.11" ShapeID="_x0000_i1027" DrawAspect="Content" ObjectID="_1468075727" r:id="rId24">
            <o:LockedField>false</o:LockedField>
          </o:OLEObject>
        </w:object>
      </w:r>
    </w:p>
    <w:p>
      <w:pPr>
        <w:spacing w:line="360" w:lineRule="auto"/>
        <w:jc w:val="center"/>
      </w:pPr>
      <w:r>
        <w:rPr>
          <w:rFonts w:hint="eastAsia"/>
        </w:rPr>
        <w:t>项目风险管理——规划风险应对</w:t>
      </w:r>
    </w:p>
    <w:p>
      <w:pPr>
        <w:spacing w:line="360" w:lineRule="auto"/>
      </w:pPr>
    </w:p>
    <w:p>
      <w:pPr>
        <w:pStyle w:val="4"/>
        <w:numPr>
          <w:ilvl w:val="2"/>
          <w:numId w:val="3"/>
        </w:numPr>
        <w:spacing w:before="0" w:after="0" w:line="360" w:lineRule="auto"/>
        <w:ind w:left="0" w:leftChars="0" w:firstLine="402" w:firstLineChars="0"/>
      </w:pPr>
      <w:bookmarkStart w:id="354" w:name="_Toc10089"/>
      <w:r>
        <w:rPr>
          <w:rFonts w:hint="eastAsia"/>
        </w:rPr>
        <w:t>监控风险</w:t>
      </w:r>
      <w:bookmarkEnd w:id="354"/>
    </w:p>
    <w:p>
      <w:pPr>
        <w:spacing w:line="360" w:lineRule="auto"/>
        <w:ind w:firstLine="480" w:firstLineChars="200"/>
        <w:rPr>
          <w:sz w:val="24"/>
          <w:szCs w:val="24"/>
        </w:rPr>
      </w:pPr>
      <w:r>
        <w:rPr>
          <w:rFonts w:hint="eastAsia"/>
          <w:sz w:val="24"/>
          <w:szCs w:val="24"/>
        </w:rPr>
        <w:t>监控风险是在整个项目中，实施风险应对计划、跟踪已识别风险、监测残余风险、识别新风险和评估风险过程有效性的过程应该在项目生命周期中，实施项目管理计划中所列的风险应对措施，还应该持续监督项目工作，以便发现新风险、风险变化以及过时的风险。</w:t>
      </w:r>
    </w:p>
    <w:p>
      <w:pPr>
        <w:spacing w:line="360" w:lineRule="auto"/>
        <w:ind w:firstLine="480" w:firstLineChars="200"/>
        <w:rPr>
          <w:sz w:val="24"/>
          <w:szCs w:val="24"/>
        </w:rPr>
      </w:pPr>
      <w:r>
        <w:rPr>
          <w:rFonts w:hint="eastAsia"/>
          <w:sz w:val="24"/>
          <w:szCs w:val="24"/>
        </w:rPr>
        <w:t>监控风险过程需要采用诸如偏差和趋势分析的各种技术。这些技术需要以项目实施中生成的绩效信息为基础。监控风险过程的其他目的在于确定：</w:t>
      </w:r>
    </w:p>
    <w:p>
      <w:pPr>
        <w:spacing w:line="360" w:lineRule="auto"/>
        <w:ind w:firstLine="200"/>
        <w:rPr>
          <w:sz w:val="24"/>
          <w:szCs w:val="24"/>
        </w:rPr>
      </w:pPr>
      <w:r>
        <w:rPr>
          <w:rFonts w:hint="eastAsia"/>
          <w:sz w:val="24"/>
          <w:szCs w:val="24"/>
        </w:rPr>
        <w:t>项目的假设条件是否仍然成立；</w:t>
      </w:r>
    </w:p>
    <w:p>
      <w:pPr>
        <w:spacing w:line="360" w:lineRule="auto"/>
        <w:ind w:firstLine="200"/>
        <w:rPr>
          <w:sz w:val="24"/>
          <w:szCs w:val="24"/>
        </w:rPr>
      </w:pPr>
      <w:r>
        <w:rPr>
          <w:rFonts w:hint="eastAsia"/>
          <w:sz w:val="24"/>
          <w:szCs w:val="24"/>
        </w:rPr>
        <w:t>某个已评估过的风险是否发生了变化，或已经消失；</w:t>
      </w:r>
    </w:p>
    <w:p>
      <w:pPr>
        <w:spacing w:line="360" w:lineRule="auto"/>
        <w:ind w:firstLine="200"/>
        <w:rPr>
          <w:sz w:val="24"/>
          <w:szCs w:val="24"/>
        </w:rPr>
      </w:pPr>
      <w:r>
        <w:rPr>
          <w:rFonts w:hint="eastAsia"/>
          <w:sz w:val="24"/>
          <w:szCs w:val="24"/>
        </w:rPr>
        <w:t>风险管理政策和程序是否已得到遵守；</w:t>
      </w:r>
    </w:p>
    <w:p>
      <w:pPr>
        <w:spacing w:line="360" w:lineRule="auto"/>
        <w:ind w:firstLine="200"/>
        <w:rPr>
          <w:sz w:val="24"/>
          <w:szCs w:val="24"/>
        </w:rPr>
      </w:pPr>
      <w:r>
        <w:rPr>
          <w:rFonts w:hint="eastAsia"/>
          <w:sz w:val="24"/>
          <w:szCs w:val="24"/>
        </w:rPr>
        <w:t>根据当前的风险评估，是否需要调整成本或进度应急储备。</w:t>
      </w:r>
    </w:p>
    <w:p>
      <w:pPr>
        <w:spacing w:line="360" w:lineRule="auto"/>
        <w:ind w:firstLine="200"/>
      </w:pPr>
      <w:r>
        <w:rPr>
          <w:rFonts w:hint="eastAsia"/>
          <w:sz w:val="24"/>
          <w:szCs w:val="24"/>
        </w:rPr>
        <w:t>监控风险可能涉及选择替代策略、实施应急或弹回计划、采取纠正措施，以及修订项目管理计划。风险应对责任人应定期向项目经理汇报计划的有效性、未曾预料到的后果，以及为合理应对风险所需采取的纠正措施。在监控风险过程中，还应更新组织过程资产（如项目经验教训数据库和风险管理模板），以使未来的项目受益。</w:t>
      </w:r>
    </w:p>
    <w:p>
      <w:pPr>
        <w:spacing w:line="360" w:lineRule="auto"/>
        <w:jc w:val="center"/>
      </w:pPr>
      <w:r>
        <w:object>
          <v:shape id="_x0000_i1028" o:spt="75" type="#_x0000_t75" style="height:230.25pt;width:453.75pt;" o:ole="t" filled="f" o:preferrelative="t" stroked="f" coordsize="21600,21600">
            <v:path/>
            <v:fill on="f" focussize="0,0"/>
            <v:stroke on="f" joinstyle="miter"/>
            <v:imagedata r:id="rId27" o:title=""/>
            <o:lock v:ext="edit" aspectratio="t"/>
            <w10:wrap type="none"/>
            <w10:anchorlock/>
          </v:shape>
          <o:OLEObject Type="Embed" ProgID="Visio.Drawing.11" ShapeID="_x0000_i1028" DrawAspect="Content" ObjectID="_1468075728" r:id="rId26">
            <o:LockedField>false</o:LockedField>
          </o:OLEObject>
        </w:object>
      </w:r>
      <w:r>
        <w:rPr>
          <w:rFonts w:hint="eastAsia"/>
        </w:rPr>
        <w:t>项目风险管理——监控风险</w:t>
      </w:r>
    </w:p>
    <w:p>
      <w:pPr>
        <w:spacing w:line="360" w:lineRule="auto"/>
      </w:pPr>
    </w:p>
    <w:p>
      <w:pPr>
        <w:pStyle w:val="4"/>
        <w:numPr>
          <w:ilvl w:val="2"/>
          <w:numId w:val="3"/>
        </w:numPr>
        <w:spacing w:before="0" w:after="0" w:line="360" w:lineRule="auto"/>
        <w:ind w:left="0" w:leftChars="0" w:firstLine="402" w:firstLineChars="0"/>
      </w:pPr>
      <w:bookmarkStart w:id="355" w:name="_Toc12947"/>
      <w:r>
        <w:rPr>
          <w:rFonts w:hint="eastAsia"/>
        </w:rPr>
        <w:t>本项目风险分析及应对措施</w:t>
      </w:r>
      <w:bookmarkEnd w:id="355"/>
    </w:p>
    <w:p>
      <w:pPr>
        <w:spacing w:line="360" w:lineRule="auto"/>
        <w:ind w:firstLine="480" w:firstLineChars="200"/>
        <w:rPr>
          <w:sz w:val="24"/>
          <w:szCs w:val="24"/>
        </w:rPr>
      </w:pPr>
      <w:r>
        <w:rPr>
          <w:rFonts w:hint="eastAsia"/>
          <w:sz w:val="24"/>
          <w:szCs w:val="24"/>
        </w:rPr>
        <w:t>一、业务风险及应对</w:t>
      </w:r>
    </w:p>
    <w:p>
      <w:pPr>
        <w:spacing w:line="360" w:lineRule="auto"/>
        <w:ind w:firstLine="480" w:firstLineChars="200"/>
        <w:rPr>
          <w:sz w:val="24"/>
          <w:szCs w:val="24"/>
        </w:rPr>
      </w:pPr>
      <w:r>
        <w:rPr>
          <w:rFonts w:hint="eastAsia"/>
          <w:sz w:val="24"/>
          <w:szCs w:val="24"/>
        </w:rPr>
        <w:t>业务风险是指由于国家税收政策适应经济发展需要而发生重大调整，从而引起业务需求发生重大变化，或者由于行政法规的改变而导致业务流程、规则、表单相关的业务需求发生变化，从而导致相应的应用系统的适应性风险。此外，国、地税分税制体制的存在，国税、地税由于税收任务不同而使得税务机构设置不尽相同，遵循的税收法律法规在具体的执行层面也不尽相同；由于区域不同，经济发达程度不同也会导致税务机构设置的差异，税收法律法规在具体执行层面也不尽相同。以上差异使</w:t>
      </w:r>
      <w:r>
        <w:rPr>
          <w:rFonts w:hint="eastAsia"/>
          <w:sz w:val="24"/>
          <w:szCs w:val="24"/>
          <w:lang w:eastAsia="zh-CN"/>
        </w:rPr>
        <w:t>xx交通</w:t>
      </w:r>
      <w:r>
        <w:rPr>
          <w:rFonts w:hint="eastAsia"/>
          <w:sz w:val="24"/>
          <w:szCs w:val="24"/>
        </w:rPr>
        <w:t>增值税发票管理管理系统集中部署模式下的应用系统的设计、开发、实施面临巨大的挑战。</w:t>
      </w:r>
    </w:p>
    <w:p>
      <w:pPr>
        <w:spacing w:line="360" w:lineRule="auto"/>
        <w:ind w:firstLine="480" w:firstLineChars="200"/>
        <w:rPr>
          <w:sz w:val="24"/>
          <w:szCs w:val="24"/>
        </w:rPr>
      </w:pPr>
      <w:r>
        <w:rPr>
          <w:rFonts w:hint="eastAsia"/>
          <w:sz w:val="24"/>
          <w:szCs w:val="24"/>
        </w:rPr>
        <w:t>二、技术风险及应对</w:t>
      </w:r>
    </w:p>
    <w:p>
      <w:pPr>
        <w:spacing w:line="360" w:lineRule="auto"/>
        <w:ind w:firstLine="480" w:firstLineChars="200"/>
        <w:rPr>
          <w:sz w:val="24"/>
          <w:szCs w:val="24"/>
        </w:rPr>
      </w:pPr>
      <w:r>
        <w:rPr>
          <w:rFonts w:hint="eastAsia"/>
          <w:sz w:val="24"/>
          <w:szCs w:val="24"/>
        </w:rPr>
        <w:t>本项目要开发建设</w:t>
      </w:r>
      <w:r>
        <w:rPr>
          <w:rFonts w:hint="eastAsia"/>
          <w:sz w:val="24"/>
          <w:szCs w:val="24"/>
          <w:lang w:eastAsia="zh-CN"/>
        </w:rPr>
        <w:t>xx交通</w:t>
      </w:r>
      <w:r>
        <w:rPr>
          <w:rFonts w:hint="eastAsia"/>
          <w:sz w:val="24"/>
          <w:szCs w:val="24"/>
        </w:rPr>
        <w:t>增值税发票管理平台系统，在系统性能、可靠性、安全性、与现有系统的衔接、数据迁移等方面都存在许多技术风险。</w:t>
      </w:r>
    </w:p>
    <w:p>
      <w:pPr>
        <w:spacing w:line="360" w:lineRule="auto"/>
        <w:ind w:firstLine="480" w:firstLineChars="200"/>
        <w:rPr>
          <w:sz w:val="24"/>
          <w:szCs w:val="24"/>
        </w:rPr>
      </w:pPr>
      <w:r>
        <w:rPr>
          <w:rFonts w:hint="eastAsia"/>
          <w:sz w:val="24"/>
          <w:szCs w:val="24"/>
        </w:rPr>
        <w:t>三、管理风险及应对</w:t>
      </w:r>
    </w:p>
    <w:p>
      <w:pPr>
        <w:spacing w:line="360" w:lineRule="auto"/>
        <w:ind w:firstLine="480" w:firstLineChars="200"/>
        <w:rPr>
          <w:sz w:val="24"/>
          <w:szCs w:val="24"/>
        </w:rPr>
      </w:pPr>
      <w:r>
        <w:rPr>
          <w:rFonts w:hint="eastAsia"/>
          <w:sz w:val="24"/>
          <w:szCs w:val="24"/>
        </w:rPr>
        <w:t>本项目参与人员多，建设要求高，开发建设工期较短，实施范围大，对项目管理提出了很高的要求。</w:t>
      </w:r>
    </w:p>
    <w:p>
      <w:pPr>
        <w:spacing w:line="360" w:lineRule="auto"/>
        <w:ind w:firstLine="480" w:firstLineChars="200"/>
        <w:rPr>
          <w:sz w:val="24"/>
          <w:szCs w:val="24"/>
        </w:rPr>
      </w:pPr>
      <w:r>
        <w:rPr>
          <w:rFonts w:hint="eastAsia"/>
          <w:sz w:val="24"/>
          <w:szCs w:val="24"/>
        </w:rPr>
        <w:t>四、外部风险及应对</w:t>
      </w:r>
    </w:p>
    <w:p>
      <w:pPr>
        <w:spacing w:line="360" w:lineRule="auto"/>
        <w:ind w:firstLine="480" w:firstLineChars="200"/>
      </w:pPr>
      <w:r>
        <w:rPr>
          <w:rFonts w:hint="eastAsia"/>
          <w:sz w:val="24"/>
          <w:szCs w:val="24"/>
        </w:rPr>
        <w:t>本项目可能遇到的外部风险主要有政治、经济技术的波动、自然灾害（如地震、洪水等）或者重大电信故障等可能给项目带来的风险。这类风险往往属于大环境下的“不可抗力”，采用设立异地容灾中心的方法，来确保信息安全。</w:t>
      </w:r>
    </w:p>
    <w:p>
      <w:pPr>
        <w:pStyle w:val="4"/>
        <w:numPr>
          <w:ilvl w:val="2"/>
          <w:numId w:val="3"/>
        </w:numPr>
        <w:spacing w:before="0" w:after="0" w:line="360" w:lineRule="auto"/>
        <w:ind w:left="0" w:leftChars="0" w:firstLine="402" w:firstLineChars="0"/>
      </w:pPr>
      <w:bookmarkStart w:id="356" w:name="_Toc28928"/>
      <w:r>
        <w:rPr>
          <w:rFonts w:hint="eastAsia"/>
        </w:rPr>
        <w:t>项目风险评估表</w:t>
      </w:r>
      <w:bookmarkEnd w:id="356"/>
    </w:p>
    <w:p>
      <w:pPr>
        <w:spacing w:line="360" w:lineRule="auto"/>
        <w:ind w:firstLine="480" w:firstLineChars="200"/>
      </w:pPr>
      <w:r>
        <w:rPr>
          <w:rFonts w:hint="eastAsia"/>
          <w:sz w:val="24"/>
          <w:szCs w:val="24"/>
          <w:lang w:eastAsia="zh-CN"/>
        </w:rPr>
        <w:t>**信息</w:t>
      </w:r>
      <w:r>
        <w:rPr>
          <w:rFonts w:hint="eastAsia"/>
          <w:sz w:val="24"/>
          <w:szCs w:val="24"/>
        </w:rPr>
        <w:t>在既往从事的大型信息系统实施过程中，总结出一套行之有效的项目风险评估表，通过简单地选择所关注的风险评估项，即可以得出风险评估分值，（本表中项目发生概率采用</w:t>
      </w:r>
      <w:r>
        <w:rPr>
          <w:sz w:val="24"/>
          <w:szCs w:val="24"/>
        </w:rPr>
        <w:t>10</w:t>
      </w:r>
      <w:r>
        <w:rPr>
          <w:rFonts w:hint="eastAsia"/>
          <w:sz w:val="24"/>
          <w:szCs w:val="24"/>
        </w:rPr>
        <w:t>分值表示）。如果根据此表评估得出的分数为</w:t>
      </w:r>
      <w:r>
        <w:rPr>
          <w:sz w:val="24"/>
          <w:szCs w:val="24"/>
        </w:rPr>
        <w:t>0~20</w:t>
      </w:r>
      <w:r>
        <w:rPr>
          <w:rFonts w:hint="eastAsia"/>
          <w:sz w:val="24"/>
          <w:szCs w:val="24"/>
        </w:rPr>
        <w:t>可认为为很低风险；</w:t>
      </w:r>
      <w:r>
        <w:rPr>
          <w:sz w:val="24"/>
          <w:szCs w:val="24"/>
        </w:rPr>
        <w:t>21~40</w:t>
      </w:r>
      <w:r>
        <w:rPr>
          <w:rFonts w:hint="eastAsia"/>
          <w:sz w:val="24"/>
          <w:szCs w:val="24"/>
        </w:rPr>
        <w:t>，可认为项目为低风险；</w:t>
      </w:r>
      <w:r>
        <w:rPr>
          <w:sz w:val="24"/>
          <w:szCs w:val="24"/>
        </w:rPr>
        <w:t>41~60</w:t>
      </w:r>
      <w:r>
        <w:rPr>
          <w:rFonts w:hint="eastAsia"/>
          <w:sz w:val="24"/>
          <w:szCs w:val="24"/>
        </w:rPr>
        <w:t>可认为为中等风险；</w:t>
      </w:r>
      <w:r>
        <w:rPr>
          <w:sz w:val="24"/>
          <w:szCs w:val="24"/>
        </w:rPr>
        <w:t>61~80</w:t>
      </w:r>
      <w:r>
        <w:rPr>
          <w:rFonts w:hint="eastAsia"/>
          <w:sz w:val="24"/>
          <w:szCs w:val="24"/>
        </w:rPr>
        <w:t>则项目为高风险项目；</w:t>
      </w:r>
      <w:r>
        <w:rPr>
          <w:sz w:val="24"/>
          <w:szCs w:val="24"/>
        </w:rPr>
        <w:t>81~100</w:t>
      </w:r>
      <w:r>
        <w:rPr>
          <w:rFonts w:hint="eastAsia"/>
          <w:sz w:val="24"/>
          <w:szCs w:val="24"/>
        </w:rPr>
        <w:t>为很高风险。下表为项目风险评估表，根据本系统在具体实施过程中特有的业务、环境、技术等方面的风险，我们还将对此表进行修订，并赋予各类不同评估项目相应的权值，用以更加准确衡量项目风险。</w:t>
      </w:r>
    </w:p>
    <w:p>
      <w:pPr>
        <w:spacing w:line="360" w:lineRule="auto"/>
      </w:pPr>
      <w:r>
        <w:drawing>
          <wp:inline distT="0" distB="0" distL="0" distR="0">
            <wp:extent cx="5273040" cy="4541520"/>
            <wp:effectExtent l="0" t="0" r="3810" b="0"/>
            <wp:docPr id="4359" name="图片 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 name="图片 43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3040" cy="4541520"/>
                    </a:xfrm>
                    <a:prstGeom prst="rect">
                      <a:avLst/>
                    </a:prstGeom>
                    <a:noFill/>
                    <a:ln>
                      <a:noFill/>
                    </a:ln>
                  </pic:spPr>
                </pic:pic>
              </a:graphicData>
            </a:graphic>
          </wp:inline>
        </w:drawing>
      </w:r>
    </w:p>
    <w:p>
      <w:pPr>
        <w:spacing w:line="360" w:lineRule="auto"/>
      </w:pPr>
      <w:r>
        <w:drawing>
          <wp:inline distT="0" distB="0" distL="0" distR="0">
            <wp:extent cx="5280660" cy="4183380"/>
            <wp:effectExtent l="0" t="0" r="0" b="7620"/>
            <wp:docPr id="4360" name="图片 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 name="图片 43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80660" cy="4183380"/>
                    </a:xfrm>
                    <a:prstGeom prst="rect">
                      <a:avLst/>
                    </a:prstGeom>
                    <a:noFill/>
                    <a:ln>
                      <a:noFill/>
                    </a:ln>
                  </pic:spPr>
                </pic:pic>
              </a:graphicData>
            </a:graphic>
          </wp:inline>
        </w:drawing>
      </w:r>
    </w:p>
    <w:p>
      <w:pPr>
        <w:spacing w:line="360" w:lineRule="auto"/>
      </w:pPr>
      <w:r>
        <w:drawing>
          <wp:inline distT="0" distB="0" distL="0" distR="0">
            <wp:extent cx="5280660" cy="4023360"/>
            <wp:effectExtent l="0" t="0" r="0" b="0"/>
            <wp:docPr id="4361" name="图片 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 name="图片 43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80660" cy="4023360"/>
                    </a:xfrm>
                    <a:prstGeom prst="rect">
                      <a:avLst/>
                    </a:prstGeom>
                    <a:noFill/>
                    <a:ln>
                      <a:noFill/>
                    </a:ln>
                  </pic:spPr>
                </pic:pic>
              </a:graphicData>
            </a:graphic>
          </wp:inline>
        </w:drawing>
      </w:r>
    </w:p>
    <w:p>
      <w:pPr>
        <w:spacing w:line="360" w:lineRule="auto"/>
        <w:jc w:val="center"/>
      </w:pPr>
      <w:r>
        <w:rPr>
          <w:rFonts w:hint="eastAsia"/>
        </w:rPr>
        <w:t>项目风险评估表</w:t>
      </w:r>
    </w:p>
    <w:p>
      <w:pPr>
        <w:spacing w:line="360" w:lineRule="auto"/>
      </w:pPr>
    </w:p>
    <w:p>
      <w:pPr>
        <w:pStyle w:val="4"/>
        <w:numPr>
          <w:ilvl w:val="2"/>
          <w:numId w:val="3"/>
        </w:numPr>
        <w:spacing w:before="0" w:after="0" w:line="360" w:lineRule="auto"/>
        <w:ind w:left="0" w:leftChars="0" w:firstLine="402" w:firstLineChars="0"/>
      </w:pPr>
      <w:bookmarkStart w:id="357" w:name="_Toc28584"/>
      <w:r>
        <w:rPr>
          <w:rFonts w:hint="eastAsia"/>
        </w:rPr>
        <w:t>问题管理流程</w:t>
      </w:r>
      <w:bookmarkEnd w:id="357"/>
    </w:p>
    <w:p>
      <w:pPr>
        <w:spacing w:line="360" w:lineRule="auto"/>
        <w:ind w:firstLine="480" w:firstLineChars="200"/>
        <w:rPr>
          <w:sz w:val="24"/>
          <w:szCs w:val="24"/>
        </w:rPr>
      </w:pPr>
      <w:r>
        <w:rPr>
          <w:rFonts w:hint="eastAsia"/>
          <w:sz w:val="24"/>
          <w:szCs w:val="24"/>
        </w:rPr>
        <w:t>当风险条件发生变化，风险涉及到其他项目，风险无法在本工程</w:t>
      </w:r>
      <w:r>
        <w:rPr>
          <w:sz w:val="24"/>
          <w:szCs w:val="24"/>
        </w:rPr>
        <w:t>/</w:t>
      </w:r>
      <w:r>
        <w:rPr>
          <w:rFonts w:hint="eastAsia"/>
          <w:sz w:val="24"/>
          <w:szCs w:val="24"/>
        </w:rPr>
        <w:t>项目范围内得到防范，风险就转化为问题，需要通过问题管理流程和变更管理流程解决。问题管理的目的是将负面影响降低至最低，并避免再度发生与这些故障和错误有关的事件。问题管理的主要流程环节有：发现问题、登记问题、分析和分派问题、问题处理、问题提升、问题监控和报告、问题关闭等。</w:t>
      </w:r>
    </w:p>
    <w:p>
      <w:pPr>
        <w:spacing w:line="360" w:lineRule="auto"/>
        <w:ind w:firstLine="480" w:firstLineChars="200"/>
        <w:rPr>
          <w:sz w:val="24"/>
          <w:szCs w:val="24"/>
        </w:rPr>
      </w:pPr>
      <w:r>
        <w:rPr>
          <w:rFonts w:hint="eastAsia"/>
          <w:sz w:val="24"/>
          <w:szCs w:val="24"/>
        </w:rPr>
        <w:t>一、问题管理角色与职责</w:t>
      </w:r>
    </w:p>
    <w:p>
      <w:pPr>
        <w:spacing w:line="360" w:lineRule="auto"/>
        <w:ind w:firstLine="480" w:firstLineChars="200"/>
      </w:pPr>
      <w:r>
        <w:rPr>
          <w:rFonts w:hint="eastAsia"/>
          <w:sz w:val="24"/>
          <w:szCs w:val="24"/>
        </w:rPr>
        <w:t>参与问题管理的角色与职责，概要描述如下表：</w:t>
      </w:r>
    </w:p>
    <w:tbl>
      <w:tblPr>
        <w:tblStyle w:val="34"/>
        <w:tblW w:w="7260" w:type="dxa"/>
        <w:tblInd w:w="539" w:type="dxa"/>
        <w:tblLayout w:type="fixed"/>
        <w:tblCellMar>
          <w:top w:w="0" w:type="dxa"/>
          <w:left w:w="108" w:type="dxa"/>
          <w:bottom w:w="0" w:type="dxa"/>
          <w:right w:w="108" w:type="dxa"/>
        </w:tblCellMar>
      </w:tblPr>
      <w:tblGrid>
        <w:gridCol w:w="1240"/>
        <w:gridCol w:w="881"/>
        <w:gridCol w:w="1559"/>
        <w:gridCol w:w="1619"/>
        <w:gridCol w:w="881"/>
        <w:gridCol w:w="1080"/>
      </w:tblGrid>
      <w:tr>
        <w:tblPrEx>
          <w:tblLayout w:type="fixed"/>
          <w:tblCellMar>
            <w:top w:w="0" w:type="dxa"/>
            <w:left w:w="108" w:type="dxa"/>
            <w:bottom w:w="0" w:type="dxa"/>
            <w:right w:w="108" w:type="dxa"/>
          </w:tblCellMar>
        </w:tblPrEx>
        <w:trPr>
          <w:trHeight w:val="570" w:hRule="atLeast"/>
          <w:tblHeader/>
        </w:trPr>
        <w:tc>
          <w:tcPr>
            <w:tcW w:w="1240" w:type="dxa"/>
            <w:tcBorders>
              <w:top w:val="single" w:color="auto" w:sz="8" w:space="0"/>
              <w:left w:val="single" w:color="auto" w:sz="8" w:space="0"/>
              <w:bottom w:val="single" w:color="auto" w:sz="4" w:space="0"/>
              <w:right w:val="single" w:color="auto" w:sz="4" w:space="0"/>
            </w:tcBorders>
            <w:shd w:val="clear" w:color="auto" w:fill="C0C0C0"/>
            <w:vAlign w:val="center"/>
          </w:tcPr>
          <w:p>
            <w:pPr>
              <w:spacing w:line="360" w:lineRule="auto"/>
            </w:pPr>
            <w:r>
              <w:rPr>
                <w:rFonts w:hint="eastAsia"/>
              </w:rPr>
              <w:t>项目角色</w:t>
            </w:r>
          </w:p>
        </w:tc>
        <w:tc>
          <w:tcPr>
            <w:tcW w:w="881" w:type="dxa"/>
            <w:tcBorders>
              <w:top w:val="single" w:color="auto" w:sz="8" w:space="0"/>
              <w:left w:val="nil"/>
              <w:bottom w:val="single" w:color="auto" w:sz="4" w:space="0"/>
              <w:right w:val="single" w:color="auto" w:sz="4" w:space="0"/>
            </w:tcBorders>
            <w:shd w:val="clear" w:color="auto" w:fill="C0C0C0"/>
            <w:vAlign w:val="center"/>
          </w:tcPr>
          <w:p>
            <w:pPr>
              <w:spacing w:line="360" w:lineRule="auto"/>
            </w:pPr>
            <w:r>
              <w:rPr>
                <w:rFonts w:hint="eastAsia"/>
              </w:rPr>
              <w:t>问题提出</w:t>
            </w:r>
          </w:p>
        </w:tc>
        <w:tc>
          <w:tcPr>
            <w:tcW w:w="1559" w:type="dxa"/>
            <w:tcBorders>
              <w:top w:val="single" w:color="auto" w:sz="8" w:space="0"/>
              <w:left w:val="nil"/>
              <w:bottom w:val="single" w:color="auto" w:sz="4" w:space="0"/>
              <w:right w:val="single" w:color="auto" w:sz="4" w:space="0"/>
            </w:tcBorders>
            <w:shd w:val="clear" w:color="auto" w:fill="C0C0C0"/>
            <w:vAlign w:val="center"/>
          </w:tcPr>
          <w:p>
            <w:pPr>
              <w:spacing w:line="360" w:lineRule="auto"/>
            </w:pPr>
            <w:r>
              <w:rPr>
                <w:rFonts w:hint="eastAsia"/>
              </w:rPr>
              <w:t>问题解决方法的提出</w:t>
            </w:r>
          </w:p>
        </w:tc>
        <w:tc>
          <w:tcPr>
            <w:tcW w:w="1619" w:type="dxa"/>
            <w:tcBorders>
              <w:top w:val="single" w:color="auto" w:sz="8" w:space="0"/>
              <w:left w:val="nil"/>
              <w:bottom w:val="single" w:color="auto" w:sz="4" w:space="0"/>
              <w:right w:val="single" w:color="auto" w:sz="4" w:space="0"/>
            </w:tcBorders>
            <w:shd w:val="clear" w:color="auto" w:fill="C0C0C0"/>
            <w:vAlign w:val="center"/>
          </w:tcPr>
          <w:p>
            <w:pPr>
              <w:spacing w:line="360" w:lineRule="auto"/>
            </w:pPr>
            <w:r>
              <w:rPr>
                <w:rFonts w:hint="eastAsia"/>
              </w:rPr>
              <w:t>问题解决方法的批示</w:t>
            </w:r>
          </w:p>
        </w:tc>
        <w:tc>
          <w:tcPr>
            <w:tcW w:w="881" w:type="dxa"/>
            <w:tcBorders>
              <w:top w:val="single" w:color="auto" w:sz="8" w:space="0"/>
              <w:left w:val="nil"/>
              <w:bottom w:val="single" w:color="auto" w:sz="4" w:space="0"/>
              <w:right w:val="single" w:color="auto" w:sz="4" w:space="0"/>
            </w:tcBorders>
            <w:shd w:val="clear" w:color="auto" w:fill="C0C0C0"/>
            <w:vAlign w:val="center"/>
          </w:tcPr>
          <w:p>
            <w:pPr>
              <w:spacing w:line="360" w:lineRule="auto"/>
            </w:pPr>
            <w:r>
              <w:rPr>
                <w:rFonts w:hint="eastAsia"/>
              </w:rPr>
              <w:t>解决问题</w:t>
            </w:r>
          </w:p>
        </w:tc>
        <w:tc>
          <w:tcPr>
            <w:tcW w:w="1080" w:type="dxa"/>
            <w:tcBorders>
              <w:top w:val="single" w:color="auto" w:sz="8" w:space="0"/>
              <w:left w:val="nil"/>
              <w:bottom w:val="single" w:color="auto" w:sz="4" w:space="0"/>
              <w:right w:val="single" w:color="auto" w:sz="8" w:space="0"/>
            </w:tcBorders>
            <w:shd w:val="clear" w:color="auto" w:fill="C0C0C0"/>
            <w:vAlign w:val="center"/>
          </w:tcPr>
          <w:p>
            <w:pPr>
              <w:spacing w:line="360" w:lineRule="auto"/>
            </w:pPr>
            <w:r>
              <w:rPr>
                <w:rFonts w:hint="eastAsia"/>
              </w:rPr>
              <w:t>审核</w:t>
            </w:r>
          </w:p>
        </w:tc>
      </w:tr>
      <w:tr>
        <w:tblPrEx>
          <w:tblLayout w:type="fixed"/>
          <w:tblCellMar>
            <w:top w:w="0" w:type="dxa"/>
            <w:left w:w="108" w:type="dxa"/>
            <w:bottom w:w="0" w:type="dxa"/>
            <w:right w:w="108" w:type="dxa"/>
          </w:tblCellMar>
        </w:tblPrEx>
        <w:trPr>
          <w:trHeight w:val="285" w:hRule="atLeast"/>
        </w:trPr>
        <w:tc>
          <w:tcPr>
            <w:tcW w:w="1240" w:type="dxa"/>
            <w:tcBorders>
              <w:top w:val="nil"/>
              <w:left w:val="single" w:color="auto" w:sz="8" w:space="0"/>
              <w:bottom w:val="single" w:color="auto" w:sz="4" w:space="0"/>
              <w:right w:val="single" w:color="auto" w:sz="4" w:space="0"/>
            </w:tcBorders>
            <w:vAlign w:val="center"/>
          </w:tcPr>
          <w:p>
            <w:pPr>
              <w:spacing w:line="360" w:lineRule="auto"/>
            </w:pPr>
            <w:r>
              <w:rPr>
                <w:rFonts w:hint="eastAsia"/>
              </w:rPr>
              <w:t>高层经理</w:t>
            </w:r>
          </w:p>
        </w:tc>
        <w:tc>
          <w:tcPr>
            <w:tcW w:w="881" w:type="dxa"/>
            <w:tcBorders>
              <w:top w:val="nil"/>
              <w:left w:val="nil"/>
              <w:bottom w:val="single" w:color="auto" w:sz="4" w:space="0"/>
              <w:right w:val="single" w:color="auto" w:sz="4" w:space="0"/>
            </w:tcBorders>
            <w:vAlign w:val="center"/>
          </w:tcPr>
          <w:p>
            <w:pPr>
              <w:spacing w:line="360" w:lineRule="auto"/>
            </w:pPr>
            <w:r>
              <w:rPr>
                <w:rFonts w:hint="eastAsia"/>
              </w:rPr>
              <w:t>√</w:t>
            </w:r>
          </w:p>
        </w:tc>
        <w:tc>
          <w:tcPr>
            <w:tcW w:w="1559" w:type="dxa"/>
            <w:tcBorders>
              <w:top w:val="nil"/>
              <w:left w:val="nil"/>
              <w:bottom w:val="single" w:color="auto" w:sz="4" w:space="0"/>
              <w:right w:val="single" w:color="auto" w:sz="4" w:space="0"/>
            </w:tcBorders>
            <w:vAlign w:val="center"/>
          </w:tcPr>
          <w:p>
            <w:pPr>
              <w:spacing w:line="360" w:lineRule="auto"/>
            </w:pPr>
            <w:r>
              <w:rPr>
                <w:rFonts w:hint="eastAsia"/>
              </w:rPr>
              <w:t>　</w:t>
            </w:r>
          </w:p>
        </w:tc>
        <w:tc>
          <w:tcPr>
            <w:tcW w:w="1619" w:type="dxa"/>
            <w:tcBorders>
              <w:top w:val="nil"/>
              <w:left w:val="nil"/>
              <w:bottom w:val="single" w:color="auto" w:sz="4" w:space="0"/>
              <w:right w:val="single" w:color="auto" w:sz="4" w:space="0"/>
            </w:tcBorders>
            <w:vAlign w:val="center"/>
          </w:tcPr>
          <w:p>
            <w:pPr>
              <w:spacing w:line="360" w:lineRule="auto"/>
            </w:pPr>
            <w:r>
              <w:rPr>
                <w:rFonts w:hint="eastAsia"/>
              </w:rPr>
              <w:t>√</w:t>
            </w:r>
          </w:p>
        </w:tc>
        <w:tc>
          <w:tcPr>
            <w:tcW w:w="881" w:type="dxa"/>
            <w:tcBorders>
              <w:top w:val="nil"/>
              <w:left w:val="nil"/>
              <w:bottom w:val="single" w:color="auto" w:sz="4" w:space="0"/>
              <w:right w:val="single" w:color="auto" w:sz="4" w:space="0"/>
            </w:tcBorders>
            <w:vAlign w:val="center"/>
          </w:tcPr>
          <w:p>
            <w:pPr>
              <w:spacing w:line="360" w:lineRule="auto"/>
            </w:pPr>
            <w:r>
              <w:rPr>
                <w:rFonts w:hint="eastAsia"/>
              </w:rPr>
              <w:t>　</w:t>
            </w:r>
          </w:p>
        </w:tc>
        <w:tc>
          <w:tcPr>
            <w:tcW w:w="1080" w:type="dxa"/>
            <w:tcBorders>
              <w:top w:val="nil"/>
              <w:left w:val="nil"/>
              <w:bottom w:val="single" w:color="auto" w:sz="4" w:space="0"/>
              <w:right w:val="single" w:color="auto" w:sz="8" w:space="0"/>
            </w:tcBorders>
            <w:vAlign w:val="center"/>
          </w:tcPr>
          <w:p>
            <w:pPr>
              <w:spacing w:line="360" w:lineRule="auto"/>
            </w:pPr>
            <w:r>
              <w:rPr>
                <w:rFonts w:hint="eastAsia"/>
              </w:rPr>
              <w:t>√</w:t>
            </w:r>
          </w:p>
        </w:tc>
      </w:tr>
      <w:tr>
        <w:tblPrEx>
          <w:tblLayout w:type="fixed"/>
          <w:tblCellMar>
            <w:top w:w="0" w:type="dxa"/>
            <w:left w:w="108" w:type="dxa"/>
            <w:bottom w:w="0" w:type="dxa"/>
            <w:right w:w="108" w:type="dxa"/>
          </w:tblCellMar>
        </w:tblPrEx>
        <w:trPr>
          <w:trHeight w:val="285" w:hRule="atLeast"/>
        </w:trPr>
        <w:tc>
          <w:tcPr>
            <w:tcW w:w="1240" w:type="dxa"/>
            <w:tcBorders>
              <w:top w:val="nil"/>
              <w:left w:val="single" w:color="auto" w:sz="8" w:space="0"/>
              <w:bottom w:val="single" w:color="auto" w:sz="4" w:space="0"/>
              <w:right w:val="single" w:color="auto" w:sz="4" w:space="0"/>
            </w:tcBorders>
            <w:vAlign w:val="center"/>
          </w:tcPr>
          <w:p>
            <w:pPr>
              <w:spacing w:line="360" w:lineRule="auto"/>
            </w:pPr>
            <w:r>
              <w:rPr>
                <w:rFonts w:hint="eastAsia"/>
              </w:rPr>
              <w:t>项目组长</w:t>
            </w:r>
          </w:p>
        </w:tc>
        <w:tc>
          <w:tcPr>
            <w:tcW w:w="881" w:type="dxa"/>
            <w:tcBorders>
              <w:top w:val="nil"/>
              <w:left w:val="nil"/>
              <w:bottom w:val="single" w:color="auto" w:sz="4" w:space="0"/>
              <w:right w:val="single" w:color="auto" w:sz="4" w:space="0"/>
            </w:tcBorders>
            <w:vAlign w:val="center"/>
          </w:tcPr>
          <w:p>
            <w:pPr>
              <w:spacing w:line="360" w:lineRule="auto"/>
            </w:pPr>
            <w:r>
              <w:rPr>
                <w:rFonts w:hint="eastAsia"/>
              </w:rPr>
              <w:t>√</w:t>
            </w:r>
          </w:p>
        </w:tc>
        <w:tc>
          <w:tcPr>
            <w:tcW w:w="1559" w:type="dxa"/>
            <w:tcBorders>
              <w:top w:val="nil"/>
              <w:left w:val="nil"/>
              <w:bottom w:val="single" w:color="auto" w:sz="4" w:space="0"/>
              <w:right w:val="single" w:color="auto" w:sz="4" w:space="0"/>
            </w:tcBorders>
            <w:vAlign w:val="center"/>
          </w:tcPr>
          <w:p>
            <w:pPr>
              <w:spacing w:line="360" w:lineRule="auto"/>
            </w:pPr>
            <w:r>
              <w:rPr>
                <w:rFonts w:hint="eastAsia"/>
              </w:rPr>
              <w:t>√</w:t>
            </w:r>
          </w:p>
        </w:tc>
        <w:tc>
          <w:tcPr>
            <w:tcW w:w="1619" w:type="dxa"/>
            <w:tcBorders>
              <w:top w:val="nil"/>
              <w:left w:val="nil"/>
              <w:bottom w:val="single" w:color="auto" w:sz="4" w:space="0"/>
              <w:right w:val="single" w:color="auto" w:sz="4" w:space="0"/>
            </w:tcBorders>
            <w:vAlign w:val="center"/>
          </w:tcPr>
          <w:p>
            <w:pPr>
              <w:spacing w:line="360" w:lineRule="auto"/>
            </w:pPr>
            <w:r>
              <w:rPr>
                <w:rFonts w:hint="eastAsia"/>
              </w:rPr>
              <w:t>　</w:t>
            </w:r>
          </w:p>
        </w:tc>
        <w:tc>
          <w:tcPr>
            <w:tcW w:w="881" w:type="dxa"/>
            <w:tcBorders>
              <w:top w:val="nil"/>
              <w:left w:val="nil"/>
              <w:bottom w:val="single" w:color="auto" w:sz="4" w:space="0"/>
              <w:right w:val="single" w:color="auto" w:sz="4" w:space="0"/>
            </w:tcBorders>
            <w:vAlign w:val="center"/>
          </w:tcPr>
          <w:p>
            <w:pPr>
              <w:spacing w:line="360" w:lineRule="auto"/>
            </w:pPr>
            <w:r>
              <w:rPr>
                <w:rFonts w:hint="eastAsia"/>
              </w:rPr>
              <w:t>√</w:t>
            </w:r>
          </w:p>
        </w:tc>
        <w:tc>
          <w:tcPr>
            <w:tcW w:w="1080" w:type="dxa"/>
            <w:tcBorders>
              <w:top w:val="nil"/>
              <w:left w:val="nil"/>
              <w:bottom w:val="single" w:color="auto" w:sz="4" w:space="0"/>
              <w:right w:val="single" w:color="auto" w:sz="8" w:space="0"/>
            </w:tcBorders>
            <w:vAlign w:val="center"/>
          </w:tcPr>
          <w:p>
            <w:pPr>
              <w:spacing w:line="360" w:lineRule="auto"/>
            </w:pPr>
            <w:r>
              <w:rPr>
                <w:rFonts w:hint="eastAsia"/>
              </w:rPr>
              <w:t>√</w:t>
            </w:r>
          </w:p>
        </w:tc>
      </w:tr>
      <w:tr>
        <w:tblPrEx>
          <w:tblLayout w:type="fixed"/>
          <w:tblCellMar>
            <w:top w:w="0" w:type="dxa"/>
            <w:left w:w="108" w:type="dxa"/>
            <w:bottom w:w="0" w:type="dxa"/>
            <w:right w:w="108" w:type="dxa"/>
          </w:tblCellMar>
        </w:tblPrEx>
        <w:trPr>
          <w:trHeight w:val="285" w:hRule="atLeast"/>
        </w:trPr>
        <w:tc>
          <w:tcPr>
            <w:tcW w:w="1240" w:type="dxa"/>
            <w:tcBorders>
              <w:top w:val="nil"/>
              <w:left w:val="single" w:color="auto" w:sz="8" w:space="0"/>
              <w:bottom w:val="single" w:color="auto" w:sz="4" w:space="0"/>
              <w:right w:val="single" w:color="auto" w:sz="4" w:space="0"/>
            </w:tcBorders>
            <w:vAlign w:val="center"/>
          </w:tcPr>
          <w:p>
            <w:pPr>
              <w:spacing w:line="360" w:lineRule="auto"/>
            </w:pPr>
            <w:r>
              <w:rPr>
                <w:rFonts w:hint="eastAsia"/>
              </w:rPr>
              <w:t>项目组成员</w:t>
            </w:r>
          </w:p>
        </w:tc>
        <w:tc>
          <w:tcPr>
            <w:tcW w:w="881" w:type="dxa"/>
            <w:tcBorders>
              <w:top w:val="nil"/>
              <w:left w:val="nil"/>
              <w:bottom w:val="single" w:color="auto" w:sz="4" w:space="0"/>
              <w:right w:val="single" w:color="auto" w:sz="4" w:space="0"/>
            </w:tcBorders>
            <w:vAlign w:val="center"/>
          </w:tcPr>
          <w:p>
            <w:pPr>
              <w:spacing w:line="360" w:lineRule="auto"/>
            </w:pPr>
            <w:r>
              <w:rPr>
                <w:rFonts w:hint="eastAsia"/>
              </w:rPr>
              <w:t>√</w:t>
            </w:r>
          </w:p>
        </w:tc>
        <w:tc>
          <w:tcPr>
            <w:tcW w:w="1559" w:type="dxa"/>
            <w:tcBorders>
              <w:top w:val="nil"/>
              <w:left w:val="nil"/>
              <w:bottom w:val="single" w:color="auto" w:sz="4" w:space="0"/>
              <w:right w:val="single" w:color="auto" w:sz="4" w:space="0"/>
            </w:tcBorders>
            <w:vAlign w:val="center"/>
          </w:tcPr>
          <w:p>
            <w:pPr>
              <w:spacing w:line="360" w:lineRule="auto"/>
            </w:pPr>
            <w:r>
              <w:rPr>
                <w:rFonts w:hint="eastAsia"/>
              </w:rPr>
              <w:t>√</w:t>
            </w:r>
          </w:p>
        </w:tc>
        <w:tc>
          <w:tcPr>
            <w:tcW w:w="1619" w:type="dxa"/>
            <w:tcBorders>
              <w:top w:val="nil"/>
              <w:left w:val="nil"/>
              <w:bottom w:val="single" w:color="auto" w:sz="4" w:space="0"/>
              <w:right w:val="single" w:color="auto" w:sz="4" w:space="0"/>
            </w:tcBorders>
            <w:vAlign w:val="center"/>
          </w:tcPr>
          <w:p>
            <w:pPr>
              <w:spacing w:line="360" w:lineRule="auto"/>
            </w:pPr>
            <w:r>
              <w:rPr>
                <w:rFonts w:hint="eastAsia"/>
              </w:rPr>
              <w:t>　</w:t>
            </w:r>
          </w:p>
        </w:tc>
        <w:tc>
          <w:tcPr>
            <w:tcW w:w="881" w:type="dxa"/>
            <w:tcBorders>
              <w:top w:val="nil"/>
              <w:left w:val="nil"/>
              <w:bottom w:val="single" w:color="auto" w:sz="4" w:space="0"/>
              <w:right w:val="single" w:color="auto" w:sz="4" w:space="0"/>
            </w:tcBorders>
            <w:vAlign w:val="center"/>
          </w:tcPr>
          <w:p>
            <w:pPr>
              <w:spacing w:line="360" w:lineRule="auto"/>
            </w:pPr>
            <w:r>
              <w:rPr>
                <w:rFonts w:hint="eastAsia"/>
              </w:rPr>
              <w:t>√</w:t>
            </w:r>
          </w:p>
        </w:tc>
        <w:tc>
          <w:tcPr>
            <w:tcW w:w="1080" w:type="dxa"/>
            <w:tcBorders>
              <w:top w:val="nil"/>
              <w:left w:val="nil"/>
              <w:bottom w:val="single" w:color="auto" w:sz="4" w:space="0"/>
              <w:right w:val="single" w:color="auto" w:sz="8" w:space="0"/>
            </w:tcBorders>
            <w:vAlign w:val="center"/>
          </w:tcPr>
          <w:p>
            <w:pPr>
              <w:spacing w:line="360" w:lineRule="auto"/>
            </w:pPr>
            <w:r>
              <w:rPr>
                <w:rFonts w:hint="eastAsia"/>
              </w:rPr>
              <w:t>√</w:t>
            </w:r>
          </w:p>
        </w:tc>
      </w:tr>
      <w:tr>
        <w:tblPrEx>
          <w:tblLayout w:type="fixed"/>
          <w:tblCellMar>
            <w:top w:w="0" w:type="dxa"/>
            <w:left w:w="108" w:type="dxa"/>
            <w:bottom w:w="0" w:type="dxa"/>
            <w:right w:w="108" w:type="dxa"/>
          </w:tblCellMar>
        </w:tblPrEx>
        <w:trPr>
          <w:trHeight w:val="300" w:hRule="atLeast"/>
        </w:trPr>
        <w:tc>
          <w:tcPr>
            <w:tcW w:w="1240" w:type="dxa"/>
            <w:tcBorders>
              <w:top w:val="nil"/>
              <w:left w:val="single" w:color="auto" w:sz="8" w:space="0"/>
              <w:bottom w:val="single" w:color="auto" w:sz="8" w:space="0"/>
              <w:right w:val="single" w:color="auto" w:sz="4" w:space="0"/>
            </w:tcBorders>
            <w:vAlign w:val="center"/>
          </w:tcPr>
          <w:p>
            <w:pPr>
              <w:spacing w:line="360" w:lineRule="auto"/>
            </w:pPr>
            <w:r>
              <w:rPr>
                <w:rFonts w:hint="eastAsia"/>
              </w:rPr>
              <w:t>SQA</w:t>
            </w:r>
          </w:p>
        </w:tc>
        <w:tc>
          <w:tcPr>
            <w:tcW w:w="881" w:type="dxa"/>
            <w:tcBorders>
              <w:top w:val="nil"/>
              <w:left w:val="nil"/>
              <w:bottom w:val="single" w:color="auto" w:sz="8" w:space="0"/>
              <w:right w:val="single" w:color="auto" w:sz="4" w:space="0"/>
            </w:tcBorders>
            <w:vAlign w:val="center"/>
          </w:tcPr>
          <w:p>
            <w:pPr>
              <w:spacing w:line="360" w:lineRule="auto"/>
            </w:pPr>
            <w:r>
              <w:rPr>
                <w:rFonts w:hint="eastAsia"/>
              </w:rPr>
              <w:t>√</w:t>
            </w:r>
          </w:p>
        </w:tc>
        <w:tc>
          <w:tcPr>
            <w:tcW w:w="1559" w:type="dxa"/>
            <w:tcBorders>
              <w:top w:val="nil"/>
              <w:left w:val="nil"/>
              <w:bottom w:val="single" w:color="auto" w:sz="8" w:space="0"/>
              <w:right w:val="single" w:color="auto" w:sz="4" w:space="0"/>
            </w:tcBorders>
            <w:vAlign w:val="center"/>
          </w:tcPr>
          <w:p>
            <w:pPr>
              <w:spacing w:line="360" w:lineRule="auto"/>
            </w:pPr>
            <w:r>
              <w:rPr>
                <w:rFonts w:hint="eastAsia"/>
              </w:rPr>
              <w:t>　</w:t>
            </w:r>
          </w:p>
        </w:tc>
        <w:tc>
          <w:tcPr>
            <w:tcW w:w="1619" w:type="dxa"/>
            <w:tcBorders>
              <w:top w:val="nil"/>
              <w:left w:val="nil"/>
              <w:bottom w:val="single" w:color="auto" w:sz="8" w:space="0"/>
              <w:right w:val="single" w:color="auto" w:sz="4" w:space="0"/>
            </w:tcBorders>
            <w:vAlign w:val="center"/>
          </w:tcPr>
          <w:p>
            <w:pPr>
              <w:spacing w:line="360" w:lineRule="auto"/>
            </w:pPr>
            <w:r>
              <w:rPr>
                <w:rFonts w:hint="eastAsia"/>
              </w:rPr>
              <w:t>　</w:t>
            </w:r>
          </w:p>
        </w:tc>
        <w:tc>
          <w:tcPr>
            <w:tcW w:w="881" w:type="dxa"/>
            <w:tcBorders>
              <w:top w:val="nil"/>
              <w:left w:val="nil"/>
              <w:bottom w:val="single" w:color="auto" w:sz="8" w:space="0"/>
              <w:right w:val="single" w:color="auto" w:sz="4" w:space="0"/>
            </w:tcBorders>
            <w:vAlign w:val="center"/>
          </w:tcPr>
          <w:p>
            <w:pPr>
              <w:spacing w:line="360" w:lineRule="auto"/>
            </w:pPr>
            <w:r>
              <w:rPr>
                <w:rFonts w:hint="eastAsia"/>
              </w:rPr>
              <w:t>　</w:t>
            </w:r>
          </w:p>
        </w:tc>
        <w:tc>
          <w:tcPr>
            <w:tcW w:w="1080" w:type="dxa"/>
            <w:tcBorders>
              <w:top w:val="nil"/>
              <w:left w:val="nil"/>
              <w:bottom w:val="single" w:color="auto" w:sz="8" w:space="0"/>
              <w:right w:val="single" w:color="auto" w:sz="8" w:space="0"/>
            </w:tcBorders>
            <w:vAlign w:val="center"/>
          </w:tcPr>
          <w:p>
            <w:pPr>
              <w:spacing w:line="360" w:lineRule="auto"/>
            </w:pPr>
            <w:r>
              <w:rPr>
                <w:rFonts w:hint="eastAsia"/>
              </w:rPr>
              <w:t>√</w:t>
            </w:r>
          </w:p>
        </w:tc>
      </w:tr>
    </w:tbl>
    <w:p>
      <w:pPr>
        <w:spacing w:line="360" w:lineRule="auto"/>
      </w:pPr>
    </w:p>
    <w:p>
      <w:pPr>
        <w:spacing w:line="360" w:lineRule="auto"/>
        <w:ind w:firstLine="480" w:firstLineChars="200"/>
        <w:rPr>
          <w:sz w:val="24"/>
          <w:szCs w:val="24"/>
        </w:rPr>
      </w:pPr>
      <w:r>
        <w:rPr>
          <w:rFonts w:hint="eastAsia"/>
          <w:sz w:val="24"/>
          <w:szCs w:val="24"/>
        </w:rPr>
        <w:t>如果遇到项目组内无法解决的重大问题，将提升到工程办，此时工程办也将参与问题的解决和管理。</w:t>
      </w:r>
    </w:p>
    <w:p>
      <w:pPr>
        <w:spacing w:line="360" w:lineRule="auto"/>
        <w:ind w:firstLine="480" w:firstLineChars="200"/>
        <w:rPr>
          <w:sz w:val="24"/>
          <w:szCs w:val="24"/>
        </w:rPr>
      </w:pPr>
      <w:r>
        <w:rPr>
          <w:rFonts w:hint="eastAsia"/>
          <w:sz w:val="24"/>
          <w:szCs w:val="24"/>
        </w:rPr>
        <w:t>二、问题管理流程</w:t>
      </w:r>
    </w:p>
    <w:p>
      <w:pPr>
        <w:spacing w:line="360" w:lineRule="auto"/>
        <w:ind w:firstLine="480" w:firstLineChars="200"/>
        <w:rPr>
          <w:sz w:val="24"/>
          <w:szCs w:val="24"/>
        </w:rPr>
      </w:pPr>
      <w:r>
        <w:rPr>
          <w:rFonts w:hint="eastAsia"/>
          <w:sz w:val="24"/>
          <w:szCs w:val="24"/>
        </w:rPr>
        <w:t>问题管理流程包括发现问题、登记问题、分析和分派问题、问题处理、问题提升、问题监控和报告、问题关闭七个步骤，如图所示。</w:t>
      </w:r>
    </w:p>
    <w:p>
      <w:pPr>
        <w:spacing w:line="360" w:lineRule="auto"/>
      </w:pPr>
      <w:r>
        <w:drawing>
          <wp:inline distT="0" distB="0" distL="0" distR="0">
            <wp:extent cx="4732020" cy="2293620"/>
            <wp:effectExtent l="0" t="0" r="0" b="0"/>
            <wp:docPr id="4362" name="图片 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 name="图片 43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732020" cy="2293620"/>
                    </a:xfrm>
                    <a:prstGeom prst="rect">
                      <a:avLst/>
                    </a:prstGeom>
                    <a:noFill/>
                    <a:ln>
                      <a:noFill/>
                    </a:ln>
                  </pic:spPr>
                </pic:pic>
              </a:graphicData>
            </a:graphic>
          </wp:inline>
        </w:drawing>
      </w:r>
    </w:p>
    <w:p>
      <w:pPr>
        <w:spacing w:line="360" w:lineRule="auto"/>
        <w:jc w:val="center"/>
      </w:pPr>
      <w:r>
        <w:rPr>
          <w:rFonts w:hint="eastAsia"/>
        </w:rPr>
        <w:t>问题管理流程</w:t>
      </w:r>
    </w:p>
    <w:p>
      <w:pPr>
        <w:spacing w:line="360" w:lineRule="auto"/>
        <w:ind w:firstLine="480" w:firstLineChars="200"/>
        <w:rPr>
          <w:sz w:val="24"/>
          <w:szCs w:val="24"/>
        </w:rPr>
      </w:pPr>
      <w:r>
        <w:rPr>
          <w:rFonts w:hint="eastAsia"/>
          <w:sz w:val="24"/>
          <w:szCs w:val="24"/>
        </w:rPr>
        <w:t>与项目相关的所有人员都有责任发现问题，并向小组负责人、项目组长或项目经理汇报；项目组长或项目经理负责确认问题的成立。典型的问题包括：范围变更、交付成果改变、交付物未达到预定要求、缺乏合适的资源、进度推迟等等。</w:t>
      </w:r>
    </w:p>
    <w:p>
      <w:pPr>
        <w:spacing w:line="360" w:lineRule="auto"/>
        <w:ind w:firstLine="480" w:firstLineChars="200"/>
        <w:rPr>
          <w:sz w:val="24"/>
          <w:szCs w:val="24"/>
        </w:rPr>
      </w:pPr>
      <w:r>
        <w:rPr>
          <w:rFonts w:hint="eastAsia"/>
          <w:sz w:val="24"/>
          <w:szCs w:val="24"/>
        </w:rPr>
        <w:t>经过确认的问题将在《问题与缺陷列表》中进行登记，主要登记内容包括：问题编号、问题影响程度、问题类别、问题解决期限、问题状态等。</w:t>
      </w:r>
    </w:p>
    <w:p>
      <w:pPr>
        <w:spacing w:line="360" w:lineRule="auto"/>
        <w:ind w:firstLine="480" w:firstLineChars="200"/>
        <w:rPr>
          <w:sz w:val="24"/>
          <w:szCs w:val="24"/>
        </w:rPr>
      </w:pPr>
      <w:r>
        <w:rPr>
          <w:rFonts w:hint="eastAsia"/>
          <w:sz w:val="24"/>
          <w:szCs w:val="24"/>
        </w:rPr>
        <w:t>项目组负责人或项目经理将对问题进行分析和协调，以确定问题的严重程度和优先级。根据问题对项目的影响程度，可将其划分为关键、高、中、低四个优先级：</w:t>
      </w:r>
    </w:p>
    <w:p>
      <w:pPr>
        <w:spacing w:line="360" w:lineRule="auto"/>
        <w:ind w:firstLine="480" w:firstLineChars="200"/>
        <w:rPr>
          <w:sz w:val="24"/>
          <w:szCs w:val="24"/>
        </w:rPr>
      </w:pPr>
      <w:r>
        <w:rPr>
          <w:rFonts w:hint="eastAsia"/>
          <w:sz w:val="24"/>
          <w:szCs w:val="24"/>
        </w:rPr>
        <w:t>关键级：对项目有关键性影响，影响到大量用户或者影响其它项目，影响到核心业务能力；</w:t>
      </w:r>
    </w:p>
    <w:p>
      <w:pPr>
        <w:spacing w:line="360" w:lineRule="auto"/>
        <w:ind w:firstLine="480" w:firstLineChars="200"/>
        <w:rPr>
          <w:sz w:val="24"/>
          <w:szCs w:val="24"/>
        </w:rPr>
      </w:pPr>
      <w:r>
        <w:rPr>
          <w:rFonts w:hint="eastAsia"/>
          <w:sz w:val="24"/>
          <w:szCs w:val="24"/>
        </w:rPr>
        <w:t>高级：受影响用户增加，将来可能影响多个项目或系统；</w:t>
      </w:r>
    </w:p>
    <w:p>
      <w:pPr>
        <w:spacing w:line="360" w:lineRule="auto"/>
        <w:ind w:firstLine="480" w:firstLineChars="200"/>
        <w:rPr>
          <w:sz w:val="24"/>
          <w:szCs w:val="24"/>
        </w:rPr>
      </w:pPr>
      <w:r>
        <w:rPr>
          <w:rFonts w:hint="eastAsia"/>
          <w:sz w:val="24"/>
          <w:szCs w:val="24"/>
        </w:rPr>
        <w:t>中级：受影响的用户有限，影响局部系统，无重大负面影响；</w:t>
      </w:r>
    </w:p>
    <w:p>
      <w:pPr>
        <w:spacing w:line="360" w:lineRule="auto"/>
        <w:ind w:firstLine="480" w:firstLineChars="200"/>
        <w:rPr>
          <w:sz w:val="24"/>
          <w:szCs w:val="24"/>
        </w:rPr>
      </w:pPr>
      <w:r>
        <w:rPr>
          <w:rFonts w:hint="eastAsia"/>
          <w:sz w:val="24"/>
          <w:szCs w:val="24"/>
        </w:rPr>
        <w:t>低级：影响很小或无影响，信息提供</w:t>
      </w:r>
      <w:r>
        <w:rPr>
          <w:sz w:val="24"/>
          <w:szCs w:val="24"/>
        </w:rPr>
        <w:t>/</w:t>
      </w:r>
      <w:r>
        <w:rPr>
          <w:rFonts w:hint="eastAsia"/>
          <w:sz w:val="24"/>
          <w:szCs w:val="24"/>
        </w:rPr>
        <w:t>交流方面的问题。</w:t>
      </w:r>
    </w:p>
    <w:p>
      <w:pPr>
        <w:spacing w:line="360" w:lineRule="auto"/>
        <w:ind w:firstLine="480" w:firstLineChars="200"/>
      </w:pPr>
      <w:r>
        <w:rPr>
          <w:rFonts w:hint="eastAsia"/>
          <w:sz w:val="24"/>
          <w:szCs w:val="24"/>
        </w:rPr>
        <w:t>问题处理根据其严重程度可以分两个阶段处理：问题处理流程第一阶段如下图：</w:t>
      </w:r>
    </w:p>
    <w:p>
      <w:pPr>
        <w:spacing w:line="360" w:lineRule="auto"/>
        <w:rPr>
          <w:lang w:val="zh-CN" w:eastAsia="zh-CN"/>
        </w:rPr>
      </w:pPr>
      <w:r>
        <w:drawing>
          <wp:inline distT="0" distB="0" distL="0" distR="0">
            <wp:extent cx="2994660" cy="3048000"/>
            <wp:effectExtent l="0" t="0" r="0" b="0"/>
            <wp:docPr id="4363" name="图片 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 name="图片 43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994660" cy="3048000"/>
                    </a:xfrm>
                    <a:prstGeom prst="rect">
                      <a:avLst/>
                    </a:prstGeom>
                    <a:noFill/>
                    <a:ln>
                      <a:noFill/>
                    </a:ln>
                  </pic:spPr>
                </pic:pic>
              </a:graphicData>
            </a:graphic>
          </wp:inline>
        </w:drawing>
      </w:r>
    </w:p>
    <w:p>
      <w:pPr>
        <w:spacing w:line="360" w:lineRule="auto"/>
        <w:rPr>
          <w:sz w:val="24"/>
          <w:szCs w:val="24"/>
        </w:rPr>
      </w:pPr>
      <w:r>
        <w:rPr>
          <w:rFonts w:hint="eastAsia"/>
          <w:sz w:val="24"/>
          <w:szCs w:val="24"/>
        </w:rPr>
        <w:t>问题处理流程——第一阶段</w:t>
      </w:r>
    </w:p>
    <w:p>
      <w:pPr>
        <w:spacing w:line="360" w:lineRule="auto"/>
      </w:pPr>
      <w:r>
        <w:rPr>
          <w:rFonts w:hint="eastAsia"/>
          <w:sz w:val="24"/>
          <w:szCs w:val="24"/>
        </w:rPr>
        <w:t>问题处理流程第二阶段如下图：</w:t>
      </w:r>
    </w:p>
    <w:p>
      <w:pPr>
        <w:spacing w:line="360" w:lineRule="auto"/>
      </w:pPr>
      <w:r>
        <w:drawing>
          <wp:inline distT="0" distB="0" distL="0" distR="0">
            <wp:extent cx="5219700" cy="4632960"/>
            <wp:effectExtent l="0" t="0" r="0" b="0"/>
            <wp:docPr id="4364" name="图片 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 name="图片 43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19700" cy="4632960"/>
                    </a:xfrm>
                    <a:prstGeom prst="rect">
                      <a:avLst/>
                    </a:prstGeom>
                    <a:noFill/>
                    <a:ln>
                      <a:noFill/>
                    </a:ln>
                  </pic:spPr>
                </pic:pic>
              </a:graphicData>
            </a:graphic>
          </wp:inline>
        </w:drawing>
      </w:r>
    </w:p>
    <w:p>
      <w:pPr>
        <w:spacing w:line="360" w:lineRule="auto"/>
        <w:rPr>
          <w:sz w:val="24"/>
          <w:szCs w:val="24"/>
        </w:rPr>
      </w:pPr>
      <w:r>
        <w:rPr>
          <w:rFonts w:hint="eastAsia"/>
          <w:sz w:val="24"/>
          <w:szCs w:val="24"/>
        </w:rPr>
        <w:t>问题处理流程——第二阶段</w:t>
      </w:r>
    </w:p>
    <w:p>
      <w:pPr>
        <w:spacing w:line="360" w:lineRule="auto"/>
      </w:pPr>
      <w:r>
        <w:rPr>
          <w:rFonts w:hint="eastAsia"/>
          <w:sz w:val="24"/>
          <w:szCs w:val="24"/>
        </w:rPr>
        <w:t>问题处理过程中的文档处理流程如下图：</w:t>
      </w:r>
    </w:p>
    <w:p>
      <w:pPr>
        <w:spacing w:line="360" w:lineRule="auto"/>
      </w:pPr>
      <w:r>
        <w:drawing>
          <wp:inline distT="0" distB="0" distL="0" distR="0">
            <wp:extent cx="5280660" cy="1691640"/>
            <wp:effectExtent l="0" t="0" r="0" b="3810"/>
            <wp:docPr id="4365" name="图片 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 name="图片 43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80660" cy="1691640"/>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问题处理流程——文档处理流程</w:t>
      </w:r>
    </w:p>
    <w:p>
      <w:pPr>
        <w:spacing w:line="360" w:lineRule="auto"/>
        <w:ind w:firstLine="480" w:firstLineChars="200"/>
        <w:rPr>
          <w:sz w:val="24"/>
          <w:szCs w:val="24"/>
        </w:rPr>
      </w:pPr>
      <w:r>
        <w:rPr>
          <w:rFonts w:hint="eastAsia"/>
          <w:sz w:val="24"/>
          <w:szCs w:val="24"/>
        </w:rPr>
        <w:t>三、问题管理活动</w:t>
      </w:r>
    </w:p>
    <w:p>
      <w:pPr>
        <w:spacing w:line="360" w:lineRule="auto"/>
        <w:ind w:firstLine="480" w:firstLineChars="200"/>
        <w:rPr>
          <w:sz w:val="24"/>
          <w:szCs w:val="24"/>
        </w:rPr>
      </w:pPr>
      <w:r>
        <w:rPr>
          <w:rFonts w:hint="eastAsia"/>
          <w:sz w:val="24"/>
          <w:szCs w:val="24"/>
        </w:rPr>
        <w:t>（一）问题发现与报告</w:t>
      </w:r>
    </w:p>
    <w:p>
      <w:pPr>
        <w:spacing w:line="360" w:lineRule="auto"/>
        <w:ind w:firstLine="480" w:firstLineChars="200"/>
        <w:rPr>
          <w:sz w:val="24"/>
          <w:szCs w:val="24"/>
        </w:rPr>
      </w:pPr>
      <w:r>
        <w:rPr>
          <w:rFonts w:hint="eastAsia"/>
          <w:sz w:val="24"/>
          <w:szCs w:val="24"/>
        </w:rPr>
        <w:t>（</w:t>
      </w:r>
      <w:r>
        <w:rPr>
          <w:sz w:val="24"/>
          <w:szCs w:val="24"/>
        </w:rPr>
        <w:t>1</w:t>
      </w:r>
      <w:r>
        <w:rPr>
          <w:rFonts w:hint="eastAsia"/>
          <w:sz w:val="24"/>
          <w:szCs w:val="24"/>
        </w:rPr>
        <w:t>）</w:t>
      </w:r>
      <w:r>
        <w:rPr>
          <w:sz w:val="24"/>
          <w:szCs w:val="24"/>
        </w:rPr>
        <w:t>SQA</w:t>
      </w:r>
      <w:r>
        <w:rPr>
          <w:rFonts w:hint="eastAsia"/>
          <w:sz w:val="24"/>
          <w:szCs w:val="24"/>
        </w:rPr>
        <w:t>人员将所发现问题记录在《</w:t>
      </w:r>
      <w:r>
        <w:rPr>
          <w:sz w:val="24"/>
          <w:szCs w:val="24"/>
        </w:rPr>
        <w:t>SQA</w:t>
      </w:r>
      <w:r>
        <w:rPr>
          <w:rFonts w:hint="eastAsia"/>
          <w:sz w:val="24"/>
          <w:szCs w:val="24"/>
        </w:rPr>
        <w:t>不符合问题报告》中。项目组长填写确认内容并记录在《问题与缺陷列表》。</w:t>
      </w:r>
    </w:p>
    <w:p>
      <w:pPr>
        <w:spacing w:line="360" w:lineRule="auto"/>
        <w:ind w:firstLine="480" w:firstLineChars="200"/>
        <w:rPr>
          <w:sz w:val="24"/>
          <w:szCs w:val="24"/>
        </w:rPr>
      </w:pPr>
      <w:r>
        <w:rPr>
          <w:rFonts w:hint="eastAsia"/>
          <w:sz w:val="24"/>
          <w:szCs w:val="24"/>
        </w:rPr>
        <w:t>（</w:t>
      </w:r>
      <w:r>
        <w:rPr>
          <w:sz w:val="24"/>
          <w:szCs w:val="24"/>
        </w:rPr>
        <w:t>2</w:t>
      </w:r>
      <w:r>
        <w:rPr>
          <w:rFonts w:hint="eastAsia"/>
          <w:sz w:val="24"/>
          <w:szCs w:val="24"/>
        </w:rPr>
        <w:t>）评审活动提出的问题记录在《评审报告》中。项目组长将问题记录在《问题与缺陷列表》。</w:t>
      </w:r>
    </w:p>
    <w:p>
      <w:pPr>
        <w:spacing w:line="360" w:lineRule="auto"/>
        <w:ind w:firstLine="480" w:firstLineChars="200"/>
        <w:rPr>
          <w:sz w:val="24"/>
          <w:szCs w:val="24"/>
        </w:rPr>
      </w:pPr>
      <w:r>
        <w:rPr>
          <w:rFonts w:hint="eastAsia"/>
          <w:sz w:val="24"/>
          <w:szCs w:val="24"/>
        </w:rPr>
        <w:t>（</w:t>
      </w:r>
      <w:r>
        <w:rPr>
          <w:sz w:val="24"/>
          <w:szCs w:val="24"/>
        </w:rPr>
        <w:t>3</w:t>
      </w:r>
      <w:r>
        <w:rPr>
          <w:rFonts w:hint="eastAsia"/>
          <w:sz w:val="24"/>
          <w:szCs w:val="24"/>
        </w:rPr>
        <w:t>）工作产品的审查和项目组成员日常工作中提出问题记录在《工作产品检查单》等。项目组长将问题记录在《问题与缺陷列表》。对于一般问题由组长安排人员处理，并关闭在《问题与缺陷列表》和相应文档中。对于严重问题由项目组长填写《问题报告》。</w:t>
      </w:r>
    </w:p>
    <w:p>
      <w:pPr>
        <w:spacing w:line="360" w:lineRule="auto"/>
        <w:ind w:firstLine="480" w:firstLineChars="200"/>
        <w:rPr>
          <w:sz w:val="24"/>
          <w:szCs w:val="24"/>
        </w:rPr>
      </w:pPr>
      <w:r>
        <w:rPr>
          <w:rFonts w:hint="eastAsia"/>
          <w:sz w:val="24"/>
          <w:szCs w:val="24"/>
        </w:rPr>
        <w:t>（二）问题分析评审和制定解决方案</w:t>
      </w:r>
    </w:p>
    <w:p>
      <w:pPr>
        <w:spacing w:line="360" w:lineRule="auto"/>
        <w:ind w:firstLine="480" w:firstLineChars="200"/>
        <w:rPr>
          <w:sz w:val="24"/>
          <w:szCs w:val="24"/>
        </w:rPr>
      </w:pPr>
      <w:r>
        <w:rPr>
          <w:rFonts w:hint="eastAsia"/>
          <w:sz w:val="24"/>
          <w:szCs w:val="24"/>
        </w:rPr>
        <w:t>（</w:t>
      </w:r>
      <w:r>
        <w:rPr>
          <w:sz w:val="24"/>
          <w:szCs w:val="24"/>
        </w:rPr>
        <w:t>1</w:t>
      </w:r>
      <w:r>
        <w:rPr>
          <w:rFonts w:hint="eastAsia"/>
          <w:sz w:val="24"/>
          <w:szCs w:val="24"/>
        </w:rPr>
        <w:t>）项目组长负责将问题纳入《问题与缺陷列表》。</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w:t>
      </w:r>
      <w:r>
        <w:rPr>
          <w:rFonts w:asciiTheme="minorEastAsia" w:hAnsiTheme="minorEastAsia"/>
          <w:sz w:val="24"/>
          <w:szCs w:val="24"/>
        </w:rPr>
        <w:t>2</w:t>
      </w:r>
      <w:r>
        <w:rPr>
          <w:rFonts w:hint="eastAsia" w:asciiTheme="minorEastAsia" w:hAnsiTheme="minorEastAsia"/>
          <w:sz w:val="24"/>
          <w:szCs w:val="24"/>
        </w:rPr>
        <w:t>）依据《评审规程》对提出的问题进行评审，评审结果记录在《问题报告》评审栏中。</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因评审发现的问题而触发进入问题处理规程的不必进行再次评审，仅在《问题报告》中记录评审报告文档编号作为追溯信息。问题处理人员提出问题详细解决方案。当所提出的问题引起重要配置项的变更时，启动变更控制过程。依据《变更控制规程》进行变更控制管理。</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w:t>
      </w:r>
      <w:r>
        <w:rPr>
          <w:rFonts w:asciiTheme="minorEastAsia" w:hAnsiTheme="minorEastAsia"/>
          <w:sz w:val="24"/>
          <w:szCs w:val="24"/>
        </w:rPr>
        <w:t>3</w:t>
      </w:r>
      <w:r>
        <w:rPr>
          <w:rFonts w:hint="eastAsia" w:asciiTheme="minorEastAsia" w:hAnsiTheme="minorEastAsia"/>
          <w:sz w:val="24"/>
          <w:szCs w:val="24"/>
        </w:rPr>
        <w:t>）</w:t>
      </w:r>
      <w:r>
        <w:rPr>
          <w:rFonts w:asciiTheme="minorEastAsia" w:hAnsiTheme="minorEastAsia"/>
          <w:sz w:val="24"/>
          <w:szCs w:val="24"/>
        </w:rPr>
        <w:t>SQA</w:t>
      </w:r>
      <w:r>
        <w:rPr>
          <w:rFonts w:hint="eastAsia" w:asciiTheme="minorEastAsia" w:hAnsiTheme="minorEastAsia"/>
          <w:sz w:val="24"/>
          <w:szCs w:val="24"/>
        </w:rPr>
        <w:t>提出的问题，由项目组长填写《问题报告》，同样依据《评审规程》对提出的问题进行评审，评审结论记录在《问题报告》评审栏中。</w:t>
      </w:r>
    </w:p>
    <w:p>
      <w:pPr>
        <w:spacing w:line="360" w:lineRule="auto"/>
        <w:ind w:firstLine="480" w:firstLineChars="200"/>
        <w:rPr>
          <w:sz w:val="24"/>
          <w:szCs w:val="24"/>
        </w:rPr>
      </w:pPr>
      <w:r>
        <w:rPr>
          <w:rFonts w:asciiTheme="minorEastAsia" w:hAnsiTheme="minorEastAsia"/>
          <w:sz w:val="24"/>
          <w:szCs w:val="24"/>
        </w:rPr>
        <w:t>SQA</w:t>
      </w:r>
      <w:r>
        <w:rPr>
          <w:rFonts w:hint="eastAsia" w:asciiTheme="minorEastAsia" w:hAnsiTheme="minorEastAsia"/>
          <w:sz w:val="24"/>
          <w:szCs w:val="24"/>
        </w:rPr>
        <w:t>与项目组长就解决方案如果达成一致，交付执行人员。如果达不成一致，</w:t>
      </w:r>
      <w:r>
        <w:rPr>
          <w:rFonts w:asciiTheme="minorEastAsia" w:hAnsiTheme="minorEastAsia"/>
          <w:sz w:val="24"/>
          <w:szCs w:val="24"/>
        </w:rPr>
        <w:t>SQA</w:t>
      </w:r>
      <w:r>
        <w:rPr>
          <w:rFonts w:hint="eastAsia" w:asciiTheme="minorEastAsia" w:hAnsiTheme="minorEastAsia"/>
          <w:sz w:val="24"/>
          <w:szCs w:val="24"/>
        </w:rPr>
        <w:t>汇报高层，申请协调解决。高层经理与</w:t>
      </w:r>
      <w:r>
        <w:rPr>
          <w:rFonts w:asciiTheme="minorEastAsia" w:hAnsiTheme="minorEastAsia"/>
          <w:sz w:val="24"/>
          <w:szCs w:val="24"/>
        </w:rPr>
        <w:t>SQA</w:t>
      </w:r>
      <w:r>
        <w:rPr>
          <w:rFonts w:hint="eastAsia" w:asciiTheme="minorEastAsia" w:hAnsiTheme="minorEastAsia"/>
          <w:sz w:val="24"/>
          <w:szCs w:val="24"/>
        </w:rPr>
        <w:t>和项目组长一起协调，由</w:t>
      </w:r>
      <w:r>
        <w:rPr>
          <w:rFonts w:hint="eastAsia"/>
          <w:sz w:val="24"/>
          <w:szCs w:val="24"/>
        </w:rPr>
        <w:t>高层经理做最终决定。当问题处理方案涉及挂起时，报告项目组长，由高层经理与</w:t>
      </w:r>
      <w:r>
        <w:rPr>
          <w:sz w:val="24"/>
          <w:szCs w:val="24"/>
        </w:rPr>
        <w:t>SQA</w:t>
      </w:r>
      <w:r>
        <w:rPr>
          <w:rFonts w:hint="eastAsia"/>
          <w:sz w:val="24"/>
          <w:szCs w:val="24"/>
        </w:rPr>
        <w:t>和项目组长一起协调，由高层经理做最终决定。</w:t>
      </w:r>
    </w:p>
    <w:p>
      <w:pPr>
        <w:spacing w:line="360" w:lineRule="auto"/>
        <w:ind w:firstLine="480" w:firstLineChars="200"/>
        <w:rPr>
          <w:sz w:val="24"/>
          <w:szCs w:val="24"/>
        </w:rPr>
      </w:pPr>
      <w:r>
        <w:rPr>
          <w:rFonts w:hint="eastAsia"/>
          <w:sz w:val="24"/>
          <w:szCs w:val="24"/>
        </w:rPr>
        <w:t>（</w:t>
      </w:r>
      <w:r>
        <w:rPr>
          <w:sz w:val="24"/>
          <w:szCs w:val="24"/>
        </w:rPr>
        <w:t>4</w:t>
      </w:r>
      <w:r>
        <w:rPr>
          <w:rFonts w:hint="eastAsia"/>
          <w:sz w:val="24"/>
          <w:szCs w:val="24"/>
        </w:rPr>
        <w:t>）约定审核人（进行技术审核）。</w:t>
      </w:r>
    </w:p>
    <w:p>
      <w:pPr>
        <w:spacing w:line="360" w:lineRule="auto"/>
        <w:ind w:firstLine="480" w:firstLineChars="200"/>
        <w:rPr>
          <w:sz w:val="24"/>
          <w:szCs w:val="24"/>
        </w:rPr>
      </w:pPr>
      <w:r>
        <w:rPr>
          <w:rFonts w:hint="eastAsia"/>
          <w:sz w:val="24"/>
          <w:szCs w:val="24"/>
        </w:rPr>
        <w:t>（三）解决问题</w:t>
      </w:r>
    </w:p>
    <w:p>
      <w:pPr>
        <w:spacing w:line="360" w:lineRule="auto"/>
        <w:ind w:firstLine="480" w:firstLineChars="200"/>
        <w:rPr>
          <w:sz w:val="24"/>
          <w:szCs w:val="24"/>
        </w:rPr>
      </w:pPr>
      <w:r>
        <w:rPr>
          <w:rFonts w:hint="eastAsia"/>
          <w:sz w:val="24"/>
          <w:szCs w:val="24"/>
        </w:rPr>
        <w:t>问题处理人员执行解决方案。项目组长监督解决问题的处理过程。解决问题过程中，如果引起重要配置项变更时，启动变更控制过程。依据《变更控制规程》进行变更控制管理。如果问题已经相对严重，威胁到项目和工程的成功，而在本项目授权范围内又无法解决，需要更高层管理者决策时，就将提升问题。问题可能被提升到工程办层面解决。</w:t>
      </w:r>
    </w:p>
    <w:p>
      <w:pPr>
        <w:spacing w:line="360" w:lineRule="auto"/>
        <w:ind w:firstLine="480" w:firstLineChars="200"/>
        <w:rPr>
          <w:sz w:val="24"/>
          <w:szCs w:val="24"/>
        </w:rPr>
      </w:pPr>
      <w:r>
        <w:rPr>
          <w:rFonts w:hint="eastAsia"/>
          <w:sz w:val="24"/>
          <w:szCs w:val="24"/>
        </w:rPr>
        <w:t>（四）问题解决状态审核</w:t>
      </w:r>
    </w:p>
    <w:p>
      <w:pPr>
        <w:spacing w:line="360" w:lineRule="auto"/>
        <w:ind w:firstLine="480" w:firstLineChars="200"/>
        <w:rPr>
          <w:sz w:val="24"/>
          <w:szCs w:val="24"/>
        </w:rPr>
      </w:pPr>
      <w:r>
        <w:rPr>
          <w:rFonts w:hint="eastAsia"/>
          <w:sz w:val="24"/>
          <w:szCs w:val="24"/>
        </w:rPr>
        <w:t>约定的审核人员对执行结果进行审核。将执行审核结果告别项目组长，并将信息填入《问题报告》。由审核人员，根据问题解决方案，审核问题是否被解决：</w:t>
      </w:r>
    </w:p>
    <w:p>
      <w:pPr>
        <w:spacing w:line="360" w:lineRule="auto"/>
        <w:ind w:firstLine="480" w:firstLineChars="200"/>
        <w:rPr>
          <w:sz w:val="24"/>
          <w:szCs w:val="24"/>
        </w:rPr>
      </w:pPr>
      <w:r>
        <w:rPr>
          <w:rFonts w:hint="eastAsia"/>
          <w:sz w:val="24"/>
          <w:szCs w:val="24"/>
        </w:rPr>
        <w:t>（</w:t>
      </w:r>
      <w:r>
        <w:rPr>
          <w:sz w:val="24"/>
          <w:szCs w:val="24"/>
        </w:rPr>
        <w:t>1</w:t>
      </w:r>
      <w:r>
        <w:rPr>
          <w:rFonts w:hint="eastAsia"/>
          <w:sz w:val="24"/>
          <w:szCs w:val="24"/>
        </w:rPr>
        <w:t>）如果正常解决，问题关闭。</w:t>
      </w:r>
    </w:p>
    <w:p>
      <w:pPr>
        <w:spacing w:line="360" w:lineRule="auto"/>
        <w:ind w:firstLine="480" w:firstLineChars="200"/>
        <w:rPr>
          <w:sz w:val="24"/>
          <w:szCs w:val="24"/>
        </w:rPr>
      </w:pPr>
      <w:r>
        <w:rPr>
          <w:rFonts w:hint="eastAsia"/>
          <w:sz w:val="24"/>
          <w:szCs w:val="24"/>
        </w:rPr>
        <w:t>（</w:t>
      </w:r>
      <w:r>
        <w:rPr>
          <w:sz w:val="24"/>
          <w:szCs w:val="24"/>
        </w:rPr>
        <w:t>2</w:t>
      </w:r>
      <w:r>
        <w:rPr>
          <w:rFonts w:hint="eastAsia"/>
          <w:sz w:val="24"/>
          <w:szCs w:val="24"/>
        </w:rPr>
        <w:t>）如果未解决或未正常解决，报告项目组长，由高层经理与</w:t>
      </w:r>
      <w:r>
        <w:rPr>
          <w:sz w:val="24"/>
          <w:szCs w:val="24"/>
        </w:rPr>
        <w:t>SQA</w:t>
      </w:r>
      <w:r>
        <w:rPr>
          <w:rFonts w:hint="eastAsia"/>
          <w:sz w:val="24"/>
          <w:szCs w:val="24"/>
        </w:rPr>
        <w:t>和项目组长一起协调，由高层经理做最终决定。</w:t>
      </w:r>
    </w:p>
    <w:p>
      <w:pPr>
        <w:spacing w:line="360" w:lineRule="auto"/>
        <w:ind w:firstLine="480" w:firstLineChars="200"/>
        <w:rPr>
          <w:sz w:val="24"/>
          <w:szCs w:val="24"/>
        </w:rPr>
      </w:pPr>
      <w:r>
        <w:rPr>
          <w:rFonts w:hint="eastAsia"/>
          <w:sz w:val="24"/>
          <w:szCs w:val="24"/>
        </w:rPr>
        <w:t>（</w:t>
      </w:r>
      <w:r>
        <w:rPr>
          <w:sz w:val="24"/>
          <w:szCs w:val="24"/>
        </w:rPr>
        <w:t>3</w:t>
      </w:r>
      <w:r>
        <w:rPr>
          <w:rFonts w:hint="eastAsia"/>
          <w:sz w:val="24"/>
          <w:szCs w:val="24"/>
        </w:rPr>
        <w:t>）如果未解决，可另寻解决方案重做的，报告项目组长，重新进入问题解决流程。</w:t>
      </w:r>
    </w:p>
    <w:p>
      <w:pPr>
        <w:spacing w:line="360" w:lineRule="auto"/>
        <w:ind w:firstLine="480" w:firstLineChars="200"/>
        <w:rPr>
          <w:sz w:val="24"/>
          <w:szCs w:val="24"/>
        </w:rPr>
      </w:pPr>
      <w:r>
        <w:rPr>
          <w:rFonts w:hint="eastAsia"/>
          <w:sz w:val="24"/>
          <w:szCs w:val="24"/>
        </w:rPr>
        <w:t>高层经理对于提出的问题，做出最终的处理决定：</w:t>
      </w:r>
    </w:p>
    <w:p>
      <w:pPr>
        <w:spacing w:line="360" w:lineRule="auto"/>
        <w:ind w:firstLine="480" w:firstLineChars="200"/>
        <w:rPr>
          <w:sz w:val="24"/>
          <w:szCs w:val="24"/>
        </w:rPr>
      </w:pPr>
      <w:r>
        <w:rPr>
          <w:rFonts w:hint="eastAsia"/>
          <w:sz w:val="24"/>
          <w:szCs w:val="24"/>
        </w:rPr>
        <w:t>（</w:t>
      </w:r>
      <w:r>
        <w:rPr>
          <w:sz w:val="24"/>
          <w:szCs w:val="24"/>
        </w:rPr>
        <w:t>1</w:t>
      </w:r>
      <w:r>
        <w:rPr>
          <w:rFonts w:hint="eastAsia"/>
          <w:sz w:val="24"/>
          <w:szCs w:val="24"/>
        </w:rPr>
        <w:t>）问题必须解决，转入问题处理流程。</w:t>
      </w:r>
    </w:p>
    <w:p>
      <w:pPr>
        <w:spacing w:line="360" w:lineRule="auto"/>
        <w:ind w:firstLine="480" w:firstLineChars="200"/>
        <w:rPr>
          <w:sz w:val="24"/>
          <w:szCs w:val="24"/>
        </w:rPr>
      </w:pPr>
      <w:r>
        <w:rPr>
          <w:rFonts w:hint="eastAsia"/>
          <w:sz w:val="24"/>
          <w:szCs w:val="24"/>
        </w:rPr>
        <w:t>（</w:t>
      </w:r>
      <w:r>
        <w:rPr>
          <w:sz w:val="24"/>
          <w:szCs w:val="24"/>
        </w:rPr>
        <w:t>2</w:t>
      </w:r>
      <w:r>
        <w:rPr>
          <w:rFonts w:hint="eastAsia"/>
          <w:sz w:val="24"/>
          <w:szCs w:val="24"/>
        </w:rPr>
        <w:t>）问题不处理、挂起，将问题关闭。</w:t>
      </w:r>
    </w:p>
    <w:p>
      <w:pPr>
        <w:spacing w:line="360" w:lineRule="auto"/>
        <w:ind w:firstLine="480" w:firstLineChars="200"/>
        <w:rPr>
          <w:sz w:val="24"/>
          <w:szCs w:val="24"/>
        </w:rPr>
      </w:pPr>
      <w:r>
        <w:rPr>
          <w:rFonts w:hint="eastAsia"/>
          <w:sz w:val="24"/>
          <w:szCs w:val="24"/>
        </w:rPr>
        <w:t>（五）问题关闭</w:t>
      </w:r>
    </w:p>
    <w:p>
      <w:pPr>
        <w:spacing w:line="360" w:lineRule="auto"/>
        <w:ind w:firstLine="480" w:firstLineChars="200"/>
        <w:rPr>
          <w:sz w:val="24"/>
          <w:szCs w:val="24"/>
        </w:rPr>
      </w:pPr>
      <w:r>
        <w:rPr>
          <w:rFonts w:hint="eastAsia"/>
          <w:sz w:val="24"/>
          <w:szCs w:val="24"/>
        </w:rPr>
        <w:t>项目组长将问题关闭信息填入《问题报告》和《问题与缺陷列表》</w:t>
      </w:r>
    </w:p>
    <w:p>
      <w:pPr>
        <w:pStyle w:val="3"/>
        <w:numPr>
          <w:ilvl w:val="1"/>
          <w:numId w:val="3"/>
        </w:numPr>
        <w:spacing w:before="0" w:after="0" w:line="360" w:lineRule="auto"/>
        <w:ind w:left="0" w:leftChars="0" w:firstLine="402" w:firstLineChars="0"/>
      </w:pPr>
      <w:bookmarkStart w:id="358" w:name="_Toc30929"/>
      <w:r>
        <w:rPr>
          <w:rFonts w:hint="eastAsia"/>
        </w:rPr>
        <w:t>项目需求管理</w:t>
      </w:r>
      <w:bookmarkEnd w:id="358"/>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需求是整个项目的设计开发和实现入口，对于需求的管理是非常有必要的。需求管理指识别、分析、建立客户需求，监控需求的状态，控制需求的变更过程，进行客户需求的追溯等活动。</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需求管理为项目在需求方面建立和维护与客户的共识，并将所建立的客户需求作为估算、策划、实施和管理项目的基础；控制管理需求及其变更，使项目开发计划、工作产品和活动与客户需求保持一致；进行客户需求的追溯，可改善产品质量、降低维护成本、实现重用。</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在软件项目的研发过程中，需求管理贯穿了软件项目的整个生命周期，从软件的项目立项，研发，维护，用户的经验在增加，对使用软件的感受有变化，及整个行业的新动态，都为软件带来不断完善功能，优化性能，提高用户友好性的需求。需求管理主要包含以下内容：</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一、需求调研；</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二、需求分析；</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三、需求定义；</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四、需求确认；</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五、需求跟踪；</w:t>
      </w:r>
    </w:p>
    <w:p>
      <w:pPr>
        <w:spacing w:line="360" w:lineRule="auto"/>
        <w:ind w:firstLine="480" w:firstLineChars="200"/>
        <w:rPr>
          <w:rFonts w:asciiTheme="minorEastAsia" w:hAnsiTheme="minorEastAsia"/>
        </w:rPr>
      </w:pPr>
      <w:r>
        <w:rPr>
          <w:rFonts w:hint="eastAsia" w:asciiTheme="minorEastAsia" w:hAnsiTheme="minorEastAsia"/>
          <w:sz w:val="24"/>
          <w:szCs w:val="24"/>
        </w:rPr>
        <w:t>六、需求变更控制。</w:t>
      </w:r>
    </w:p>
    <w:tbl>
      <w:tblPr>
        <w:tblStyle w:val="34"/>
        <w:tblW w:w="86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400"/>
        <w:gridCol w:w="4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blHeader/>
        </w:trPr>
        <w:tc>
          <w:tcPr>
            <w:tcW w:w="1368" w:type="dxa"/>
            <w:tcBorders>
              <w:top w:val="single" w:color="auto" w:sz="4" w:space="0"/>
              <w:left w:val="single" w:color="auto" w:sz="4" w:space="0"/>
              <w:bottom w:val="single" w:color="auto" w:sz="4" w:space="0"/>
              <w:right w:val="single" w:color="auto" w:sz="4" w:space="0"/>
            </w:tcBorders>
            <w:shd w:val="clear" w:color="auto" w:fill="D9D9D9"/>
            <w:vAlign w:val="center"/>
          </w:tcPr>
          <w:p>
            <w:pPr>
              <w:spacing w:line="360" w:lineRule="auto"/>
            </w:pPr>
            <w:r>
              <w:rPr>
                <w:rFonts w:hint="eastAsia"/>
              </w:rPr>
              <w:t>术语</w:t>
            </w:r>
          </w:p>
        </w:tc>
        <w:tc>
          <w:tcPr>
            <w:tcW w:w="2400" w:type="dxa"/>
            <w:tcBorders>
              <w:top w:val="single" w:color="auto" w:sz="4" w:space="0"/>
              <w:left w:val="single" w:color="auto" w:sz="4" w:space="0"/>
              <w:bottom w:val="single" w:color="auto" w:sz="4" w:space="0"/>
              <w:right w:val="single" w:color="auto" w:sz="4" w:space="0"/>
            </w:tcBorders>
            <w:shd w:val="clear" w:color="auto" w:fill="D9D9D9"/>
            <w:vAlign w:val="center"/>
          </w:tcPr>
          <w:p>
            <w:pPr>
              <w:spacing w:line="360" w:lineRule="auto"/>
            </w:pPr>
            <w:r>
              <w:rPr>
                <w:rFonts w:hint="eastAsia"/>
              </w:rPr>
              <w:t>英文全称</w:t>
            </w:r>
          </w:p>
        </w:tc>
        <w:tc>
          <w:tcPr>
            <w:tcW w:w="4868" w:type="dxa"/>
            <w:tcBorders>
              <w:top w:val="single" w:color="auto" w:sz="4" w:space="0"/>
              <w:left w:val="single" w:color="auto" w:sz="4" w:space="0"/>
              <w:bottom w:val="single" w:color="auto" w:sz="4" w:space="0"/>
              <w:right w:val="single" w:color="auto" w:sz="4" w:space="0"/>
            </w:tcBorders>
            <w:shd w:val="clear" w:color="auto" w:fill="D9D9D9"/>
          </w:tcPr>
          <w:p>
            <w:pPr>
              <w:spacing w:line="360" w:lineRule="auto"/>
            </w:pPr>
            <w:r>
              <w:rPr>
                <w:rFonts w:hint="eastAsia"/>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1368"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业务建模</w:t>
            </w:r>
          </w:p>
        </w:tc>
        <w:tc>
          <w:tcPr>
            <w:tcW w:w="2400" w:type="dxa"/>
            <w:tcBorders>
              <w:top w:val="single" w:color="auto" w:sz="4" w:space="0"/>
              <w:left w:val="single" w:color="auto" w:sz="4" w:space="0"/>
              <w:bottom w:val="single" w:color="auto" w:sz="4" w:space="0"/>
              <w:right w:val="single" w:color="auto" w:sz="4" w:space="0"/>
            </w:tcBorders>
            <w:vAlign w:val="center"/>
          </w:tcPr>
          <w:p>
            <w:pPr>
              <w:spacing w:line="360" w:lineRule="auto"/>
            </w:pPr>
            <w:r>
              <w:t>Business Model</w:t>
            </w:r>
          </w:p>
        </w:tc>
        <w:tc>
          <w:tcPr>
            <w:tcW w:w="4868" w:type="dxa"/>
            <w:tcBorders>
              <w:top w:val="single" w:color="auto" w:sz="4" w:space="0"/>
              <w:left w:val="single" w:color="auto" w:sz="4" w:space="0"/>
              <w:bottom w:val="single" w:color="auto" w:sz="4" w:space="0"/>
              <w:right w:val="single" w:color="auto" w:sz="4" w:space="0"/>
            </w:tcBorders>
          </w:tcPr>
          <w:p>
            <w:pPr>
              <w:spacing w:line="360" w:lineRule="auto"/>
            </w:pPr>
            <w:r>
              <w:rPr>
                <w:rFonts w:hint="eastAsia"/>
              </w:rPr>
              <w:t>用用例的观点来研究业务。把业务内的各种流程看做是为业务执行者提供价值的方式。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0" w:hRule="atLeast"/>
        </w:trPr>
        <w:tc>
          <w:tcPr>
            <w:tcW w:w="1368"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系统建模</w:t>
            </w:r>
          </w:p>
        </w:tc>
        <w:tc>
          <w:tcPr>
            <w:tcW w:w="2400" w:type="dxa"/>
            <w:tcBorders>
              <w:top w:val="single" w:color="auto" w:sz="4" w:space="0"/>
              <w:left w:val="single" w:color="auto" w:sz="4" w:space="0"/>
              <w:bottom w:val="single" w:color="auto" w:sz="4" w:space="0"/>
              <w:right w:val="single" w:color="auto" w:sz="4" w:space="0"/>
            </w:tcBorders>
            <w:vAlign w:val="center"/>
          </w:tcPr>
          <w:p>
            <w:pPr>
              <w:spacing w:line="360" w:lineRule="auto"/>
            </w:pPr>
            <w:r>
              <w:t>System Model</w:t>
            </w:r>
          </w:p>
        </w:tc>
        <w:tc>
          <w:tcPr>
            <w:tcW w:w="4868" w:type="dxa"/>
            <w:tcBorders>
              <w:top w:val="single" w:color="auto" w:sz="4" w:space="0"/>
              <w:left w:val="single" w:color="auto" w:sz="4" w:space="0"/>
              <w:bottom w:val="single" w:color="auto" w:sz="4" w:space="0"/>
              <w:right w:val="single" w:color="auto" w:sz="4" w:space="0"/>
            </w:tcBorders>
          </w:tcPr>
          <w:p>
            <w:pPr>
              <w:spacing w:line="360" w:lineRule="auto"/>
            </w:pPr>
            <w:r>
              <w:rPr>
                <w:rFonts w:hint="eastAsia"/>
              </w:rPr>
              <w:t>通过在定义系统的方式中引入一定程度的形式化，建模支持分析与设计流程。不是仅依赖文本与图形，建模允许采用可视化图符来定义系统并结构化地描述系统。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trPr>
        <w:tc>
          <w:tcPr>
            <w:tcW w:w="1368"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用户需求</w:t>
            </w:r>
          </w:p>
        </w:tc>
        <w:tc>
          <w:tcPr>
            <w:tcW w:w="2400" w:type="dxa"/>
            <w:tcBorders>
              <w:top w:val="single" w:color="auto" w:sz="4" w:space="0"/>
              <w:left w:val="single" w:color="auto" w:sz="4" w:space="0"/>
              <w:bottom w:val="single" w:color="auto" w:sz="4" w:space="0"/>
              <w:right w:val="single" w:color="auto" w:sz="4" w:space="0"/>
            </w:tcBorders>
            <w:vAlign w:val="center"/>
          </w:tcPr>
          <w:p>
            <w:pPr>
              <w:spacing w:line="360" w:lineRule="auto"/>
            </w:pPr>
            <w:r>
              <w:t>Custom Requirement</w:t>
            </w:r>
          </w:p>
        </w:tc>
        <w:tc>
          <w:tcPr>
            <w:tcW w:w="4868"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用户需求用非技术的术语和用户熟悉的业务术语描述系统应支持的各项用户任务。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trPr>
        <w:tc>
          <w:tcPr>
            <w:tcW w:w="1368"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产品需求</w:t>
            </w:r>
          </w:p>
        </w:tc>
        <w:tc>
          <w:tcPr>
            <w:tcW w:w="2400" w:type="dxa"/>
            <w:tcBorders>
              <w:top w:val="single" w:color="auto" w:sz="4" w:space="0"/>
              <w:left w:val="single" w:color="auto" w:sz="4" w:space="0"/>
              <w:bottom w:val="single" w:color="auto" w:sz="4" w:space="0"/>
              <w:right w:val="single" w:color="auto" w:sz="4" w:space="0"/>
            </w:tcBorders>
            <w:vAlign w:val="center"/>
          </w:tcPr>
          <w:p>
            <w:pPr>
              <w:spacing w:line="360" w:lineRule="auto"/>
            </w:pPr>
            <w:r>
              <w:t>Product Requirement</w:t>
            </w:r>
          </w:p>
        </w:tc>
        <w:tc>
          <w:tcPr>
            <w:tcW w:w="4868"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产品需求用技术术语把用户需求翻译成产品应提供的功能。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trPr>
        <w:tc>
          <w:tcPr>
            <w:tcW w:w="1368"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需求开发</w:t>
            </w:r>
          </w:p>
        </w:tc>
        <w:tc>
          <w:tcPr>
            <w:tcW w:w="2400" w:type="dxa"/>
            <w:tcBorders>
              <w:top w:val="single" w:color="auto" w:sz="4" w:space="0"/>
              <w:left w:val="single" w:color="auto" w:sz="4" w:space="0"/>
              <w:bottom w:val="single" w:color="auto" w:sz="4" w:space="0"/>
              <w:right w:val="single" w:color="auto" w:sz="4" w:space="0"/>
            </w:tcBorders>
            <w:vAlign w:val="center"/>
          </w:tcPr>
          <w:p>
            <w:pPr>
              <w:spacing w:line="360" w:lineRule="auto"/>
            </w:pPr>
            <w:r>
              <w:t>Requirement Develop</w:t>
            </w:r>
          </w:p>
        </w:tc>
        <w:tc>
          <w:tcPr>
            <w:tcW w:w="4868"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需求开发的目的是产生和分析顾客需求、产品需求和产品构件需求。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trPr>
        <w:tc>
          <w:tcPr>
            <w:tcW w:w="1368"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需求追踪</w:t>
            </w:r>
          </w:p>
        </w:tc>
        <w:tc>
          <w:tcPr>
            <w:tcW w:w="2400" w:type="dxa"/>
            <w:tcBorders>
              <w:top w:val="single" w:color="auto" w:sz="4" w:space="0"/>
              <w:left w:val="single" w:color="auto" w:sz="4" w:space="0"/>
              <w:bottom w:val="single" w:color="auto" w:sz="4" w:space="0"/>
              <w:right w:val="single" w:color="auto" w:sz="4" w:space="0"/>
            </w:tcBorders>
            <w:vAlign w:val="center"/>
          </w:tcPr>
          <w:p>
            <w:pPr>
              <w:spacing w:line="360" w:lineRule="auto"/>
            </w:pPr>
            <w:r>
              <w:t>Requirement Trace</w:t>
            </w:r>
          </w:p>
        </w:tc>
        <w:tc>
          <w:tcPr>
            <w:tcW w:w="4868"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从某一个需求到其他需求和其他关联的项目元素的链接。</w:t>
            </w:r>
          </w:p>
        </w:tc>
      </w:tr>
    </w:tbl>
    <w:p>
      <w:pPr>
        <w:spacing w:line="360" w:lineRule="auto"/>
      </w:pPr>
    </w:p>
    <w:p>
      <w:pPr>
        <w:spacing w:line="360" w:lineRule="auto"/>
      </w:pPr>
      <w:r>
        <w:rPr>
          <w:rFonts w:hint="eastAsia"/>
        </w:rPr>
        <w:t>需求管理涉及到角色和职责如下图：</w:t>
      </w:r>
    </w:p>
    <w:tbl>
      <w:tblPr>
        <w:tblStyle w:val="34"/>
        <w:tblW w:w="87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5245"/>
        <w:gridCol w:w="1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tblHeader/>
        </w:trPr>
        <w:tc>
          <w:tcPr>
            <w:tcW w:w="1951" w:type="dxa"/>
            <w:tcBorders>
              <w:top w:val="single" w:color="auto" w:sz="4" w:space="0"/>
              <w:left w:val="single" w:color="auto" w:sz="4" w:space="0"/>
              <w:bottom w:val="single" w:color="auto" w:sz="4" w:space="0"/>
              <w:right w:val="single" w:color="auto" w:sz="4" w:space="0"/>
            </w:tcBorders>
            <w:shd w:val="clear" w:color="auto" w:fill="D9D9D9"/>
            <w:vAlign w:val="center"/>
          </w:tcPr>
          <w:p>
            <w:pPr>
              <w:spacing w:line="360" w:lineRule="auto"/>
            </w:pPr>
            <w:r>
              <w:rPr>
                <w:rFonts w:hint="eastAsia"/>
              </w:rPr>
              <w:t>角色名称</w:t>
            </w:r>
          </w:p>
        </w:tc>
        <w:tc>
          <w:tcPr>
            <w:tcW w:w="5245" w:type="dxa"/>
            <w:tcBorders>
              <w:top w:val="single" w:color="auto" w:sz="4" w:space="0"/>
              <w:left w:val="single" w:color="auto" w:sz="4" w:space="0"/>
              <w:bottom w:val="single" w:color="auto" w:sz="4" w:space="0"/>
              <w:right w:val="single" w:color="auto" w:sz="4" w:space="0"/>
            </w:tcBorders>
            <w:shd w:val="clear" w:color="auto" w:fill="D9D9D9"/>
            <w:vAlign w:val="center"/>
          </w:tcPr>
          <w:p>
            <w:pPr>
              <w:spacing w:line="360" w:lineRule="auto"/>
            </w:pPr>
            <w:r>
              <w:rPr>
                <w:rFonts w:hint="eastAsia"/>
              </w:rPr>
              <w:t>角色职责</w:t>
            </w:r>
          </w:p>
        </w:tc>
        <w:tc>
          <w:tcPr>
            <w:tcW w:w="1546" w:type="dxa"/>
            <w:tcBorders>
              <w:top w:val="single" w:color="auto" w:sz="4" w:space="0"/>
              <w:left w:val="single" w:color="auto" w:sz="4" w:space="0"/>
              <w:bottom w:val="single" w:color="auto" w:sz="4" w:space="0"/>
              <w:right w:val="single" w:color="auto" w:sz="4" w:space="0"/>
            </w:tcBorders>
            <w:shd w:val="clear" w:color="auto" w:fill="D9D9D9"/>
            <w:vAlign w:val="center"/>
          </w:tcPr>
          <w:p>
            <w:pPr>
              <w:spacing w:line="360" w:lineRule="auto"/>
            </w:pPr>
            <w:r>
              <w:rPr>
                <w:rFonts w:hint="eastAsia"/>
              </w:rPr>
              <w:t>隶属组别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trPr>
        <w:tc>
          <w:tcPr>
            <w:tcW w:w="1951"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项目经理</w:t>
            </w:r>
          </w:p>
        </w:tc>
        <w:tc>
          <w:tcPr>
            <w:tcW w:w="5245"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负责与用户沟通，负责与项目相关方沟通，获得他们对项目计划的承诺</w:t>
            </w:r>
          </w:p>
          <w:p>
            <w:pPr>
              <w:spacing w:line="360" w:lineRule="auto"/>
            </w:pPr>
            <w:r>
              <w:rPr>
                <w:rFonts w:hint="eastAsia"/>
              </w:rPr>
              <w:t>负责处理置于管理和控制下的配置项的变更请求</w:t>
            </w:r>
          </w:p>
          <w:p>
            <w:pPr>
              <w:spacing w:line="360" w:lineRule="auto"/>
            </w:pPr>
            <w:r>
              <w:rPr>
                <w:rFonts w:hint="eastAsia"/>
              </w:rPr>
              <w:t>确定需求分析方法</w:t>
            </w:r>
          </w:p>
          <w:p>
            <w:pPr>
              <w:spacing w:line="360" w:lineRule="auto"/>
            </w:pPr>
            <w:r>
              <w:rPr>
                <w:rFonts w:hint="eastAsia"/>
              </w:rPr>
              <w:t>负责需求管理和需求开发过程</w:t>
            </w:r>
          </w:p>
        </w:tc>
        <w:tc>
          <w:tcPr>
            <w:tcW w:w="1546" w:type="dxa"/>
            <w:tcBorders>
              <w:top w:val="single" w:color="auto" w:sz="4" w:space="0"/>
              <w:left w:val="single" w:color="auto" w:sz="4" w:space="0"/>
              <w:bottom w:val="single" w:color="auto" w:sz="4" w:space="0"/>
              <w:right w:val="single" w:color="auto" w:sz="4" w:space="0"/>
            </w:tcBorders>
          </w:tcPr>
          <w:p>
            <w:pPr>
              <w:spacing w:line="360" w:lineRule="auto"/>
            </w:pPr>
            <w:r>
              <w:rPr>
                <w:rFonts w:hint="eastAsia"/>
              </w:rPr>
              <w:t>联合项目管理组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51"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配置控制委员会</w:t>
            </w:r>
          </w:p>
        </w:tc>
        <w:tc>
          <w:tcPr>
            <w:tcW w:w="5245"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对变更请求做出决定</w:t>
            </w:r>
          </w:p>
        </w:tc>
        <w:tc>
          <w:tcPr>
            <w:tcW w:w="1546" w:type="dxa"/>
            <w:tcBorders>
              <w:top w:val="single" w:color="auto" w:sz="4" w:space="0"/>
              <w:left w:val="single" w:color="auto" w:sz="4" w:space="0"/>
              <w:bottom w:val="single" w:color="auto" w:sz="4" w:space="0"/>
              <w:right w:val="single" w:color="auto" w:sz="4" w:space="0"/>
            </w:tcBorders>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8" w:hRule="atLeast"/>
        </w:trPr>
        <w:tc>
          <w:tcPr>
            <w:tcW w:w="1951"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业务分析员</w:t>
            </w:r>
          </w:p>
        </w:tc>
        <w:tc>
          <w:tcPr>
            <w:tcW w:w="5245"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编写用户需求说明书</w:t>
            </w:r>
          </w:p>
          <w:p>
            <w:pPr>
              <w:spacing w:line="360" w:lineRule="auto"/>
            </w:pPr>
            <w:r>
              <w:rPr>
                <w:rFonts w:hint="eastAsia"/>
              </w:rPr>
              <w:t>业务建模</w:t>
            </w:r>
          </w:p>
          <w:p>
            <w:pPr>
              <w:spacing w:line="360" w:lineRule="auto"/>
            </w:pPr>
            <w:r>
              <w:rPr>
                <w:rFonts w:hint="eastAsia"/>
              </w:rPr>
              <w:t>维护需求的一致性</w:t>
            </w:r>
          </w:p>
        </w:tc>
        <w:tc>
          <w:tcPr>
            <w:tcW w:w="1546" w:type="dxa"/>
            <w:tcBorders>
              <w:top w:val="single" w:color="auto" w:sz="4" w:space="0"/>
              <w:left w:val="single" w:color="auto" w:sz="4" w:space="0"/>
              <w:bottom w:val="single" w:color="auto" w:sz="4" w:space="0"/>
              <w:right w:val="single" w:color="auto" w:sz="4" w:space="0"/>
            </w:tcBorders>
          </w:tcPr>
          <w:p>
            <w:pPr>
              <w:spacing w:line="360" w:lineRule="auto"/>
            </w:pPr>
            <w:r>
              <w:rPr>
                <w:rFonts w:hint="eastAsia"/>
              </w:rPr>
              <w:t>架构设计组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trPr>
        <w:tc>
          <w:tcPr>
            <w:tcW w:w="1951"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系统分析员</w:t>
            </w:r>
          </w:p>
        </w:tc>
        <w:tc>
          <w:tcPr>
            <w:tcW w:w="5245"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编写产品需求说明书</w:t>
            </w:r>
          </w:p>
          <w:p>
            <w:pPr>
              <w:spacing w:line="360" w:lineRule="auto"/>
            </w:pPr>
            <w:r>
              <w:rPr>
                <w:rFonts w:hint="eastAsia"/>
              </w:rPr>
              <w:t>系统建模</w:t>
            </w:r>
          </w:p>
          <w:p>
            <w:pPr>
              <w:spacing w:line="360" w:lineRule="auto"/>
            </w:pPr>
            <w:r>
              <w:rPr>
                <w:rFonts w:hint="eastAsia"/>
              </w:rPr>
              <w:t>维护需求的一致性</w:t>
            </w:r>
          </w:p>
        </w:tc>
        <w:tc>
          <w:tcPr>
            <w:tcW w:w="1546" w:type="dxa"/>
            <w:tcBorders>
              <w:top w:val="single" w:color="auto" w:sz="4" w:space="0"/>
              <w:left w:val="single" w:color="auto" w:sz="4" w:space="0"/>
              <w:bottom w:val="single" w:color="auto" w:sz="4" w:space="0"/>
              <w:right w:val="single" w:color="auto" w:sz="4" w:space="0"/>
            </w:tcBorders>
          </w:tcPr>
          <w:p>
            <w:pPr>
              <w:spacing w:line="360" w:lineRule="auto"/>
            </w:pPr>
            <w:r>
              <w:rPr>
                <w:rFonts w:hint="eastAsia"/>
              </w:rPr>
              <w:t>架构设计组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1951"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开发人员</w:t>
            </w:r>
          </w:p>
        </w:tc>
        <w:tc>
          <w:tcPr>
            <w:tcW w:w="5245"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确认需求的可行性</w:t>
            </w:r>
          </w:p>
        </w:tc>
        <w:tc>
          <w:tcPr>
            <w:tcW w:w="1546" w:type="dxa"/>
            <w:tcBorders>
              <w:top w:val="single" w:color="auto" w:sz="4" w:space="0"/>
              <w:left w:val="single" w:color="auto" w:sz="4" w:space="0"/>
              <w:bottom w:val="single" w:color="auto" w:sz="4" w:space="0"/>
              <w:right w:val="single" w:color="auto" w:sz="4" w:space="0"/>
            </w:tcBorders>
          </w:tcPr>
          <w:p>
            <w:pPr>
              <w:spacing w:line="360" w:lineRule="auto"/>
            </w:pPr>
            <w:r>
              <w:rPr>
                <w:rFonts w:hint="eastAsia"/>
              </w:rPr>
              <w:t>软件开发组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1" w:hRule="atLeast"/>
        </w:trPr>
        <w:tc>
          <w:tcPr>
            <w:tcW w:w="1951"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测试设计人员</w:t>
            </w:r>
          </w:p>
        </w:tc>
        <w:tc>
          <w:tcPr>
            <w:tcW w:w="5245"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评审用户需求和产品需求</w:t>
            </w:r>
          </w:p>
          <w:p>
            <w:pPr>
              <w:spacing w:line="360" w:lineRule="auto"/>
            </w:pPr>
            <w:r>
              <w:rPr>
                <w:rFonts w:hint="eastAsia"/>
              </w:rPr>
              <w:t>维护需求的一致性</w:t>
            </w:r>
          </w:p>
        </w:tc>
        <w:tc>
          <w:tcPr>
            <w:tcW w:w="1546" w:type="dxa"/>
            <w:tcBorders>
              <w:top w:val="single" w:color="auto" w:sz="4" w:space="0"/>
              <w:left w:val="single" w:color="auto" w:sz="4" w:space="0"/>
              <w:bottom w:val="single" w:color="auto" w:sz="4" w:space="0"/>
              <w:right w:val="single" w:color="auto" w:sz="4" w:space="0"/>
            </w:tcBorders>
          </w:tcPr>
          <w:p>
            <w:pPr>
              <w:spacing w:line="360" w:lineRule="auto"/>
            </w:pPr>
            <w:r>
              <w:rPr>
                <w:rFonts w:hint="eastAsia"/>
              </w:rPr>
              <w:t>测试组</w:t>
            </w:r>
          </w:p>
        </w:tc>
      </w:tr>
    </w:tbl>
    <w:p>
      <w:pPr>
        <w:spacing w:line="360" w:lineRule="auto"/>
        <w:ind w:firstLine="480" w:firstLineChars="200"/>
      </w:pPr>
      <w:r>
        <w:rPr>
          <w:rFonts w:hint="eastAsia"/>
          <w:sz w:val="24"/>
          <w:szCs w:val="24"/>
          <w:lang w:eastAsia="zh-CN"/>
        </w:rPr>
        <w:t>**信息</w:t>
      </w:r>
      <w:r>
        <w:rPr>
          <w:rFonts w:hint="eastAsia"/>
          <w:sz w:val="24"/>
          <w:szCs w:val="24"/>
        </w:rPr>
        <w:t>对于项</w:t>
      </w:r>
      <w:r>
        <w:rPr>
          <w:rFonts w:hint="eastAsia" w:asciiTheme="minorEastAsia" w:hAnsiTheme="minorEastAsia"/>
          <w:sz w:val="24"/>
          <w:szCs w:val="24"/>
        </w:rPr>
        <w:t>目的需求管理工作历来高度重视，制定了严格的执行标准和行为规范，将需求管理工作细化至人员角色的操作，需求管理工作流程如下图：</w:t>
      </w:r>
    </w:p>
    <w:p>
      <w:pPr>
        <w:spacing w:line="360" w:lineRule="auto"/>
      </w:pPr>
      <w:r>
        <w:drawing>
          <wp:inline distT="0" distB="0" distL="0" distR="0">
            <wp:extent cx="5280660" cy="7901940"/>
            <wp:effectExtent l="0" t="0" r="0" b="3810"/>
            <wp:docPr id="4366" name="图片 4366" descr="reqm_rd_l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 name="图片 4366" descr="reqm_rd_lyx"/>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80660" cy="7901940"/>
                    </a:xfrm>
                    <a:prstGeom prst="rect">
                      <a:avLst/>
                    </a:prstGeom>
                    <a:noFill/>
                    <a:ln>
                      <a:noFill/>
                    </a:ln>
                  </pic:spPr>
                </pic:pic>
              </a:graphicData>
            </a:graphic>
          </wp:inline>
        </w:drawing>
      </w:r>
    </w:p>
    <w:p>
      <w:pPr>
        <w:spacing w:line="360" w:lineRule="auto"/>
        <w:jc w:val="center"/>
      </w:pPr>
      <w:r>
        <w:rPr>
          <w:rFonts w:hint="eastAsia"/>
        </w:rPr>
        <w:t>需求管理流程</w:t>
      </w:r>
    </w:p>
    <w:p>
      <w:pPr>
        <w:spacing w:line="360" w:lineRule="auto"/>
      </w:pPr>
    </w:p>
    <w:p>
      <w:pPr>
        <w:pStyle w:val="4"/>
        <w:numPr>
          <w:ilvl w:val="2"/>
          <w:numId w:val="3"/>
        </w:numPr>
        <w:spacing w:before="0" w:after="0" w:line="360" w:lineRule="auto"/>
        <w:ind w:left="0" w:leftChars="0" w:firstLine="402" w:firstLineChars="0"/>
      </w:pPr>
      <w:bookmarkStart w:id="359" w:name="_Toc29991"/>
      <w:r>
        <w:rPr>
          <w:rFonts w:hint="eastAsia"/>
        </w:rPr>
        <w:t>需求调研</w:t>
      </w:r>
      <w:bookmarkEnd w:id="359"/>
    </w:p>
    <w:p>
      <w:pPr>
        <w:spacing w:line="360" w:lineRule="auto"/>
        <w:ind w:firstLine="480" w:firstLineChars="200"/>
        <w:rPr>
          <w:sz w:val="24"/>
          <w:szCs w:val="24"/>
        </w:rPr>
      </w:pPr>
      <w:r>
        <w:rPr>
          <w:rFonts w:hint="eastAsia"/>
          <w:sz w:val="24"/>
          <w:szCs w:val="24"/>
        </w:rPr>
        <w:t>需求调研对于一个应用软件开发来说，是一个系统开发的开始阶段，它的输出是设计阶段的输入，需求调研的质量对应用软件极其重要，在一定程度上决定了一个软件的交付结果。怎样从客户中听取用户需求、分析用户需求就成为调研人员最重要的任务。</w:t>
      </w:r>
    </w:p>
    <w:p>
      <w:pPr>
        <w:spacing w:line="360" w:lineRule="auto"/>
        <w:ind w:firstLine="480" w:firstLineChars="200"/>
        <w:rPr>
          <w:sz w:val="24"/>
          <w:szCs w:val="24"/>
        </w:rPr>
      </w:pPr>
      <w:r>
        <w:rPr>
          <w:rFonts w:hint="eastAsia"/>
          <w:sz w:val="24"/>
          <w:szCs w:val="24"/>
        </w:rPr>
        <w:t>项目任务书下达给项目经理的时候，项目经理及调研人员应该对合同中软件范围认真审阅，虽然合同中的只大概对写了软件需求范围，但这些信息极为重要，它是调研计划制定的一个依据。</w:t>
      </w:r>
    </w:p>
    <w:p>
      <w:pPr>
        <w:spacing w:line="360" w:lineRule="auto"/>
        <w:ind w:firstLine="480" w:firstLineChars="200"/>
        <w:rPr>
          <w:sz w:val="24"/>
          <w:szCs w:val="24"/>
        </w:rPr>
      </w:pPr>
      <w:r>
        <w:rPr>
          <w:rFonts w:hint="eastAsia"/>
          <w:sz w:val="24"/>
          <w:szCs w:val="24"/>
        </w:rPr>
        <w:t>调研计划制定，项目经理及调研人员对软件范围进行讨论，对调研活动序列进行划分，可以采用自顶向下的方法把活动细分，同时对各活动的周期进行评估，对各活动的资源进行分配，制定计划时最好与以前的经验及类似的项目关联起来，使计划制定的尽量准确些。在制定计划时考虑到相应的分析，使分配的时间及资源尽量合理。编制后的计划在公司评审通过后，及时提交给客户相关部门，一般为信息中心，让客户对我们的调研计划有充分的了解，同时让他们在相应的时间协调相关的部门的人员参与我们的调研工作。</w:t>
      </w:r>
    </w:p>
    <w:p>
      <w:pPr>
        <w:spacing w:line="360" w:lineRule="auto"/>
        <w:ind w:firstLine="480" w:firstLineChars="200"/>
        <w:rPr>
          <w:sz w:val="24"/>
          <w:szCs w:val="24"/>
        </w:rPr>
      </w:pPr>
      <w:r>
        <w:rPr>
          <w:rFonts w:hint="eastAsia"/>
          <w:sz w:val="24"/>
          <w:szCs w:val="24"/>
        </w:rPr>
        <w:t>一、调研步骤</w:t>
      </w:r>
    </w:p>
    <w:p>
      <w:pPr>
        <w:spacing w:line="360" w:lineRule="auto"/>
        <w:ind w:firstLine="480" w:firstLineChars="200"/>
        <w:rPr>
          <w:sz w:val="24"/>
          <w:szCs w:val="24"/>
        </w:rPr>
      </w:pPr>
      <w:r>
        <w:rPr>
          <w:rFonts w:hint="eastAsia"/>
          <w:sz w:val="24"/>
          <w:szCs w:val="24"/>
        </w:rPr>
        <w:t>（一）调研用户领域的组织结构、岗位设置、职责定义，从功能上区分有多少个子系统，划分系统的大致范围，明确系统的目标；</w:t>
      </w:r>
    </w:p>
    <w:p>
      <w:pPr>
        <w:spacing w:line="360" w:lineRule="auto"/>
        <w:ind w:firstLine="480" w:firstLineChars="200"/>
        <w:rPr>
          <w:sz w:val="24"/>
          <w:szCs w:val="24"/>
        </w:rPr>
      </w:pPr>
      <w:r>
        <w:rPr>
          <w:rFonts w:hint="eastAsia"/>
          <w:sz w:val="24"/>
          <w:szCs w:val="24"/>
        </w:rPr>
        <w:t>（二）调研每个子系统所需的工作流程、功能与处理规则，收集单据、报表、帐本等原始资料，分析物流、资金流、信息流三者的关系，以及如何用数据流来表示这三者的关系；</w:t>
      </w:r>
    </w:p>
    <w:p>
      <w:pPr>
        <w:spacing w:line="360" w:lineRule="auto"/>
        <w:ind w:firstLine="480" w:firstLineChars="200"/>
        <w:rPr>
          <w:sz w:val="24"/>
          <w:szCs w:val="24"/>
        </w:rPr>
      </w:pPr>
      <w:r>
        <w:rPr>
          <w:rFonts w:hint="eastAsia"/>
          <w:sz w:val="24"/>
          <w:szCs w:val="24"/>
        </w:rPr>
        <w:t>（三）对调研的内容事先准备，针对不同管理层次的用户询问不同的问题，列出问题清单。将操作层、管理层、决策层的需求既联系又区分开来，形成一个金字塔，使下层满足上层的需求；</w:t>
      </w:r>
    </w:p>
    <w:p>
      <w:pPr>
        <w:spacing w:line="360" w:lineRule="auto"/>
        <w:ind w:firstLine="480" w:firstLineChars="200"/>
        <w:rPr>
          <w:sz w:val="24"/>
          <w:szCs w:val="24"/>
        </w:rPr>
      </w:pPr>
      <w:r>
        <w:rPr>
          <w:rFonts w:hint="eastAsia"/>
          <w:sz w:val="24"/>
          <w:szCs w:val="24"/>
        </w:rPr>
        <w:t>（四）对与用户沟通的情况及时总结归纳，整理调研结果，找出新的疑点，初步构成需求基线；</w:t>
      </w:r>
    </w:p>
    <w:p>
      <w:pPr>
        <w:spacing w:line="360" w:lineRule="auto"/>
        <w:ind w:firstLine="480" w:firstLineChars="200"/>
        <w:rPr>
          <w:sz w:val="24"/>
          <w:szCs w:val="24"/>
        </w:rPr>
      </w:pPr>
      <w:r>
        <w:rPr>
          <w:rFonts w:hint="eastAsia"/>
          <w:sz w:val="24"/>
          <w:szCs w:val="24"/>
        </w:rPr>
        <w:t>（五）若基线符合要求，则需求分析完毕。反之返回到第一步或第二或第三步</w:t>
      </w:r>
      <w:r>
        <w:rPr>
          <w:sz w:val="24"/>
          <w:szCs w:val="24"/>
        </w:rPr>
        <w:t>,</w:t>
      </w:r>
      <w:r>
        <w:rPr>
          <w:rFonts w:hint="eastAsia"/>
          <w:sz w:val="24"/>
          <w:szCs w:val="24"/>
        </w:rPr>
        <w:t>如此循环多次，直到需要分析使双方满意为。</w:t>
      </w:r>
    </w:p>
    <w:p>
      <w:pPr>
        <w:spacing w:line="360" w:lineRule="auto"/>
        <w:ind w:firstLine="480" w:firstLineChars="200"/>
        <w:rPr>
          <w:sz w:val="24"/>
          <w:szCs w:val="24"/>
        </w:rPr>
      </w:pPr>
      <w:r>
        <w:rPr>
          <w:rFonts w:hint="eastAsia"/>
          <w:sz w:val="24"/>
          <w:szCs w:val="24"/>
        </w:rPr>
        <w:t>二、调研重点</w:t>
      </w:r>
    </w:p>
    <w:p>
      <w:pPr>
        <w:spacing w:line="360" w:lineRule="auto"/>
        <w:ind w:firstLine="480" w:firstLineChars="200"/>
        <w:rPr>
          <w:sz w:val="24"/>
          <w:szCs w:val="24"/>
        </w:rPr>
      </w:pPr>
      <w:r>
        <w:rPr>
          <w:rFonts w:hint="eastAsia"/>
          <w:sz w:val="24"/>
          <w:szCs w:val="24"/>
        </w:rPr>
        <w:t>（一）平均频度</w:t>
      </w:r>
    </w:p>
    <w:p>
      <w:pPr>
        <w:spacing w:line="360" w:lineRule="auto"/>
        <w:ind w:firstLine="480" w:firstLineChars="200"/>
        <w:rPr>
          <w:sz w:val="24"/>
          <w:szCs w:val="24"/>
        </w:rPr>
      </w:pPr>
      <w:r>
        <w:rPr>
          <w:rFonts w:hint="eastAsia"/>
          <w:sz w:val="24"/>
          <w:szCs w:val="24"/>
        </w:rPr>
        <w:t>业务发生的频繁程度，即在单位时间</w:t>
      </w:r>
      <w:r>
        <w:rPr>
          <w:sz w:val="24"/>
          <w:szCs w:val="24"/>
        </w:rPr>
        <w:t>(</w:t>
      </w:r>
      <w:r>
        <w:rPr>
          <w:rFonts w:hint="eastAsia"/>
          <w:sz w:val="24"/>
          <w:szCs w:val="24"/>
        </w:rPr>
        <w:t>分钟、天、旬、月、年等</w:t>
      </w:r>
      <w:r>
        <w:rPr>
          <w:sz w:val="24"/>
          <w:szCs w:val="24"/>
        </w:rPr>
        <w:t>)</w:t>
      </w:r>
      <w:r>
        <w:rPr>
          <w:rFonts w:hint="eastAsia"/>
          <w:sz w:val="24"/>
          <w:szCs w:val="24"/>
        </w:rPr>
        <w:t>内发生的次数。这个数字可以是一个平均值或统计值。频度越高，数据量越大，对响应时间、易操作性等要求就越高，在数据存储时对大频度的业务或单据也要进行充分的考虑。</w:t>
      </w:r>
    </w:p>
    <w:p>
      <w:pPr>
        <w:spacing w:line="360" w:lineRule="auto"/>
        <w:ind w:firstLine="480" w:firstLineChars="200"/>
        <w:rPr>
          <w:sz w:val="24"/>
          <w:szCs w:val="24"/>
        </w:rPr>
      </w:pPr>
      <w:r>
        <w:rPr>
          <w:rFonts w:hint="eastAsia"/>
          <w:sz w:val="24"/>
          <w:szCs w:val="24"/>
        </w:rPr>
        <w:t>（二）高峰期的频度</w:t>
      </w:r>
    </w:p>
    <w:p>
      <w:pPr>
        <w:spacing w:line="360" w:lineRule="auto"/>
        <w:ind w:firstLine="480" w:firstLineChars="200"/>
        <w:rPr>
          <w:sz w:val="24"/>
          <w:szCs w:val="24"/>
        </w:rPr>
      </w:pPr>
      <w:r>
        <w:rPr>
          <w:rFonts w:hint="eastAsia"/>
          <w:sz w:val="24"/>
          <w:szCs w:val="24"/>
        </w:rPr>
        <w:t>必须保证系统在高峰期的响应时间</w:t>
      </w:r>
      <w:r>
        <w:rPr>
          <w:sz w:val="24"/>
          <w:szCs w:val="24"/>
        </w:rPr>
        <w:t xml:space="preserve">, </w:t>
      </w:r>
      <w:r>
        <w:rPr>
          <w:rFonts w:hint="eastAsia"/>
          <w:sz w:val="24"/>
          <w:szCs w:val="24"/>
        </w:rPr>
        <w:t>对系统进行测试时要模拟高峰期的业务频度。</w:t>
      </w:r>
    </w:p>
    <w:p>
      <w:pPr>
        <w:spacing w:line="360" w:lineRule="auto"/>
        <w:ind w:firstLine="480" w:firstLineChars="200"/>
        <w:rPr>
          <w:sz w:val="24"/>
          <w:szCs w:val="24"/>
        </w:rPr>
      </w:pPr>
      <w:r>
        <w:rPr>
          <w:rFonts w:hint="eastAsia"/>
          <w:sz w:val="24"/>
          <w:szCs w:val="24"/>
        </w:rPr>
        <w:t>（三）单据上有哪些数据每项数据的精度，计算生成方法，取值范围或限定</w:t>
      </w:r>
    </w:p>
    <w:p>
      <w:pPr>
        <w:spacing w:line="360" w:lineRule="auto"/>
        <w:ind w:firstLine="480" w:firstLineChars="200"/>
        <w:rPr>
          <w:sz w:val="24"/>
          <w:szCs w:val="24"/>
        </w:rPr>
      </w:pPr>
      <w:r>
        <w:rPr>
          <w:rFonts w:hint="eastAsia"/>
          <w:sz w:val="24"/>
          <w:szCs w:val="24"/>
        </w:rPr>
        <w:t>单据上的内容也即单据的属性，它是进行数据结构设计的最基本的依据，数据的精度是定义数据库中字段长度的依据，计算生成方法是设计算法的依据，取值范围与计算生成方法是数据完整性检测的依据。</w:t>
      </w:r>
    </w:p>
    <w:p>
      <w:pPr>
        <w:spacing w:line="360" w:lineRule="auto"/>
        <w:ind w:firstLine="480" w:firstLineChars="200"/>
        <w:rPr>
          <w:sz w:val="24"/>
          <w:szCs w:val="24"/>
        </w:rPr>
      </w:pPr>
      <w:r>
        <w:rPr>
          <w:rFonts w:hint="eastAsia"/>
          <w:sz w:val="24"/>
          <w:szCs w:val="24"/>
        </w:rPr>
        <w:t>（四）生成每张单据或报表的时间</w:t>
      </w:r>
    </w:p>
    <w:p>
      <w:pPr>
        <w:spacing w:line="360" w:lineRule="auto"/>
        <w:ind w:firstLine="480" w:firstLineChars="200"/>
        <w:rPr>
          <w:sz w:val="24"/>
          <w:szCs w:val="24"/>
        </w:rPr>
      </w:pPr>
      <w:r>
        <w:rPr>
          <w:rFonts w:hint="eastAsia"/>
          <w:sz w:val="24"/>
          <w:szCs w:val="24"/>
        </w:rPr>
        <w:t>减轻人员的工作量是采用新系统的一个目的，花费时间最多，处理方法最复杂的地方往往是系统最关键的地方，也是用户将来验收时最关心的地方。实际上有很多报表由于工作量相当大，用户没有足够的人力与时间来进行处理，这时他便想到了计算机。</w:t>
      </w:r>
    </w:p>
    <w:p>
      <w:pPr>
        <w:spacing w:line="360" w:lineRule="auto"/>
        <w:ind w:firstLine="480" w:firstLineChars="200"/>
        <w:rPr>
          <w:sz w:val="24"/>
          <w:szCs w:val="24"/>
        </w:rPr>
      </w:pPr>
      <w:r>
        <w:rPr>
          <w:rFonts w:hint="eastAsia"/>
          <w:sz w:val="24"/>
          <w:szCs w:val="24"/>
        </w:rPr>
        <w:t>（五）单据或报表的来源，单据联数，每联用途，送交单位，送交时间</w:t>
      </w:r>
    </w:p>
    <w:p>
      <w:pPr>
        <w:spacing w:line="360" w:lineRule="auto"/>
        <w:ind w:firstLine="480" w:firstLineChars="200"/>
        <w:rPr>
          <w:sz w:val="24"/>
          <w:szCs w:val="24"/>
        </w:rPr>
      </w:pPr>
      <w:r>
        <w:rPr>
          <w:rFonts w:hint="eastAsia"/>
          <w:sz w:val="24"/>
          <w:szCs w:val="24"/>
        </w:rPr>
        <w:t>对来源与去向的追踪可以调查出各个业务，各个单据，各个报表，各个部门之间的联系。</w:t>
      </w:r>
    </w:p>
    <w:p>
      <w:pPr>
        <w:spacing w:line="360" w:lineRule="auto"/>
        <w:ind w:firstLine="480" w:firstLineChars="200"/>
        <w:rPr>
          <w:sz w:val="24"/>
          <w:szCs w:val="24"/>
        </w:rPr>
      </w:pPr>
      <w:r>
        <w:rPr>
          <w:rFonts w:hint="eastAsia"/>
          <w:sz w:val="24"/>
          <w:szCs w:val="24"/>
        </w:rPr>
        <w:t>（六）有哪些特殊情况，在某个作业环节出错时通过何种途径进行弥补</w:t>
      </w:r>
    </w:p>
    <w:p>
      <w:pPr>
        <w:spacing w:line="360" w:lineRule="auto"/>
        <w:ind w:firstLine="480" w:firstLineChars="200"/>
        <w:rPr>
          <w:sz w:val="24"/>
          <w:szCs w:val="24"/>
        </w:rPr>
      </w:pPr>
      <w:r>
        <w:rPr>
          <w:rFonts w:hint="eastAsia"/>
          <w:sz w:val="24"/>
          <w:szCs w:val="24"/>
        </w:rPr>
        <w:t>对于特殊情况的处理，体现了系统灵活性，但这其中也隐含着安全危机。用户领域中有很多“合理但不合法，不合理也不合法”的特殊情况，它们出现的机会比较少</w:t>
      </w:r>
      <w:r>
        <w:rPr>
          <w:sz w:val="24"/>
          <w:szCs w:val="24"/>
        </w:rPr>
        <w:t xml:space="preserve">, </w:t>
      </w:r>
      <w:r>
        <w:rPr>
          <w:rFonts w:hint="eastAsia"/>
          <w:sz w:val="24"/>
          <w:szCs w:val="24"/>
        </w:rPr>
        <w:t>用户往往在调研时遗漏这些问题，需要调研人员挖掘出来，这些特殊情况有时是系统必须处理的。</w:t>
      </w:r>
    </w:p>
    <w:p>
      <w:pPr>
        <w:spacing w:line="360" w:lineRule="auto"/>
        <w:ind w:firstLine="480" w:firstLineChars="200"/>
        <w:rPr>
          <w:sz w:val="24"/>
          <w:szCs w:val="24"/>
        </w:rPr>
      </w:pPr>
      <w:r>
        <w:rPr>
          <w:rFonts w:hint="eastAsia"/>
          <w:sz w:val="24"/>
          <w:szCs w:val="24"/>
        </w:rPr>
        <w:t>当在某个作业环节用户出现失误时，手工系统有的采用正规的手续进行纠错，有的则相当随便，这些情况出现的概率也很小，但分析员可采用穷举的方法，假定在每一个环节都出现失误，逐个环节询问用户的处理方法，防止遗漏。这些细节如果不调研清楚，往往会对系统产生深远的影响。</w:t>
      </w:r>
    </w:p>
    <w:p>
      <w:pPr>
        <w:spacing w:line="360" w:lineRule="auto"/>
        <w:ind w:firstLine="480" w:firstLineChars="200"/>
        <w:rPr>
          <w:sz w:val="24"/>
          <w:szCs w:val="24"/>
        </w:rPr>
      </w:pPr>
      <w:r>
        <w:rPr>
          <w:rFonts w:hint="eastAsia"/>
          <w:sz w:val="24"/>
          <w:szCs w:val="24"/>
        </w:rPr>
        <w:t>（七）将来有何变化</w:t>
      </w:r>
    </w:p>
    <w:p>
      <w:pPr>
        <w:spacing w:line="360" w:lineRule="auto"/>
        <w:ind w:firstLine="480" w:firstLineChars="200"/>
        <w:rPr>
          <w:sz w:val="24"/>
          <w:szCs w:val="24"/>
        </w:rPr>
      </w:pPr>
      <w:r>
        <w:rPr>
          <w:rFonts w:hint="eastAsia"/>
          <w:sz w:val="24"/>
          <w:szCs w:val="24"/>
        </w:rPr>
        <w:t>将来用户需求的变化是很正常的现象，如果仅仅着眼于现在，而不对将来有所考虑，系统的寿命便不会长久，对用户的投资是一种浪费，同时也会给开发商增加一些麻烦，故此要“防患于未然”，将以后可能的变化考虑在内。</w:t>
      </w:r>
    </w:p>
    <w:p>
      <w:pPr>
        <w:spacing w:line="360" w:lineRule="auto"/>
        <w:ind w:firstLine="480" w:firstLineChars="200"/>
        <w:rPr>
          <w:sz w:val="24"/>
          <w:szCs w:val="24"/>
        </w:rPr>
      </w:pPr>
      <w:r>
        <w:rPr>
          <w:rFonts w:hint="eastAsia"/>
          <w:sz w:val="24"/>
          <w:szCs w:val="24"/>
        </w:rPr>
        <w:t>三、需求整理</w:t>
      </w:r>
    </w:p>
    <w:p>
      <w:pPr>
        <w:spacing w:line="360" w:lineRule="auto"/>
        <w:ind w:firstLine="480" w:firstLineChars="200"/>
        <w:rPr>
          <w:sz w:val="24"/>
          <w:szCs w:val="24"/>
        </w:rPr>
      </w:pPr>
      <w:r>
        <w:rPr>
          <w:rFonts w:hint="eastAsia"/>
          <w:sz w:val="24"/>
          <w:szCs w:val="24"/>
        </w:rPr>
        <w:t>（一）组织结构与岗位定义；</w:t>
      </w:r>
    </w:p>
    <w:p>
      <w:pPr>
        <w:spacing w:line="360" w:lineRule="auto"/>
        <w:ind w:firstLine="480" w:firstLineChars="200"/>
        <w:rPr>
          <w:sz w:val="24"/>
          <w:szCs w:val="24"/>
        </w:rPr>
      </w:pPr>
      <w:r>
        <w:rPr>
          <w:rFonts w:hint="eastAsia"/>
          <w:sz w:val="24"/>
          <w:szCs w:val="24"/>
        </w:rPr>
        <w:t>（二）业务流程；</w:t>
      </w:r>
    </w:p>
    <w:p>
      <w:pPr>
        <w:spacing w:line="360" w:lineRule="auto"/>
        <w:ind w:firstLine="480" w:firstLineChars="200"/>
        <w:rPr>
          <w:sz w:val="24"/>
          <w:szCs w:val="24"/>
        </w:rPr>
      </w:pPr>
      <w:r>
        <w:rPr>
          <w:rFonts w:hint="eastAsia"/>
          <w:sz w:val="24"/>
          <w:szCs w:val="24"/>
        </w:rPr>
        <w:t>（三）处理规则；</w:t>
      </w:r>
    </w:p>
    <w:p>
      <w:pPr>
        <w:spacing w:line="360" w:lineRule="auto"/>
        <w:ind w:firstLine="480" w:firstLineChars="200"/>
        <w:rPr>
          <w:sz w:val="24"/>
          <w:szCs w:val="24"/>
        </w:rPr>
      </w:pPr>
      <w:r>
        <w:rPr>
          <w:rFonts w:hint="eastAsia"/>
          <w:sz w:val="24"/>
          <w:szCs w:val="24"/>
        </w:rPr>
        <w:t>（四）数据项；</w:t>
      </w:r>
    </w:p>
    <w:p>
      <w:pPr>
        <w:spacing w:line="360" w:lineRule="auto"/>
        <w:ind w:firstLine="480" w:firstLineChars="200"/>
        <w:rPr>
          <w:sz w:val="24"/>
          <w:szCs w:val="24"/>
        </w:rPr>
      </w:pPr>
      <w:r>
        <w:rPr>
          <w:rFonts w:hint="eastAsia"/>
          <w:sz w:val="24"/>
          <w:szCs w:val="24"/>
        </w:rPr>
        <w:t>（五）功能；</w:t>
      </w:r>
    </w:p>
    <w:p>
      <w:pPr>
        <w:spacing w:line="360" w:lineRule="auto"/>
        <w:ind w:firstLine="480" w:firstLineChars="200"/>
        <w:rPr>
          <w:sz w:val="24"/>
          <w:szCs w:val="24"/>
        </w:rPr>
      </w:pPr>
      <w:r>
        <w:rPr>
          <w:rFonts w:hint="eastAsia"/>
          <w:sz w:val="24"/>
          <w:szCs w:val="24"/>
        </w:rPr>
        <w:t>（六）以及上述</w:t>
      </w:r>
      <w:r>
        <w:rPr>
          <w:sz w:val="24"/>
          <w:szCs w:val="24"/>
        </w:rPr>
        <w:t>5</w:t>
      </w:r>
      <w:r>
        <w:rPr>
          <w:rFonts w:hint="eastAsia"/>
          <w:sz w:val="24"/>
          <w:szCs w:val="24"/>
        </w:rPr>
        <w:t>个方面的关系。</w:t>
      </w:r>
    </w:p>
    <w:p>
      <w:pPr>
        <w:spacing w:line="360" w:lineRule="auto"/>
        <w:ind w:firstLine="480" w:firstLineChars="200"/>
        <w:rPr>
          <w:sz w:val="24"/>
          <w:szCs w:val="24"/>
        </w:rPr>
      </w:pPr>
      <w:r>
        <w:rPr>
          <w:rFonts w:hint="eastAsia"/>
          <w:sz w:val="24"/>
          <w:szCs w:val="24"/>
        </w:rPr>
        <w:t>四、注意事项</w:t>
      </w:r>
    </w:p>
    <w:p>
      <w:pPr>
        <w:spacing w:line="360" w:lineRule="auto"/>
        <w:ind w:firstLine="480" w:firstLineChars="200"/>
        <w:rPr>
          <w:sz w:val="24"/>
          <w:szCs w:val="24"/>
        </w:rPr>
      </w:pPr>
      <w:r>
        <w:rPr>
          <w:rFonts w:hint="eastAsia"/>
          <w:sz w:val="24"/>
          <w:szCs w:val="24"/>
        </w:rPr>
        <w:t>（一）在调研前和用户讲清楚调研的意义、过程、以及需要注意的问题。</w:t>
      </w:r>
    </w:p>
    <w:p>
      <w:pPr>
        <w:spacing w:line="360" w:lineRule="auto"/>
        <w:ind w:firstLine="480" w:firstLineChars="200"/>
        <w:rPr>
          <w:sz w:val="24"/>
          <w:szCs w:val="24"/>
        </w:rPr>
      </w:pPr>
      <w:r>
        <w:rPr>
          <w:rFonts w:hint="eastAsia"/>
          <w:sz w:val="24"/>
          <w:szCs w:val="24"/>
        </w:rPr>
        <w:t>（二）在调研过程中要经过多次反复，用户不一定理解这个过程</w:t>
      </w:r>
      <w:r>
        <w:rPr>
          <w:sz w:val="24"/>
          <w:szCs w:val="24"/>
        </w:rPr>
        <w:t>,</w:t>
      </w:r>
      <w:r>
        <w:rPr>
          <w:rFonts w:hint="eastAsia"/>
          <w:sz w:val="24"/>
          <w:szCs w:val="24"/>
        </w:rPr>
        <w:t>调查时要和用户讲清楚。</w:t>
      </w:r>
    </w:p>
    <w:p>
      <w:pPr>
        <w:spacing w:line="360" w:lineRule="auto"/>
        <w:ind w:firstLine="480" w:firstLineChars="200"/>
        <w:rPr>
          <w:sz w:val="24"/>
          <w:szCs w:val="24"/>
        </w:rPr>
      </w:pPr>
      <w:r>
        <w:rPr>
          <w:rFonts w:hint="eastAsia"/>
          <w:sz w:val="24"/>
          <w:szCs w:val="24"/>
        </w:rPr>
        <w:t>（三）调查前的准备工作要作好。</w:t>
      </w:r>
    </w:p>
    <w:p>
      <w:pPr>
        <w:spacing w:line="360" w:lineRule="auto"/>
        <w:ind w:firstLine="480" w:firstLineChars="200"/>
        <w:rPr>
          <w:sz w:val="24"/>
          <w:szCs w:val="24"/>
        </w:rPr>
      </w:pPr>
      <w:r>
        <w:rPr>
          <w:rFonts w:hint="eastAsia"/>
          <w:sz w:val="24"/>
          <w:szCs w:val="24"/>
        </w:rPr>
        <w:t>（四）在每次和用户见面前，要准备好问题单，对问题进行合理的分类，安排提问的次序，并事先提供给用户，便于用户准备，以提高工作效率。减少用户的反感情绪。</w:t>
      </w:r>
    </w:p>
    <w:p>
      <w:pPr>
        <w:spacing w:line="360" w:lineRule="auto"/>
        <w:ind w:firstLine="480" w:firstLineChars="200"/>
        <w:rPr>
          <w:sz w:val="24"/>
          <w:szCs w:val="24"/>
        </w:rPr>
      </w:pPr>
      <w:r>
        <w:rPr>
          <w:rFonts w:hint="eastAsia"/>
          <w:sz w:val="24"/>
          <w:szCs w:val="24"/>
        </w:rPr>
        <w:t>（五）发问时以一人为主，其他人注意记录与查找问题。</w:t>
      </w:r>
    </w:p>
    <w:p>
      <w:pPr>
        <w:spacing w:line="360" w:lineRule="auto"/>
        <w:ind w:firstLine="480" w:firstLineChars="200"/>
        <w:rPr>
          <w:sz w:val="24"/>
          <w:szCs w:val="24"/>
        </w:rPr>
      </w:pPr>
      <w:r>
        <w:rPr>
          <w:rFonts w:hint="eastAsia"/>
          <w:sz w:val="24"/>
          <w:szCs w:val="24"/>
        </w:rPr>
        <w:t>（六）在用户讲解时，不要中断用户，使对方有充分的演说机会。</w:t>
      </w:r>
    </w:p>
    <w:p>
      <w:pPr>
        <w:spacing w:line="360" w:lineRule="auto"/>
        <w:ind w:firstLine="480" w:firstLineChars="200"/>
        <w:rPr>
          <w:sz w:val="24"/>
          <w:szCs w:val="24"/>
        </w:rPr>
      </w:pPr>
      <w:r>
        <w:rPr>
          <w:rFonts w:hint="eastAsia"/>
          <w:sz w:val="24"/>
          <w:szCs w:val="24"/>
        </w:rPr>
        <w:t>（七）对询问的问题要有记录。这样便于整理文档，也便于统计工作量。</w:t>
      </w:r>
    </w:p>
    <w:p>
      <w:pPr>
        <w:spacing w:line="360" w:lineRule="auto"/>
        <w:ind w:firstLine="480" w:firstLineChars="200"/>
        <w:rPr>
          <w:sz w:val="24"/>
          <w:szCs w:val="24"/>
        </w:rPr>
      </w:pPr>
      <w:r>
        <w:rPr>
          <w:rFonts w:hint="eastAsia"/>
          <w:sz w:val="24"/>
          <w:szCs w:val="24"/>
        </w:rPr>
        <w:t>（八）调研时可以</w:t>
      </w:r>
      <w:r>
        <w:rPr>
          <w:sz w:val="24"/>
          <w:szCs w:val="24"/>
        </w:rPr>
        <w:t>IPO</w:t>
      </w:r>
      <w:r>
        <w:rPr>
          <w:rFonts w:hint="eastAsia"/>
          <w:sz w:val="24"/>
          <w:szCs w:val="24"/>
        </w:rPr>
        <w:t>（输入、处理、输出）思想作为总体的主线。</w:t>
      </w:r>
    </w:p>
    <w:p>
      <w:pPr>
        <w:spacing w:line="360" w:lineRule="auto"/>
        <w:ind w:firstLine="480" w:firstLineChars="200"/>
        <w:rPr>
          <w:sz w:val="24"/>
          <w:szCs w:val="24"/>
        </w:rPr>
      </w:pPr>
      <w:r>
        <w:rPr>
          <w:rFonts w:hint="eastAsia"/>
          <w:sz w:val="24"/>
          <w:szCs w:val="24"/>
        </w:rPr>
        <w:t>（九）在我们同用户接触时，最先也是最易于和用户交流的是他们的业务，即每天他们在干什么？流程基本一样：接受业务申请，执行业务处理过程，提交至下一环节。就这样“接受、处理、传出”，如此循环，因而在调研时采用这种思想易于同客户交流。</w:t>
      </w:r>
    </w:p>
    <w:p>
      <w:pPr>
        <w:spacing w:line="360" w:lineRule="auto"/>
        <w:ind w:firstLine="480" w:firstLineChars="200"/>
        <w:rPr>
          <w:sz w:val="24"/>
          <w:szCs w:val="24"/>
        </w:rPr>
      </w:pPr>
      <w:r>
        <w:rPr>
          <w:rFonts w:hint="eastAsia"/>
          <w:sz w:val="24"/>
          <w:szCs w:val="24"/>
        </w:rPr>
        <w:t>（十）注意交谈的技巧，并尽可能多的记住用户的姓名、职务、爱好等。</w:t>
      </w:r>
    </w:p>
    <w:p>
      <w:pPr>
        <w:pStyle w:val="4"/>
        <w:numPr>
          <w:ilvl w:val="2"/>
          <w:numId w:val="3"/>
        </w:numPr>
        <w:spacing w:before="0" w:after="0" w:line="360" w:lineRule="auto"/>
        <w:ind w:left="0" w:leftChars="0" w:firstLine="402" w:firstLineChars="0"/>
      </w:pPr>
      <w:bookmarkStart w:id="360" w:name="_Toc805"/>
      <w:r>
        <w:rPr>
          <w:rFonts w:hint="eastAsia"/>
        </w:rPr>
        <w:t>需求分析</w:t>
      </w:r>
      <w:bookmarkEnd w:id="360"/>
    </w:p>
    <w:p>
      <w:pPr>
        <w:spacing w:line="360" w:lineRule="auto"/>
        <w:ind w:firstLine="480" w:firstLineChars="200"/>
        <w:rPr>
          <w:sz w:val="24"/>
          <w:szCs w:val="24"/>
        </w:rPr>
      </w:pPr>
      <w:r>
        <w:rPr>
          <w:rFonts w:hint="eastAsia"/>
          <w:sz w:val="24"/>
          <w:szCs w:val="24"/>
        </w:rPr>
        <w:t>在软件工程中，需求分析指的是在建立一个新的或改变一个现存的系统时描写新系统的目的、范围、定义和功能时所要做的所有的工作。需求分析是软件工程中的一个关键过程。在这个过程中，系统分析员和软件工程师确定顾客的需要。只有在确定了这些需要后他们才能够分析和寻求新系统的解决方法。需求分析阶段的任务是确定软件系统功能。</w:t>
      </w:r>
    </w:p>
    <w:p>
      <w:pPr>
        <w:spacing w:line="360" w:lineRule="auto"/>
        <w:ind w:firstLine="480" w:firstLineChars="200"/>
        <w:rPr>
          <w:sz w:val="24"/>
          <w:szCs w:val="24"/>
        </w:rPr>
      </w:pPr>
      <w:r>
        <w:rPr>
          <w:rFonts w:hint="eastAsia"/>
          <w:sz w:val="24"/>
          <w:szCs w:val="24"/>
        </w:rPr>
        <w:t>一、分析步骤</w:t>
      </w:r>
    </w:p>
    <w:p>
      <w:pPr>
        <w:spacing w:line="360" w:lineRule="auto"/>
        <w:ind w:firstLine="480" w:firstLineChars="200"/>
        <w:rPr>
          <w:sz w:val="24"/>
          <w:szCs w:val="24"/>
        </w:rPr>
      </w:pPr>
      <w:r>
        <w:rPr>
          <w:rFonts w:hint="eastAsia"/>
          <w:sz w:val="24"/>
          <w:szCs w:val="24"/>
        </w:rPr>
        <w:t>（一）项目经理根据项目特点确定需求分析的方法；</w:t>
      </w:r>
    </w:p>
    <w:p>
      <w:pPr>
        <w:spacing w:line="360" w:lineRule="auto"/>
        <w:ind w:firstLine="480" w:firstLineChars="200"/>
        <w:rPr>
          <w:sz w:val="24"/>
          <w:szCs w:val="24"/>
        </w:rPr>
      </w:pPr>
      <w:r>
        <w:rPr>
          <w:rFonts w:hint="eastAsia"/>
          <w:sz w:val="24"/>
          <w:szCs w:val="24"/>
        </w:rPr>
        <w:t>（二）业务分析员召开需求讨论会填写《需求讨论记录表》；</w:t>
      </w:r>
    </w:p>
    <w:p>
      <w:pPr>
        <w:spacing w:line="360" w:lineRule="auto"/>
        <w:ind w:firstLine="480" w:firstLineChars="200"/>
        <w:rPr>
          <w:sz w:val="24"/>
          <w:szCs w:val="24"/>
        </w:rPr>
      </w:pPr>
      <w:r>
        <w:rPr>
          <w:rFonts w:hint="eastAsia"/>
          <w:sz w:val="24"/>
          <w:szCs w:val="24"/>
        </w:rPr>
        <w:t>（三）业务分析员分析需求，确保需求的完整性和可行性；</w:t>
      </w:r>
    </w:p>
    <w:p>
      <w:pPr>
        <w:spacing w:line="360" w:lineRule="auto"/>
        <w:ind w:firstLine="480" w:firstLineChars="200"/>
        <w:rPr>
          <w:sz w:val="24"/>
          <w:szCs w:val="24"/>
        </w:rPr>
      </w:pPr>
      <w:r>
        <w:rPr>
          <w:rFonts w:hint="eastAsia"/>
          <w:sz w:val="24"/>
          <w:szCs w:val="24"/>
        </w:rPr>
        <w:t>（四）测试设计人员参与需求分析，确保需求的完整性和可行性；</w:t>
      </w:r>
    </w:p>
    <w:p>
      <w:pPr>
        <w:spacing w:line="360" w:lineRule="auto"/>
        <w:ind w:firstLine="480" w:firstLineChars="200"/>
        <w:rPr>
          <w:sz w:val="24"/>
          <w:szCs w:val="24"/>
        </w:rPr>
      </w:pPr>
      <w:r>
        <w:rPr>
          <w:rFonts w:hint="eastAsia"/>
          <w:sz w:val="24"/>
          <w:szCs w:val="24"/>
        </w:rPr>
        <w:t>（五）项目经理对需求进行分析，实现相关干系人利益的平衡；</w:t>
      </w:r>
    </w:p>
    <w:p>
      <w:pPr>
        <w:spacing w:line="360" w:lineRule="auto"/>
        <w:ind w:firstLine="480" w:firstLineChars="200"/>
        <w:rPr>
          <w:sz w:val="24"/>
          <w:szCs w:val="24"/>
        </w:rPr>
      </w:pPr>
      <w:r>
        <w:rPr>
          <w:rFonts w:hint="eastAsia"/>
          <w:sz w:val="24"/>
          <w:szCs w:val="24"/>
        </w:rPr>
        <w:t>（六）业务分析员根据《需求管理和需求开发指南》编写业务模型，作为《用户需求说明书》的附件；</w:t>
      </w:r>
    </w:p>
    <w:p>
      <w:pPr>
        <w:spacing w:line="360" w:lineRule="auto"/>
        <w:ind w:firstLine="480" w:firstLineChars="200"/>
        <w:rPr>
          <w:sz w:val="24"/>
          <w:szCs w:val="24"/>
        </w:rPr>
      </w:pPr>
      <w:r>
        <w:rPr>
          <w:rFonts w:hint="eastAsia"/>
          <w:sz w:val="24"/>
          <w:szCs w:val="24"/>
        </w:rPr>
        <w:t>（七）系统分析员把需求划分成不同的产品构件，子系统和模块；</w:t>
      </w:r>
    </w:p>
    <w:p>
      <w:pPr>
        <w:spacing w:line="360" w:lineRule="auto"/>
        <w:ind w:firstLine="480" w:firstLineChars="200"/>
        <w:rPr>
          <w:sz w:val="24"/>
          <w:szCs w:val="24"/>
        </w:rPr>
      </w:pPr>
      <w:r>
        <w:rPr>
          <w:rFonts w:hint="eastAsia"/>
          <w:sz w:val="24"/>
          <w:szCs w:val="24"/>
        </w:rPr>
        <w:t>（八）系统分析员分析接口需求；</w:t>
      </w:r>
    </w:p>
    <w:p>
      <w:pPr>
        <w:spacing w:line="360" w:lineRule="auto"/>
        <w:ind w:firstLine="480" w:firstLineChars="200"/>
        <w:rPr>
          <w:sz w:val="24"/>
          <w:szCs w:val="24"/>
        </w:rPr>
      </w:pPr>
      <w:r>
        <w:rPr>
          <w:rFonts w:hint="eastAsia"/>
          <w:sz w:val="24"/>
          <w:szCs w:val="24"/>
        </w:rPr>
        <w:t>（九）系统分析员根据《需求管理和需求开发指南》编写系统模型，作为《产品需求说明书》的附件。</w:t>
      </w:r>
    </w:p>
    <w:p>
      <w:pPr>
        <w:spacing w:line="360" w:lineRule="auto"/>
        <w:ind w:firstLine="480" w:firstLineChars="200"/>
        <w:rPr>
          <w:sz w:val="24"/>
          <w:szCs w:val="24"/>
        </w:rPr>
      </w:pPr>
      <w:r>
        <w:rPr>
          <w:rFonts w:hint="eastAsia"/>
          <w:sz w:val="24"/>
          <w:szCs w:val="24"/>
        </w:rPr>
        <w:t>二、分析指南</w:t>
      </w:r>
    </w:p>
    <w:p>
      <w:pPr>
        <w:spacing w:line="360" w:lineRule="auto"/>
        <w:ind w:firstLine="480" w:firstLineChars="200"/>
        <w:rPr>
          <w:sz w:val="24"/>
          <w:szCs w:val="24"/>
        </w:rPr>
      </w:pPr>
      <w:r>
        <w:rPr>
          <w:rFonts w:hint="eastAsia"/>
          <w:sz w:val="24"/>
          <w:szCs w:val="24"/>
        </w:rPr>
        <w:t>（一）问答分析法</w:t>
      </w:r>
    </w:p>
    <w:p>
      <w:pPr>
        <w:spacing w:line="360" w:lineRule="auto"/>
        <w:ind w:firstLine="480" w:firstLineChars="200"/>
        <w:rPr>
          <w:sz w:val="24"/>
          <w:szCs w:val="24"/>
        </w:rPr>
      </w:pPr>
      <w:r>
        <w:rPr>
          <w:rFonts w:hint="eastAsia"/>
          <w:sz w:val="24"/>
          <w:szCs w:val="24"/>
        </w:rPr>
        <w:t>问答分析法最重要的问题是：“是什么”和“为什么”。每个需求都应当用陈述句说明“是什么”，如果“是什么”的内涵不够清晰，则应补充说明“不是什么”。如果“是什么”和“不是什么”并不是“理所当然”的，那么应当解释“为什么”，以便加深读者的理解。追究“是什么”和“为什么”的目的是获得正确清楚的需求。</w:t>
      </w:r>
    </w:p>
    <w:p>
      <w:pPr>
        <w:spacing w:line="360" w:lineRule="auto"/>
        <w:ind w:firstLine="480" w:firstLineChars="200"/>
        <w:rPr>
          <w:sz w:val="24"/>
          <w:szCs w:val="24"/>
        </w:rPr>
      </w:pPr>
      <w:r>
        <w:rPr>
          <w:rFonts w:hint="eastAsia"/>
          <w:sz w:val="24"/>
          <w:szCs w:val="24"/>
        </w:rPr>
        <w:t>其他常见的问题有：</w:t>
      </w:r>
    </w:p>
    <w:p>
      <w:pPr>
        <w:spacing w:line="360" w:lineRule="auto"/>
        <w:ind w:firstLine="480" w:firstLineChars="200"/>
        <w:rPr>
          <w:sz w:val="24"/>
          <w:szCs w:val="24"/>
        </w:rPr>
      </w:pPr>
      <w:r>
        <w:rPr>
          <w:rFonts w:hint="eastAsia"/>
          <w:sz w:val="24"/>
          <w:szCs w:val="24"/>
        </w:rPr>
        <w:t>需求存在二义性吗？</w:t>
      </w:r>
    </w:p>
    <w:p>
      <w:pPr>
        <w:spacing w:line="360" w:lineRule="auto"/>
        <w:ind w:firstLine="480" w:firstLineChars="200"/>
        <w:rPr>
          <w:sz w:val="24"/>
          <w:szCs w:val="24"/>
        </w:rPr>
      </w:pPr>
      <w:r>
        <w:rPr>
          <w:rFonts w:hint="eastAsia"/>
          <w:sz w:val="24"/>
          <w:szCs w:val="24"/>
        </w:rPr>
        <w:t>需求文档的上下文有矛盾吗？</w:t>
      </w:r>
    </w:p>
    <w:p>
      <w:pPr>
        <w:spacing w:line="360" w:lineRule="auto"/>
        <w:ind w:firstLine="480" w:firstLineChars="200"/>
        <w:rPr>
          <w:sz w:val="24"/>
          <w:szCs w:val="24"/>
        </w:rPr>
      </w:pPr>
      <w:r>
        <w:rPr>
          <w:rFonts w:hint="eastAsia"/>
          <w:sz w:val="24"/>
          <w:szCs w:val="24"/>
        </w:rPr>
        <w:t>需求完备吗？</w:t>
      </w:r>
    </w:p>
    <w:p>
      <w:pPr>
        <w:spacing w:line="360" w:lineRule="auto"/>
        <w:ind w:firstLine="480" w:firstLineChars="200"/>
        <w:rPr>
          <w:sz w:val="24"/>
          <w:szCs w:val="24"/>
        </w:rPr>
      </w:pPr>
      <w:r>
        <w:rPr>
          <w:rFonts w:hint="eastAsia"/>
          <w:sz w:val="24"/>
          <w:szCs w:val="24"/>
        </w:rPr>
        <w:t>需求是必要的吗？</w:t>
      </w:r>
    </w:p>
    <w:p>
      <w:pPr>
        <w:spacing w:line="360" w:lineRule="auto"/>
        <w:ind w:firstLine="480" w:firstLineChars="200"/>
        <w:rPr>
          <w:sz w:val="24"/>
          <w:szCs w:val="24"/>
        </w:rPr>
      </w:pPr>
      <w:r>
        <w:rPr>
          <w:rFonts w:hint="eastAsia"/>
          <w:sz w:val="24"/>
          <w:szCs w:val="24"/>
        </w:rPr>
        <w:t>需求可实现吗？</w:t>
      </w:r>
    </w:p>
    <w:p>
      <w:pPr>
        <w:spacing w:line="360" w:lineRule="auto"/>
        <w:ind w:firstLine="480" w:firstLineChars="200"/>
        <w:rPr>
          <w:sz w:val="24"/>
          <w:szCs w:val="24"/>
        </w:rPr>
      </w:pPr>
      <w:r>
        <w:rPr>
          <w:rFonts w:hint="eastAsia"/>
          <w:sz w:val="24"/>
          <w:szCs w:val="24"/>
        </w:rPr>
        <w:t>需求可验证吗？</w:t>
      </w:r>
    </w:p>
    <w:p>
      <w:pPr>
        <w:spacing w:line="360" w:lineRule="auto"/>
        <w:ind w:firstLine="480" w:firstLineChars="200"/>
        <w:rPr>
          <w:sz w:val="24"/>
          <w:szCs w:val="24"/>
        </w:rPr>
      </w:pPr>
      <w:r>
        <w:rPr>
          <w:rFonts w:hint="eastAsia"/>
          <w:sz w:val="24"/>
          <w:szCs w:val="24"/>
        </w:rPr>
        <w:t>需求的优先级确认了吗？</w:t>
      </w:r>
    </w:p>
    <w:p>
      <w:pPr>
        <w:spacing w:line="360" w:lineRule="auto"/>
        <w:ind w:firstLine="480" w:firstLineChars="200"/>
        <w:rPr>
          <w:sz w:val="24"/>
          <w:szCs w:val="24"/>
        </w:rPr>
      </w:pPr>
      <w:r>
        <w:rPr>
          <w:rFonts w:hint="eastAsia"/>
          <w:sz w:val="24"/>
          <w:szCs w:val="24"/>
        </w:rPr>
        <w:t>（二）建模分析法</w:t>
      </w:r>
    </w:p>
    <w:p>
      <w:pPr>
        <w:spacing w:line="360" w:lineRule="auto"/>
        <w:ind w:firstLine="480" w:firstLineChars="200"/>
        <w:rPr>
          <w:sz w:val="24"/>
          <w:szCs w:val="24"/>
        </w:rPr>
      </w:pPr>
      <w:r>
        <w:rPr>
          <w:rFonts w:hint="eastAsia"/>
          <w:sz w:val="24"/>
          <w:szCs w:val="24"/>
        </w:rPr>
        <w:t>（</w:t>
      </w:r>
      <w:r>
        <w:rPr>
          <w:sz w:val="24"/>
          <w:szCs w:val="24"/>
        </w:rPr>
        <w:t>1</w:t>
      </w:r>
      <w:r>
        <w:rPr>
          <w:rFonts w:hint="eastAsia"/>
          <w:sz w:val="24"/>
          <w:szCs w:val="24"/>
        </w:rPr>
        <w:t>）结构化分析法</w:t>
      </w:r>
    </w:p>
    <w:p>
      <w:pPr>
        <w:spacing w:line="360" w:lineRule="auto"/>
        <w:ind w:firstLine="480" w:firstLineChars="200"/>
        <w:rPr>
          <w:sz w:val="24"/>
          <w:szCs w:val="24"/>
        </w:rPr>
      </w:pPr>
      <w:r>
        <w:rPr>
          <w:rFonts w:hint="eastAsia"/>
          <w:sz w:val="24"/>
          <w:szCs w:val="24"/>
        </w:rPr>
        <w:t>软件的建模分析兴起于</w:t>
      </w:r>
      <w:r>
        <w:rPr>
          <w:sz w:val="24"/>
          <w:szCs w:val="24"/>
        </w:rPr>
        <w:t>20</w:t>
      </w:r>
      <w:r>
        <w:rPr>
          <w:rFonts w:hint="eastAsia"/>
          <w:sz w:val="24"/>
          <w:szCs w:val="24"/>
        </w:rPr>
        <w:t>世纪</w:t>
      </w:r>
      <w:r>
        <w:rPr>
          <w:sz w:val="24"/>
          <w:szCs w:val="24"/>
        </w:rPr>
        <w:t>60</w:t>
      </w:r>
      <w:r>
        <w:rPr>
          <w:rFonts w:hint="eastAsia"/>
          <w:sz w:val="24"/>
          <w:szCs w:val="24"/>
        </w:rPr>
        <w:t>年代末</w:t>
      </w:r>
      <w:r>
        <w:rPr>
          <w:sz w:val="24"/>
          <w:szCs w:val="24"/>
        </w:rPr>
        <w:t>70</w:t>
      </w:r>
      <w:r>
        <w:rPr>
          <w:rFonts w:hint="eastAsia"/>
          <w:sz w:val="24"/>
          <w:szCs w:val="24"/>
        </w:rPr>
        <w:t>年代初。结构化分析方法在</w:t>
      </w:r>
      <w:r>
        <w:rPr>
          <w:sz w:val="24"/>
          <w:szCs w:val="24"/>
        </w:rPr>
        <w:t>70</w:t>
      </w:r>
      <w:r>
        <w:rPr>
          <w:rFonts w:hint="eastAsia"/>
          <w:sz w:val="24"/>
          <w:szCs w:val="24"/>
        </w:rPr>
        <w:t>年代和</w:t>
      </w:r>
      <w:r>
        <w:rPr>
          <w:sz w:val="24"/>
          <w:szCs w:val="24"/>
        </w:rPr>
        <w:t>80</w:t>
      </w:r>
      <w:r>
        <w:rPr>
          <w:rFonts w:hint="eastAsia"/>
          <w:sz w:val="24"/>
          <w:szCs w:val="24"/>
        </w:rPr>
        <w:t>年代非常流行，该方法可以概括的描述为“一个中心三种图”。“数据字典”是中心，它包含了软件中所有数据对象的描述。“实体－关系图”是用图形符号来标识数据对象以及它们之间的关系。</w:t>
      </w:r>
    </w:p>
    <w:p>
      <w:pPr>
        <w:spacing w:line="360" w:lineRule="auto"/>
        <w:ind w:firstLine="480" w:firstLineChars="200"/>
        <w:rPr>
          <w:sz w:val="24"/>
          <w:szCs w:val="24"/>
        </w:rPr>
      </w:pPr>
      <w:r>
        <w:rPr>
          <w:rFonts w:hint="eastAsia"/>
          <w:sz w:val="24"/>
          <w:szCs w:val="24"/>
        </w:rPr>
        <w:t>“数据流图”指明了系统存在的各种状态以及它们之间的变迁方式。</w:t>
      </w:r>
    </w:p>
    <w:p>
      <w:pPr>
        <w:spacing w:line="360" w:lineRule="auto"/>
        <w:ind w:firstLine="480" w:firstLineChars="200"/>
        <w:rPr>
          <w:sz w:val="24"/>
          <w:szCs w:val="24"/>
        </w:rPr>
      </w:pPr>
      <w:r>
        <w:rPr>
          <w:rFonts w:hint="eastAsia"/>
          <w:sz w:val="24"/>
          <w:szCs w:val="24"/>
        </w:rPr>
        <w:t>（</w:t>
      </w:r>
      <w:r>
        <w:rPr>
          <w:sz w:val="24"/>
          <w:szCs w:val="24"/>
        </w:rPr>
        <w:t>2</w:t>
      </w:r>
      <w:r>
        <w:rPr>
          <w:rFonts w:hint="eastAsia"/>
          <w:sz w:val="24"/>
          <w:szCs w:val="24"/>
        </w:rPr>
        <w:t>）面向对象分析法</w:t>
      </w:r>
    </w:p>
    <w:p>
      <w:pPr>
        <w:spacing w:line="360" w:lineRule="auto"/>
        <w:ind w:firstLine="480" w:firstLineChars="200"/>
      </w:pPr>
      <w:r>
        <w:rPr>
          <w:rFonts w:hint="eastAsia"/>
          <w:sz w:val="24"/>
          <w:szCs w:val="24"/>
        </w:rPr>
        <w:t>面向对象分析设计（</w:t>
      </w:r>
      <w:r>
        <w:rPr>
          <w:sz w:val="24"/>
          <w:szCs w:val="24"/>
        </w:rPr>
        <w:t>OOAD</w:t>
      </w:r>
      <w:r>
        <w:rPr>
          <w:rFonts w:hint="eastAsia"/>
          <w:sz w:val="24"/>
          <w:szCs w:val="24"/>
        </w:rPr>
        <w:t>）方法兴起于</w:t>
      </w:r>
      <w:r>
        <w:rPr>
          <w:sz w:val="24"/>
          <w:szCs w:val="24"/>
        </w:rPr>
        <w:t>20</w:t>
      </w:r>
      <w:r>
        <w:rPr>
          <w:rFonts w:hint="eastAsia"/>
          <w:sz w:val="24"/>
          <w:szCs w:val="24"/>
        </w:rPr>
        <w:t>世纪</w:t>
      </w:r>
      <w:r>
        <w:rPr>
          <w:sz w:val="24"/>
          <w:szCs w:val="24"/>
        </w:rPr>
        <w:t>80</w:t>
      </w:r>
      <w:r>
        <w:rPr>
          <w:rFonts w:hint="eastAsia"/>
          <w:sz w:val="24"/>
          <w:szCs w:val="24"/>
        </w:rPr>
        <w:t>年代，从</w:t>
      </w:r>
      <w:r>
        <w:rPr>
          <w:sz w:val="24"/>
          <w:szCs w:val="24"/>
        </w:rPr>
        <w:t>90</w:t>
      </w:r>
      <w:r>
        <w:rPr>
          <w:rFonts w:hint="eastAsia"/>
          <w:sz w:val="24"/>
          <w:szCs w:val="24"/>
        </w:rPr>
        <w:t>年代至今它已经在分析设计领域占据了无可争议的主流地位。</w:t>
      </w:r>
      <w:r>
        <w:rPr>
          <w:sz w:val="24"/>
          <w:szCs w:val="24"/>
        </w:rPr>
        <w:t>Rational</w:t>
      </w:r>
      <w:r>
        <w:rPr>
          <w:rFonts w:hint="eastAsia"/>
          <w:sz w:val="24"/>
          <w:szCs w:val="24"/>
        </w:rPr>
        <w:t>公司招纳了</w:t>
      </w:r>
      <w:r>
        <w:rPr>
          <w:sz w:val="24"/>
          <w:szCs w:val="24"/>
        </w:rPr>
        <w:t>Booch</w:t>
      </w:r>
      <w:r>
        <w:rPr>
          <w:rFonts w:hint="eastAsia"/>
          <w:sz w:val="24"/>
          <w:szCs w:val="24"/>
        </w:rPr>
        <w:t>，</w:t>
      </w:r>
      <w:r>
        <w:rPr>
          <w:sz w:val="24"/>
          <w:szCs w:val="24"/>
        </w:rPr>
        <w:t>Jocobson</w:t>
      </w:r>
      <w:r>
        <w:rPr>
          <w:rFonts w:hint="eastAsia"/>
          <w:sz w:val="24"/>
          <w:szCs w:val="24"/>
        </w:rPr>
        <w:t>，</w:t>
      </w:r>
      <w:r>
        <w:rPr>
          <w:sz w:val="24"/>
          <w:szCs w:val="24"/>
        </w:rPr>
        <w:t>Rumbaugh</w:t>
      </w:r>
      <w:r>
        <w:rPr>
          <w:rFonts w:hint="eastAsia"/>
          <w:sz w:val="24"/>
          <w:szCs w:val="24"/>
        </w:rPr>
        <w:t>，这三位面向对象业界的权威，制定了“统一建模语言”（</w:t>
      </w:r>
      <w:r>
        <w:rPr>
          <w:sz w:val="24"/>
          <w:szCs w:val="24"/>
        </w:rPr>
        <w:t>UML</w:t>
      </w:r>
      <w:r>
        <w:rPr>
          <w:rFonts w:hint="eastAsia"/>
          <w:sz w:val="24"/>
          <w:szCs w:val="24"/>
        </w:rPr>
        <w:t>），</w:t>
      </w:r>
      <w:r>
        <w:rPr>
          <w:sz w:val="24"/>
          <w:szCs w:val="24"/>
        </w:rPr>
        <w:t>1997</w:t>
      </w:r>
      <w:r>
        <w:rPr>
          <w:rFonts w:hint="eastAsia"/>
          <w:sz w:val="24"/>
          <w:szCs w:val="24"/>
        </w:rPr>
        <w:t>年</w:t>
      </w:r>
      <w:r>
        <w:rPr>
          <w:sz w:val="24"/>
          <w:szCs w:val="24"/>
        </w:rPr>
        <w:t>UML</w:t>
      </w:r>
      <w:r>
        <w:rPr>
          <w:rFonts w:hint="eastAsia"/>
          <w:sz w:val="24"/>
          <w:szCs w:val="24"/>
        </w:rPr>
        <w:t>被国际对象管理组织（</w:t>
      </w:r>
      <w:r>
        <w:rPr>
          <w:sz w:val="24"/>
          <w:szCs w:val="24"/>
        </w:rPr>
        <w:t>OMG</w:t>
      </w:r>
      <w:r>
        <w:rPr>
          <w:rFonts w:hint="eastAsia"/>
          <w:sz w:val="24"/>
          <w:szCs w:val="24"/>
        </w:rPr>
        <w:t>）采纳，</w:t>
      </w:r>
      <w:r>
        <w:rPr>
          <w:sz w:val="24"/>
          <w:szCs w:val="24"/>
        </w:rPr>
        <w:t>UML</w:t>
      </w:r>
      <w:r>
        <w:rPr>
          <w:rFonts w:hint="eastAsia"/>
          <w:sz w:val="24"/>
          <w:szCs w:val="24"/>
        </w:rPr>
        <w:t>成为</w:t>
      </w:r>
      <w:r>
        <w:rPr>
          <w:sz w:val="24"/>
          <w:szCs w:val="24"/>
        </w:rPr>
        <w:t>OOAD</w:t>
      </w:r>
      <w:r>
        <w:rPr>
          <w:rFonts w:hint="eastAsia"/>
          <w:sz w:val="24"/>
          <w:szCs w:val="24"/>
        </w:rPr>
        <w:t>建模语言的国际标准。</w:t>
      </w:r>
    </w:p>
    <w:p>
      <w:pPr>
        <w:pStyle w:val="4"/>
        <w:numPr>
          <w:ilvl w:val="2"/>
          <w:numId w:val="3"/>
        </w:numPr>
        <w:spacing w:before="0" w:after="0" w:line="360" w:lineRule="auto"/>
        <w:ind w:left="0" w:leftChars="0" w:firstLine="402" w:firstLineChars="0"/>
      </w:pPr>
      <w:bookmarkStart w:id="361" w:name="_Toc12505"/>
      <w:r>
        <w:rPr>
          <w:rFonts w:hint="eastAsia"/>
        </w:rPr>
        <w:t>需求定义</w:t>
      </w:r>
      <w:bookmarkEnd w:id="361"/>
    </w:p>
    <w:p>
      <w:pPr>
        <w:spacing w:line="360" w:lineRule="auto"/>
        <w:ind w:firstLine="480" w:firstLineChars="200"/>
        <w:rPr>
          <w:sz w:val="24"/>
          <w:szCs w:val="24"/>
        </w:rPr>
      </w:pPr>
      <w:r>
        <w:rPr>
          <w:rFonts w:hint="eastAsia"/>
          <w:sz w:val="24"/>
          <w:szCs w:val="24"/>
        </w:rPr>
        <w:t>当完成用户需求调查后，首先对《用户需求说明书》进行细化，对比较复杂的用户需求进行建模分析，以帮助软件开发人员更好地理解需。例如采用</w:t>
      </w:r>
      <w:r>
        <w:rPr>
          <w:sz w:val="24"/>
          <w:szCs w:val="24"/>
        </w:rPr>
        <w:t>Rational</w:t>
      </w:r>
      <w:r>
        <w:rPr>
          <w:rFonts w:hint="eastAsia"/>
          <w:sz w:val="24"/>
          <w:szCs w:val="24"/>
        </w:rPr>
        <w:t>的</w:t>
      </w:r>
      <w:r>
        <w:rPr>
          <w:sz w:val="24"/>
          <w:szCs w:val="24"/>
        </w:rPr>
        <w:t>Rose</w:t>
      </w:r>
      <w:r>
        <w:rPr>
          <w:rFonts w:hint="eastAsia"/>
          <w:sz w:val="24"/>
          <w:szCs w:val="24"/>
        </w:rPr>
        <w:t>工具进行需求的建模分析。如果使用工具进行建模分析，对需求分析人员的要求比较高。需求定义过程中通常会出现的问题有内容失实、遗漏、含糊不清和前后描述不一致。</w:t>
      </w:r>
    </w:p>
    <w:p>
      <w:pPr>
        <w:spacing w:line="360" w:lineRule="auto"/>
        <w:ind w:firstLine="480" w:firstLineChars="200"/>
        <w:rPr>
          <w:sz w:val="24"/>
          <w:szCs w:val="24"/>
        </w:rPr>
      </w:pPr>
      <w:r>
        <w:rPr>
          <w:rFonts w:hint="eastAsia"/>
          <w:sz w:val="24"/>
          <w:szCs w:val="24"/>
        </w:rPr>
        <w:t>当完成需求的定义及分析后，需要将此过程书面化，要遵循既定的规范将需求形成书面的文档，我们通常称之为《需求规格说明书》。</w:t>
      </w:r>
    </w:p>
    <w:p>
      <w:pPr>
        <w:spacing w:line="360" w:lineRule="auto"/>
        <w:ind w:firstLine="480" w:firstLineChars="200"/>
        <w:rPr>
          <w:sz w:val="24"/>
          <w:szCs w:val="24"/>
        </w:rPr>
      </w:pPr>
      <w:r>
        <w:rPr>
          <w:rFonts w:hint="eastAsia"/>
          <w:sz w:val="24"/>
          <w:szCs w:val="24"/>
        </w:rPr>
        <w:t>邀请同行专家和用户（包括客户和最终用户）一起评审《需求规格说明书》，尽最大努力使《需求规格说明书》能够正确无误地反映用户的真实意愿。需求评审之后，开发方和客户方的责任人对《需求规格说明书》作书面承诺。</w:t>
      </w:r>
    </w:p>
    <w:p>
      <w:pPr>
        <w:spacing w:line="360" w:lineRule="auto"/>
        <w:ind w:firstLine="480" w:firstLineChars="200"/>
        <w:rPr>
          <w:sz w:val="24"/>
          <w:szCs w:val="24"/>
        </w:rPr>
      </w:pPr>
      <w:r>
        <w:rPr>
          <w:rFonts w:hint="eastAsia"/>
          <w:sz w:val="24"/>
          <w:szCs w:val="24"/>
          <w:lang w:eastAsia="zh-CN"/>
        </w:rPr>
        <w:t>**信息</w:t>
      </w:r>
      <w:r>
        <w:rPr>
          <w:rFonts w:hint="eastAsia"/>
          <w:sz w:val="24"/>
          <w:szCs w:val="24"/>
        </w:rPr>
        <w:t>对于需求定义阶段的工作步骤如下所示：</w:t>
      </w:r>
    </w:p>
    <w:p>
      <w:pPr>
        <w:spacing w:line="360" w:lineRule="auto"/>
        <w:ind w:firstLine="480" w:firstLineChars="200"/>
        <w:rPr>
          <w:sz w:val="24"/>
          <w:szCs w:val="24"/>
        </w:rPr>
      </w:pPr>
      <w:r>
        <w:rPr>
          <w:rFonts w:hint="eastAsia"/>
          <w:sz w:val="24"/>
          <w:szCs w:val="24"/>
        </w:rPr>
        <w:t>一、业务分析员按照《用户需求说明书模板》编写《用户需求说明书》；</w:t>
      </w:r>
    </w:p>
    <w:p>
      <w:pPr>
        <w:spacing w:line="360" w:lineRule="auto"/>
        <w:ind w:firstLine="480" w:firstLineChars="200"/>
        <w:rPr>
          <w:sz w:val="24"/>
          <w:szCs w:val="24"/>
        </w:rPr>
      </w:pPr>
      <w:r>
        <w:rPr>
          <w:rFonts w:hint="eastAsia"/>
          <w:sz w:val="24"/>
          <w:szCs w:val="24"/>
        </w:rPr>
        <w:t>二、项目经理召集同行评审，评审《用户需求说明书》；</w:t>
      </w:r>
    </w:p>
    <w:p>
      <w:pPr>
        <w:spacing w:line="360" w:lineRule="auto"/>
        <w:ind w:firstLine="480" w:firstLineChars="200"/>
        <w:rPr>
          <w:sz w:val="24"/>
          <w:szCs w:val="24"/>
        </w:rPr>
      </w:pPr>
      <w:r>
        <w:rPr>
          <w:rFonts w:hint="eastAsia"/>
          <w:sz w:val="24"/>
          <w:szCs w:val="24"/>
        </w:rPr>
        <w:t>三、《用户需求说明书》置于配置管理控制；</w:t>
      </w:r>
    </w:p>
    <w:p>
      <w:pPr>
        <w:spacing w:line="360" w:lineRule="auto"/>
        <w:ind w:firstLine="480" w:firstLineChars="200"/>
        <w:rPr>
          <w:sz w:val="24"/>
          <w:szCs w:val="24"/>
        </w:rPr>
      </w:pPr>
      <w:r>
        <w:rPr>
          <w:rFonts w:hint="eastAsia"/>
          <w:sz w:val="24"/>
          <w:szCs w:val="24"/>
        </w:rPr>
        <w:t>四、系统分析员将用户需求转化为产品需求（包括产品需求，产品控件需求，产品接口需求），按照《产品需求说明书模板》编写《产品需求说明书》；</w:t>
      </w:r>
    </w:p>
    <w:p>
      <w:pPr>
        <w:spacing w:line="360" w:lineRule="auto"/>
        <w:ind w:firstLine="480" w:firstLineChars="200"/>
        <w:rPr>
          <w:sz w:val="24"/>
          <w:szCs w:val="24"/>
        </w:rPr>
      </w:pPr>
      <w:r>
        <w:rPr>
          <w:rFonts w:hint="eastAsia"/>
          <w:sz w:val="24"/>
          <w:szCs w:val="24"/>
        </w:rPr>
        <w:t>五、项目经理召集同行评审，评审《产品需求说明书》；</w:t>
      </w:r>
    </w:p>
    <w:p>
      <w:pPr>
        <w:spacing w:line="360" w:lineRule="auto"/>
        <w:ind w:firstLine="480" w:firstLineChars="200"/>
        <w:rPr>
          <w:sz w:val="24"/>
          <w:szCs w:val="24"/>
        </w:rPr>
      </w:pPr>
      <w:r>
        <w:rPr>
          <w:rFonts w:hint="eastAsia"/>
          <w:sz w:val="24"/>
          <w:szCs w:val="24"/>
        </w:rPr>
        <w:t>六、《产品需求说明书》置于配置管理控制；</w:t>
      </w:r>
    </w:p>
    <w:p>
      <w:pPr>
        <w:spacing w:line="360" w:lineRule="auto"/>
        <w:ind w:firstLine="480" w:firstLineChars="200"/>
      </w:pPr>
      <w:r>
        <w:rPr>
          <w:rFonts w:hint="eastAsia"/>
          <w:sz w:val="24"/>
          <w:szCs w:val="24"/>
        </w:rPr>
        <w:t>七、其它需求阶段文档被管理和控制。</w:t>
      </w:r>
    </w:p>
    <w:p>
      <w:pPr>
        <w:pStyle w:val="4"/>
        <w:numPr>
          <w:ilvl w:val="2"/>
          <w:numId w:val="3"/>
        </w:numPr>
        <w:spacing w:before="0" w:after="0" w:line="360" w:lineRule="auto"/>
        <w:ind w:left="0" w:leftChars="0" w:firstLine="402" w:firstLineChars="0"/>
      </w:pPr>
      <w:bookmarkStart w:id="362" w:name="_Toc16033"/>
      <w:r>
        <w:rPr>
          <w:rFonts w:hint="eastAsia"/>
        </w:rPr>
        <w:t>需求确认</w:t>
      </w:r>
      <w:bookmarkEnd w:id="362"/>
    </w:p>
    <w:p>
      <w:pPr>
        <w:spacing w:line="360" w:lineRule="auto"/>
        <w:ind w:firstLine="480" w:firstLineChars="200"/>
        <w:rPr>
          <w:sz w:val="24"/>
          <w:szCs w:val="24"/>
          <w:lang w:val="zh-CN" w:eastAsia="zh-CN"/>
        </w:rPr>
      </w:pPr>
      <w:r>
        <w:rPr>
          <w:rFonts w:hint="eastAsia"/>
          <w:sz w:val="24"/>
          <w:szCs w:val="24"/>
          <w:lang w:val="zh-CN" w:eastAsia="zh-CN"/>
        </w:rPr>
        <w:t>用以由需求分析人员向业务人员提交关于业务需求的疑问，澄清原始业务需求中表达不明确的业务表达，加深和纠正需求分析人员对业务规则的理解。</w:t>
      </w:r>
    </w:p>
    <w:p>
      <w:pPr>
        <w:spacing w:line="360" w:lineRule="auto"/>
        <w:ind w:firstLine="480" w:firstLineChars="200"/>
        <w:rPr>
          <w:sz w:val="24"/>
          <w:szCs w:val="24"/>
        </w:rPr>
      </w:pPr>
      <w:r>
        <w:rPr>
          <w:rFonts w:hint="eastAsia"/>
          <w:sz w:val="24"/>
          <w:szCs w:val="24"/>
          <w:lang w:eastAsia="zh-CN"/>
        </w:rPr>
        <w:t>**信息</w:t>
      </w:r>
      <w:r>
        <w:rPr>
          <w:rFonts w:hint="eastAsia"/>
          <w:sz w:val="24"/>
          <w:szCs w:val="24"/>
        </w:rPr>
        <w:t>对于需求确认工作主要采用如下步骤：</w:t>
      </w:r>
    </w:p>
    <w:p>
      <w:pPr>
        <w:spacing w:line="360" w:lineRule="auto"/>
        <w:ind w:firstLine="480" w:firstLineChars="200"/>
        <w:rPr>
          <w:sz w:val="24"/>
          <w:szCs w:val="24"/>
        </w:rPr>
      </w:pPr>
      <w:r>
        <w:rPr>
          <w:rFonts w:hint="eastAsia"/>
          <w:sz w:val="24"/>
          <w:szCs w:val="24"/>
        </w:rPr>
        <w:t>一、业务分析员在填写完《用户需求调查表》后要经过被调查对象的签字确认；</w:t>
      </w:r>
    </w:p>
    <w:p>
      <w:pPr>
        <w:spacing w:line="360" w:lineRule="auto"/>
        <w:ind w:firstLine="480" w:firstLineChars="200"/>
        <w:rPr>
          <w:sz w:val="24"/>
          <w:szCs w:val="24"/>
        </w:rPr>
      </w:pPr>
      <w:r>
        <w:rPr>
          <w:rFonts w:hint="eastAsia"/>
          <w:sz w:val="24"/>
          <w:szCs w:val="24"/>
        </w:rPr>
        <w:t>二、业务分析员在需求确认阶段要采用多种方法对需求进行确认和验证，需求确认方法可以采用原型确认法和场景确认法。</w:t>
      </w:r>
    </w:p>
    <w:p>
      <w:pPr>
        <w:spacing w:line="360" w:lineRule="auto"/>
        <w:ind w:firstLine="480" w:firstLineChars="200"/>
        <w:rPr>
          <w:sz w:val="24"/>
          <w:szCs w:val="24"/>
        </w:rPr>
      </w:pPr>
      <w:r>
        <w:rPr>
          <w:rFonts w:hint="eastAsia"/>
          <w:sz w:val="24"/>
          <w:szCs w:val="24"/>
        </w:rPr>
        <w:t>（一）原型确认法</w:t>
      </w:r>
    </w:p>
    <w:p>
      <w:pPr>
        <w:spacing w:line="360" w:lineRule="auto"/>
        <w:ind w:firstLine="480" w:firstLineChars="200"/>
        <w:rPr>
          <w:sz w:val="24"/>
          <w:szCs w:val="24"/>
        </w:rPr>
      </w:pPr>
      <w:r>
        <w:rPr>
          <w:rFonts w:hint="eastAsia"/>
          <w:sz w:val="24"/>
          <w:szCs w:val="24"/>
        </w:rPr>
        <w:t>原型确认法比较直观，能帮助用户有效的理解设计意图，是最有效的需求确认方法之一。特别是用户本身对需求不是很清晰，原型确认法非常有效。原型确认按模型是否重用可以分为两类：抛弃型和非抛弃型两种。抛弃型原型用于确认需求，需求确认后，实际开发系统时不重用原型。非抛弃型原型，是指需求确认后实际系统是在原型的基础上继续开发。</w:t>
      </w:r>
    </w:p>
    <w:p>
      <w:pPr>
        <w:spacing w:line="360" w:lineRule="auto"/>
        <w:ind w:firstLine="480" w:firstLineChars="200"/>
        <w:rPr>
          <w:sz w:val="24"/>
          <w:szCs w:val="24"/>
        </w:rPr>
      </w:pPr>
      <w:r>
        <w:rPr>
          <w:rFonts w:hint="eastAsia"/>
          <w:sz w:val="24"/>
          <w:szCs w:val="24"/>
        </w:rPr>
        <w:t>按用途可以分为三类：用户界面原型、功能原型和性能原型。对交互式系统来说，用户最关心的往往是用户界面，包括菜单格式、输出格式和操作命令的使用等，建立用户界面原型时可以忽略功能、性能方面的要求；功能原型一般实现系统最重要的功能，此时可以忽略出错处理、性能等方面的要求；对实时系统来说，某些性能指标往往是很关键的，如响应时间、吞吐量等，此时可以建立性能原型，它应该实现系统中最耗时间、最占空间的那些功能，而对用户界面和其他功能则可以忽略。</w:t>
      </w:r>
    </w:p>
    <w:p>
      <w:pPr>
        <w:spacing w:line="360" w:lineRule="auto"/>
        <w:ind w:firstLine="480" w:firstLineChars="200"/>
        <w:rPr>
          <w:sz w:val="24"/>
          <w:szCs w:val="24"/>
        </w:rPr>
      </w:pPr>
      <w:r>
        <w:rPr>
          <w:rFonts w:hint="eastAsia"/>
          <w:sz w:val="24"/>
          <w:szCs w:val="24"/>
        </w:rPr>
        <w:t>（二）场景确认法</w:t>
      </w:r>
    </w:p>
    <w:p>
      <w:pPr>
        <w:spacing w:line="360" w:lineRule="auto"/>
        <w:ind w:firstLine="480" w:firstLineChars="200"/>
        <w:rPr>
          <w:sz w:val="24"/>
          <w:szCs w:val="24"/>
        </w:rPr>
      </w:pPr>
      <w:r>
        <w:rPr>
          <w:rFonts w:hint="eastAsia"/>
          <w:sz w:val="24"/>
          <w:szCs w:val="24"/>
        </w:rPr>
        <w:t>场景说明一项或多项用户任务，或要测试的一个特殊情况。场景是用例的一个实例，用例是执行某些工作的通常模式，场景是这一模式的一次具体实现。场景确认法有助于增加开发人员的直觉。场景确认法可以作为需求确认的辅助工具。</w:t>
      </w:r>
    </w:p>
    <w:p>
      <w:pPr>
        <w:spacing w:line="360" w:lineRule="auto"/>
        <w:ind w:firstLine="480" w:firstLineChars="200"/>
        <w:rPr>
          <w:sz w:val="24"/>
          <w:szCs w:val="24"/>
        </w:rPr>
      </w:pPr>
      <w:r>
        <w:rPr>
          <w:rFonts w:hint="eastAsia"/>
          <w:sz w:val="24"/>
          <w:szCs w:val="24"/>
        </w:rPr>
        <w:t>三、项目经理在《用户需求说明书》评审后，召集用户验收用户需求，填写《用户需求确认表》；</w:t>
      </w:r>
    </w:p>
    <w:p>
      <w:pPr>
        <w:spacing w:line="360" w:lineRule="auto"/>
        <w:ind w:firstLine="480" w:firstLineChars="200"/>
        <w:rPr>
          <w:sz w:val="24"/>
          <w:szCs w:val="24"/>
        </w:rPr>
      </w:pPr>
      <w:r>
        <w:rPr>
          <w:rFonts w:hint="eastAsia"/>
          <w:sz w:val="24"/>
          <w:szCs w:val="24"/>
        </w:rPr>
        <w:t>四、项目经理在《产品需求说明书》评审后，召集用户验收产品需求，填写《产品需求确认表》；</w:t>
      </w:r>
    </w:p>
    <w:p>
      <w:pPr>
        <w:spacing w:line="360" w:lineRule="auto"/>
        <w:ind w:firstLine="480" w:firstLineChars="200"/>
      </w:pPr>
      <w:r>
        <w:rPr>
          <w:rFonts w:hint="eastAsia"/>
          <w:sz w:val="24"/>
          <w:szCs w:val="24"/>
        </w:rPr>
        <w:t>五、高层经理对需求管理活动进行审查。</w:t>
      </w:r>
    </w:p>
    <w:p>
      <w:pPr>
        <w:pStyle w:val="4"/>
        <w:numPr>
          <w:ilvl w:val="2"/>
          <w:numId w:val="3"/>
        </w:numPr>
        <w:spacing w:before="0" w:after="0" w:line="360" w:lineRule="auto"/>
        <w:ind w:left="0" w:leftChars="0" w:firstLine="402" w:firstLineChars="0"/>
      </w:pPr>
      <w:bookmarkStart w:id="363" w:name="_Toc14030"/>
      <w:r>
        <w:rPr>
          <w:rFonts w:hint="eastAsia"/>
        </w:rPr>
        <w:t>需求评审</w:t>
      </w:r>
      <w:bookmarkEnd w:id="363"/>
    </w:p>
    <w:p>
      <w:pPr>
        <w:spacing w:line="360" w:lineRule="auto"/>
        <w:ind w:firstLine="480" w:firstLineChars="200"/>
        <w:rPr>
          <w:sz w:val="24"/>
          <w:szCs w:val="24"/>
        </w:rPr>
      </w:pPr>
      <w:r>
        <w:rPr>
          <w:rFonts w:hint="eastAsia"/>
          <w:sz w:val="24"/>
          <w:szCs w:val="24"/>
        </w:rPr>
        <w:t>一、需求评审方式</w:t>
      </w:r>
    </w:p>
    <w:p>
      <w:pPr>
        <w:spacing w:line="360" w:lineRule="auto"/>
        <w:ind w:firstLine="480" w:firstLineChars="200"/>
        <w:rPr>
          <w:sz w:val="24"/>
          <w:szCs w:val="24"/>
        </w:rPr>
      </w:pPr>
      <w:r>
        <w:rPr>
          <w:rFonts w:hint="eastAsia"/>
          <w:sz w:val="24"/>
          <w:szCs w:val="24"/>
        </w:rPr>
        <w:t>需求分析阶段评审的工作重点为本项目管理组、架构组、业务组、测试组会同用户（客户及最终用户）对需求规格说明书内容进行审查，从用户使用的角度出发，分析可能存在的场景，由局部到整体逐步进行，通过检查验证需求是否具备适宜性、充分性、正确性的要求，及时发现需求存在的问题。</w:t>
      </w:r>
    </w:p>
    <w:p>
      <w:pPr>
        <w:spacing w:line="360" w:lineRule="auto"/>
        <w:ind w:firstLine="480" w:firstLineChars="200"/>
        <w:rPr>
          <w:sz w:val="24"/>
          <w:szCs w:val="24"/>
        </w:rPr>
      </w:pPr>
      <w:r>
        <w:rPr>
          <w:rFonts w:hint="eastAsia"/>
          <w:sz w:val="24"/>
          <w:szCs w:val="24"/>
        </w:rPr>
        <w:t>二、需求评审要点</w:t>
      </w:r>
    </w:p>
    <w:p>
      <w:pPr>
        <w:spacing w:line="360" w:lineRule="auto"/>
        <w:ind w:firstLine="480" w:firstLineChars="200"/>
        <w:rPr>
          <w:sz w:val="24"/>
          <w:szCs w:val="24"/>
        </w:rPr>
      </w:pPr>
      <w:r>
        <w:rPr>
          <w:rFonts w:hint="eastAsia"/>
          <w:sz w:val="24"/>
          <w:szCs w:val="24"/>
        </w:rPr>
        <w:t>是否清晰地定义了引用文档。</w:t>
      </w:r>
    </w:p>
    <w:p>
      <w:pPr>
        <w:spacing w:line="360" w:lineRule="auto"/>
        <w:ind w:firstLine="480" w:firstLineChars="200"/>
        <w:rPr>
          <w:sz w:val="24"/>
          <w:szCs w:val="24"/>
        </w:rPr>
      </w:pPr>
      <w:r>
        <w:rPr>
          <w:rFonts w:hint="eastAsia"/>
          <w:sz w:val="24"/>
          <w:szCs w:val="24"/>
        </w:rPr>
        <w:t>是否以软件配置项为单位分别对各个软件配置项进行了需求分析。</w:t>
      </w:r>
    </w:p>
    <w:p>
      <w:pPr>
        <w:spacing w:line="360" w:lineRule="auto"/>
        <w:ind w:firstLine="480" w:firstLineChars="200"/>
        <w:rPr>
          <w:sz w:val="24"/>
          <w:szCs w:val="24"/>
        </w:rPr>
      </w:pPr>
      <w:r>
        <w:rPr>
          <w:rFonts w:hint="eastAsia"/>
          <w:sz w:val="24"/>
          <w:szCs w:val="24"/>
        </w:rPr>
        <w:t>是否对每个软件配置项的外部接口进行了清晰、完整的说明。</w:t>
      </w:r>
    </w:p>
    <w:p>
      <w:pPr>
        <w:spacing w:line="360" w:lineRule="auto"/>
        <w:ind w:firstLine="480" w:firstLineChars="200"/>
        <w:rPr>
          <w:sz w:val="24"/>
          <w:szCs w:val="24"/>
        </w:rPr>
      </w:pPr>
      <w:r>
        <w:rPr>
          <w:rFonts w:hint="eastAsia"/>
          <w:sz w:val="24"/>
          <w:szCs w:val="24"/>
        </w:rPr>
        <w:t>是否对每个软件配置项所包含的功能及其性能进行了适当的了解。</w:t>
      </w:r>
    </w:p>
    <w:p>
      <w:pPr>
        <w:spacing w:line="360" w:lineRule="auto"/>
        <w:ind w:firstLine="480" w:firstLineChars="200"/>
        <w:rPr>
          <w:sz w:val="24"/>
          <w:szCs w:val="24"/>
        </w:rPr>
      </w:pPr>
      <w:r>
        <w:rPr>
          <w:rFonts w:hint="eastAsia"/>
          <w:sz w:val="24"/>
          <w:szCs w:val="24"/>
        </w:rPr>
        <w:t>是否对每个软件功能的输入、输出进行了细致的说明。</w:t>
      </w:r>
    </w:p>
    <w:p>
      <w:pPr>
        <w:spacing w:line="360" w:lineRule="auto"/>
        <w:ind w:firstLine="480" w:firstLineChars="200"/>
        <w:rPr>
          <w:sz w:val="24"/>
          <w:szCs w:val="24"/>
        </w:rPr>
      </w:pPr>
      <w:r>
        <w:rPr>
          <w:rFonts w:hint="eastAsia"/>
          <w:sz w:val="24"/>
          <w:szCs w:val="24"/>
        </w:rPr>
        <w:t>是否对每个软件功能所对应的处理模型或处理流程（还包括容错处理模型、异常处理模型等）进行了详实的说明。</w:t>
      </w:r>
    </w:p>
    <w:p>
      <w:pPr>
        <w:spacing w:line="360" w:lineRule="auto"/>
        <w:ind w:firstLine="480" w:firstLineChars="200"/>
        <w:rPr>
          <w:sz w:val="24"/>
          <w:szCs w:val="24"/>
        </w:rPr>
      </w:pPr>
      <w:r>
        <w:rPr>
          <w:rFonts w:hint="eastAsia"/>
          <w:sz w:val="24"/>
          <w:szCs w:val="24"/>
        </w:rPr>
        <w:t>对于安全关键软件，是否清晰地表示了软件必须处理的安全关键事件或危险事件。</w:t>
      </w:r>
    </w:p>
    <w:p>
      <w:pPr>
        <w:spacing w:line="360" w:lineRule="auto"/>
        <w:ind w:firstLine="480" w:firstLineChars="200"/>
        <w:rPr>
          <w:sz w:val="24"/>
          <w:szCs w:val="24"/>
        </w:rPr>
      </w:pPr>
      <w:r>
        <w:rPr>
          <w:rFonts w:hint="eastAsia"/>
          <w:sz w:val="24"/>
          <w:szCs w:val="24"/>
        </w:rPr>
        <w:t>软件配置项的功能是否满足招标方的要求或系统设计文档的要求。</w:t>
      </w:r>
    </w:p>
    <w:p>
      <w:pPr>
        <w:spacing w:line="360" w:lineRule="auto"/>
        <w:ind w:firstLine="480" w:firstLineChars="200"/>
        <w:rPr>
          <w:sz w:val="24"/>
          <w:szCs w:val="24"/>
        </w:rPr>
      </w:pPr>
      <w:r>
        <w:rPr>
          <w:rFonts w:hint="eastAsia"/>
          <w:sz w:val="24"/>
          <w:szCs w:val="24"/>
        </w:rPr>
        <w:t>软件需求分析的方法、使用的工具是否得当。</w:t>
      </w:r>
    </w:p>
    <w:p>
      <w:pPr>
        <w:spacing w:line="360" w:lineRule="auto"/>
        <w:ind w:firstLine="480" w:firstLineChars="200"/>
        <w:rPr>
          <w:sz w:val="24"/>
          <w:szCs w:val="24"/>
        </w:rPr>
      </w:pPr>
      <w:r>
        <w:rPr>
          <w:rFonts w:hint="eastAsia"/>
          <w:sz w:val="24"/>
          <w:szCs w:val="24"/>
        </w:rPr>
        <w:t>是否明确了对软件的非功能性要求。</w:t>
      </w:r>
    </w:p>
    <w:p>
      <w:pPr>
        <w:spacing w:line="360" w:lineRule="auto"/>
        <w:ind w:firstLine="480" w:firstLineChars="200"/>
        <w:rPr>
          <w:sz w:val="24"/>
          <w:szCs w:val="24"/>
        </w:rPr>
      </w:pPr>
      <w:r>
        <w:rPr>
          <w:rFonts w:hint="eastAsia"/>
          <w:sz w:val="24"/>
          <w:szCs w:val="24"/>
        </w:rPr>
        <w:t>是否明确提出了软件的安全、可靠、易用、维护、可移植性的要求。</w:t>
      </w:r>
    </w:p>
    <w:p>
      <w:pPr>
        <w:spacing w:line="360" w:lineRule="auto"/>
        <w:ind w:firstLine="480" w:firstLineChars="200"/>
        <w:rPr>
          <w:sz w:val="24"/>
          <w:szCs w:val="24"/>
        </w:rPr>
      </w:pPr>
      <w:r>
        <w:rPr>
          <w:rFonts w:hint="eastAsia"/>
          <w:sz w:val="24"/>
          <w:szCs w:val="24"/>
        </w:rPr>
        <w:t>是否明确了对软件的数据保密性、完整性要求。</w:t>
      </w:r>
    </w:p>
    <w:p>
      <w:pPr>
        <w:spacing w:line="360" w:lineRule="auto"/>
        <w:ind w:firstLine="480" w:firstLineChars="200"/>
        <w:rPr>
          <w:sz w:val="24"/>
          <w:szCs w:val="24"/>
        </w:rPr>
      </w:pPr>
      <w:r>
        <w:rPr>
          <w:rFonts w:hint="eastAsia"/>
          <w:sz w:val="24"/>
          <w:szCs w:val="24"/>
        </w:rPr>
        <w:t>软件需求是否是可测试、可度量、可验证的。</w:t>
      </w:r>
    </w:p>
    <w:p>
      <w:pPr>
        <w:spacing w:line="360" w:lineRule="auto"/>
        <w:ind w:firstLine="480" w:firstLineChars="200"/>
        <w:rPr>
          <w:sz w:val="24"/>
          <w:szCs w:val="24"/>
        </w:rPr>
      </w:pPr>
      <w:r>
        <w:rPr>
          <w:rFonts w:hint="eastAsia"/>
          <w:sz w:val="24"/>
          <w:szCs w:val="24"/>
        </w:rPr>
        <w:t>是否具有双向需求追踪表，可向上及向下双方向追踪需求。</w:t>
      </w:r>
    </w:p>
    <w:p>
      <w:pPr>
        <w:spacing w:line="360" w:lineRule="auto"/>
        <w:ind w:firstLine="480" w:firstLineChars="200"/>
        <w:rPr>
          <w:sz w:val="24"/>
          <w:szCs w:val="24"/>
        </w:rPr>
      </w:pPr>
      <w:r>
        <w:rPr>
          <w:rFonts w:hint="eastAsia"/>
          <w:sz w:val="24"/>
          <w:szCs w:val="24"/>
        </w:rPr>
        <w:t>对于业务流程，是否有详细的描述，包括处理机制、算法等。</w:t>
      </w:r>
    </w:p>
    <w:p>
      <w:pPr>
        <w:spacing w:line="360" w:lineRule="auto"/>
        <w:ind w:firstLine="480" w:firstLineChars="200"/>
        <w:rPr>
          <w:sz w:val="24"/>
          <w:szCs w:val="24"/>
        </w:rPr>
      </w:pPr>
      <w:r>
        <w:rPr>
          <w:rFonts w:hint="eastAsia"/>
          <w:sz w:val="24"/>
          <w:szCs w:val="24"/>
        </w:rPr>
        <w:t>文档编写是否规范。</w:t>
      </w:r>
    </w:p>
    <w:p>
      <w:pPr>
        <w:spacing w:line="360" w:lineRule="auto"/>
        <w:ind w:firstLine="480" w:firstLineChars="200"/>
        <w:rPr>
          <w:sz w:val="24"/>
          <w:szCs w:val="24"/>
        </w:rPr>
      </w:pPr>
      <w:r>
        <w:rPr>
          <w:rFonts w:hint="eastAsia"/>
          <w:sz w:val="24"/>
          <w:szCs w:val="24"/>
        </w:rPr>
        <w:t>文档描述是否正确、完整、一致。</w:t>
      </w:r>
    </w:p>
    <w:p>
      <w:pPr>
        <w:pStyle w:val="4"/>
        <w:numPr>
          <w:ilvl w:val="2"/>
          <w:numId w:val="3"/>
        </w:numPr>
        <w:spacing w:before="0" w:after="0" w:line="360" w:lineRule="auto"/>
        <w:ind w:left="0" w:leftChars="0" w:firstLine="402" w:firstLineChars="0"/>
      </w:pPr>
      <w:bookmarkStart w:id="364" w:name="_Toc30506"/>
      <w:r>
        <w:rPr>
          <w:rFonts w:hint="eastAsia"/>
        </w:rPr>
        <w:t>需求跟踪</w:t>
      </w:r>
      <w:bookmarkEnd w:id="364"/>
    </w:p>
    <w:p>
      <w:pPr>
        <w:spacing w:line="360" w:lineRule="auto"/>
        <w:ind w:firstLine="480" w:firstLineChars="200"/>
        <w:rPr>
          <w:sz w:val="24"/>
          <w:szCs w:val="24"/>
        </w:rPr>
      </w:pPr>
      <w:r>
        <w:rPr>
          <w:rFonts w:hint="eastAsia"/>
          <w:sz w:val="24"/>
          <w:szCs w:val="24"/>
        </w:rPr>
        <w:t>需求跟踪工作步骤如下：</w:t>
      </w:r>
    </w:p>
    <w:p>
      <w:pPr>
        <w:spacing w:line="360" w:lineRule="auto"/>
        <w:ind w:firstLine="480" w:firstLineChars="200"/>
        <w:rPr>
          <w:sz w:val="24"/>
          <w:szCs w:val="24"/>
        </w:rPr>
      </w:pPr>
      <w:r>
        <w:rPr>
          <w:rFonts w:hint="eastAsia"/>
          <w:sz w:val="24"/>
          <w:szCs w:val="24"/>
        </w:rPr>
        <w:t>一、业务分析员在编写用户需求说明书时填写和维护《需求双向追踪表》，保持需求的一致性；</w:t>
      </w:r>
    </w:p>
    <w:p>
      <w:pPr>
        <w:spacing w:line="360" w:lineRule="auto"/>
        <w:ind w:firstLine="480" w:firstLineChars="200"/>
        <w:rPr>
          <w:sz w:val="24"/>
          <w:szCs w:val="24"/>
        </w:rPr>
      </w:pPr>
      <w:r>
        <w:rPr>
          <w:rFonts w:hint="eastAsia"/>
          <w:sz w:val="24"/>
          <w:szCs w:val="24"/>
        </w:rPr>
        <w:t>二、系统分析员在编写产品需求说明书时填写和维护《需求双向追踪表》，保持需求的一致性；</w:t>
      </w:r>
    </w:p>
    <w:p>
      <w:pPr>
        <w:spacing w:line="360" w:lineRule="auto"/>
        <w:ind w:firstLine="480" w:firstLineChars="200"/>
        <w:rPr>
          <w:sz w:val="24"/>
          <w:szCs w:val="24"/>
        </w:rPr>
      </w:pPr>
      <w:r>
        <w:rPr>
          <w:rFonts w:hint="eastAsia"/>
          <w:sz w:val="24"/>
          <w:szCs w:val="24"/>
        </w:rPr>
        <w:t>三、测试设计人员在编写测试用例时填写和维护《需求双向追踪表》，保持需求的一致性。</w:t>
      </w:r>
    </w:p>
    <w:p>
      <w:pPr>
        <w:spacing w:line="360" w:lineRule="auto"/>
        <w:ind w:firstLine="480" w:firstLineChars="200"/>
        <w:rPr>
          <w:sz w:val="24"/>
          <w:szCs w:val="24"/>
        </w:rPr>
      </w:pPr>
      <w:r>
        <w:rPr>
          <w:rFonts w:hint="eastAsia"/>
          <w:sz w:val="24"/>
          <w:szCs w:val="24"/>
        </w:rPr>
        <w:t>四、项目经理或业务分析员，在概要设计、详细设计、编码、单元测试等阶段以及需求发生变更时通过需求双向追踪表，识别需求和工作产品以及项目计划之间的不一致，并维护其一致性。</w:t>
      </w:r>
    </w:p>
    <w:p>
      <w:pPr>
        <w:spacing w:line="360" w:lineRule="auto"/>
        <w:ind w:firstLine="480" w:firstLineChars="200"/>
        <w:rPr>
          <w:sz w:val="24"/>
          <w:szCs w:val="24"/>
        </w:rPr>
      </w:pPr>
      <w:r>
        <w:rPr>
          <w:rFonts w:hint="eastAsia"/>
          <w:sz w:val="24"/>
          <w:szCs w:val="24"/>
        </w:rPr>
        <w:t>项目组通过《需求跟踪矩阵》建立各个开发阶段各个需求点之间的连接链。</w:t>
      </w:r>
    </w:p>
    <w:p>
      <w:pPr>
        <w:spacing w:line="360" w:lineRule="auto"/>
        <w:ind w:firstLine="480" w:firstLineChars="200"/>
        <w:rPr>
          <w:sz w:val="24"/>
          <w:szCs w:val="24"/>
        </w:rPr>
      </w:pPr>
      <w:r>
        <w:rPr>
          <w:rFonts w:hint="eastAsia"/>
          <w:sz w:val="24"/>
          <w:szCs w:val="24"/>
        </w:rPr>
        <w:t>一、分析阶段的需求跟踪</w:t>
      </w:r>
    </w:p>
    <w:p>
      <w:pPr>
        <w:spacing w:line="360" w:lineRule="auto"/>
        <w:ind w:firstLine="480" w:firstLineChars="200"/>
        <w:rPr>
          <w:sz w:val="24"/>
          <w:szCs w:val="24"/>
        </w:rPr>
      </w:pPr>
      <w:r>
        <w:rPr>
          <w:rFonts w:hint="eastAsia"/>
          <w:sz w:val="24"/>
          <w:szCs w:val="24"/>
        </w:rPr>
        <w:t>项目架构组在《需求跟踪矩阵》中建立业务需求和软件需求的对应关系，将已经完成需求分析的业务需求状态标识为“</w:t>
      </w:r>
      <w:r>
        <w:rPr>
          <w:sz w:val="24"/>
          <w:szCs w:val="24"/>
        </w:rPr>
        <w:t>R</w:t>
      </w:r>
      <w:r>
        <w:rPr>
          <w:rFonts w:hint="eastAsia"/>
          <w:sz w:val="24"/>
          <w:szCs w:val="24"/>
        </w:rPr>
        <w:t>”，未完成需求分析的业务需求状态标识为“</w:t>
      </w:r>
      <w:r>
        <w:rPr>
          <w:sz w:val="24"/>
          <w:szCs w:val="24"/>
        </w:rPr>
        <w:t>UR</w:t>
      </w:r>
      <w:r>
        <w:rPr>
          <w:rFonts w:hint="eastAsia"/>
          <w:sz w:val="24"/>
          <w:szCs w:val="24"/>
        </w:rPr>
        <w:t>”。</w:t>
      </w:r>
    </w:p>
    <w:p>
      <w:pPr>
        <w:spacing w:line="360" w:lineRule="auto"/>
        <w:ind w:firstLine="480" w:firstLineChars="200"/>
        <w:rPr>
          <w:sz w:val="24"/>
          <w:szCs w:val="24"/>
        </w:rPr>
      </w:pPr>
      <w:r>
        <w:rPr>
          <w:rFonts w:hint="eastAsia"/>
          <w:sz w:val="24"/>
          <w:szCs w:val="24"/>
        </w:rPr>
        <w:t>二、设计阶段的需求跟踪</w:t>
      </w:r>
    </w:p>
    <w:p>
      <w:pPr>
        <w:spacing w:line="360" w:lineRule="auto"/>
        <w:ind w:firstLine="480" w:firstLineChars="200"/>
        <w:rPr>
          <w:sz w:val="24"/>
          <w:szCs w:val="24"/>
        </w:rPr>
      </w:pPr>
      <w:r>
        <w:rPr>
          <w:rFonts w:hint="eastAsia"/>
          <w:sz w:val="24"/>
          <w:szCs w:val="24"/>
        </w:rPr>
        <w:t>项目架构组在《需求跟踪矩阵》中建立软件需求和设计项的对应关系，将已经完成设计的需求状态标识为“</w:t>
      </w:r>
      <w:r>
        <w:rPr>
          <w:sz w:val="24"/>
          <w:szCs w:val="24"/>
        </w:rPr>
        <w:t>D</w:t>
      </w:r>
      <w:r>
        <w:rPr>
          <w:rFonts w:hint="eastAsia"/>
          <w:sz w:val="24"/>
          <w:szCs w:val="24"/>
        </w:rPr>
        <w:t>”，未完成设计的需求状态标识为“</w:t>
      </w:r>
      <w:r>
        <w:rPr>
          <w:sz w:val="24"/>
          <w:szCs w:val="24"/>
        </w:rPr>
        <w:t>UD</w:t>
      </w:r>
      <w:r>
        <w:rPr>
          <w:rFonts w:hint="eastAsia"/>
          <w:sz w:val="24"/>
          <w:szCs w:val="24"/>
        </w:rPr>
        <w:t>”。</w:t>
      </w:r>
    </w:p>
    <w:p>
      <w:pPr>
        <w:spacing w:line="360" w:lineRule="auto"/>
        <w:ind w:firstLine="480" w:firstLineChars="200"/>
        <w:rPr>
          <w:sz w:val="24"/>
          <w:szCs w:val="24"/>
        </w:rPr>
      </w:pPr>
      <w:r>
        <w:rPr>
          <w:rFonts w:hint="eastAsia"/>
          <w:sz w:val="24"/>
          <w:szCs w:val="24"/>
        </w:rPr>
        <w:t>三、编码阶段的需求跟踪</w:t>
      </w:r>
    </w:p>
    <w:p>
      <w:pPr>
        <w:spacing w:line="360" w:lineRule="auto"/>
        <w:ind w:firstLine="480" w:firstLineChars="200"/>
        <w:rPr>
          <w:sz w:val="24"/>
          <w:szCs w:val="24"/>
        </w:rPr>
      </w:pPr>
      <w:r>
        <w:rPr>
          <w:rFonts w:hint="eastAsia"/>
          <w:sz w:val="24"/>
          <w:szCs w:val="24"/>
        </w:rPr>
        <w:t>项目业务组在《需求跟踪矩阵》中建立设计项和代码项的对应关系，将已经完成编码（通过自测）设计状态标识为“</w:t>
      </w:r>
      <w:r>
        <w:rPr>
          <w:sz w:val="24"/>
          <w:szCs w:val="24"/>
        </w:rPr>
        <w:t>C</w:t>
      </w:r>
      <w:r>
        <w:rPr>
          <w:rFonts w:hint="eastAsia"/>
          <w:sz w:val="24"/>
          <w:szCs w:val="24"/>
        </w:rPr>
        <w:t>”，未完成编码（通过自测）的设计状态标识为“</w:t>
      </w:r>
      <w:r>
        <w:rPr>
          <w:sz w:val="24"/>
          <w:szCs w:val="24"/>
        </w:rPr>
        <w:t>UC</w:t>
      </w:r>
      <w:r>
        <w:rPr>
          <w:rFonts w:hint="eastAsia"/>
          <w:sz w:val="24"/>
          <w:szCs w:val="24"/>
        </w:rPr>
        <w:t>”。</w:t>
      </w:r>
    </w:p>
    <w:p>
      <w:pPr>
        <w:spacing w:line="360" w:lineRule="auto"/>
        <w:ind w:firstLine="480" w:firstLineChars="200"/>
        <w:rPr>
          <w:sz w:val="24"/>
          <w:szCs w:val="24"/>
        </w:rPr>
      </w:pPr>
      <w:r>
        <w:rPr>
          <w:rFonts w:hint="eastAsia"/>
          <w:sz w:val="24"/>
          <w:szCs w:val="24"/>
        </w:rPr>
        <w:t>四、单元测试阶段的需求跟踪</w:t>
      </w:r>
    </w:p>
    <w:p>
      <w:pPr>
        <w:spacing w:line="360" w:lineRule="auto"/>
        <w:ind w:firstLine="480" w:firstLineChars="200"/>
        <w:rPr>
          <w:sz w:val="24"/>
          <w:szCs w:val="24"/>
        </w:rPr>
      </w:pPr>
      <w:r>
        <w:rPr>
          <w:rFonts w:hint="eastAsia"/>
          <w:sz w:val="24"/>
          <w:szCs w:val="24"/>
        </w:rPr>
        <w:t>测试组在《需求跟踪矩阵》中建立代码项和单元测试用例的对应关系，将通过单元测试的代码项状态标识为“</w:t>
      </w:r>
      <w:r>
        <w:rPr>
          <w:sz w:val="24"/>
          <w:szCs w:val="24"/>
        </w:rPr>
        <w:t>U</w:t>
      </w:r>
      <w:r>
        <w:rPr>
          <w:rFonts w:hint="eastAsia"/>
          <w:sz w:val="24"/>
          <w:szCs w:val="24"/>
        </w:rPr>
        <w:t>”，未通过单元测试的代码项状态标识为“</w:t>
      </w:r>
      <w:r>
        <w:rPr>
          <w:sz w:val="24"/>
          <w:szCs w:val="24"/>
        </w:rPr>
        <w:t>UU</w:t>
      </w:r>
      <w:r>
        <w:rPr>
          <w:rFonts w:hint="eastAsia"/>
          <w:sz w:val="24"/>
          <w:szCs w:val="24"/>
        </w:rPr>
        <w:t>”，并更新测试文档。</w:t>
      </w:r>
    </w:p>
    <w:p>
      <w:pPr>
        <w:spacing w:line="360" w:lineRule="auto"/>
        <w:ind w:firstLine="480" w:firstLineChars="200"/>
        <w:rPr>
          <w:sz w:val="24"/>
          <w:szCs w:val="24"/>
        </w:rPr>
      </w:pPr>
      <w:r>
        <w:rPr>
          <w:rFonts w:hint="eastAsia"/>
          <w:sz w:val="24"/>
          <w:szCs w:val="24"/>
        </w:rPr>
        <w:t>五、集成测试阶段的需求跟踪</w:t>
      </w:r>
    </w:p>
    <w:p>
      <w:pPr>
        <w:spacing w:line="360" w:lineRule="auto"/>
        <w:ind w:firstLine="480" w:firstLineChars="200"/>
        <w:rPr>
          <w:sz w:val="24"/>
          <w:szCs w:val="24"/>
        </w:rPr>
      </w:pPr>
      <w:r>
        <w:rPr>
          <w:rFonts w:hint="eastAsia"/>
          <w:sz w:val="24"/>
          <w:szCs w:val="24"/>
        </w:rPr>
        <w:t>测试组在《需求跟踪矩阵》中建立设计项和集成测试用例的对应关系，将通过集成测试的设计项状态标识为“</w:t>
      </w:r>
      <w:r>
        <w:rPr>
          <w:sz w:val="24"/>
          <w:szCs w:val="24"/>
        </w:rPr>
        <w:t>I</w:t>
      </w:r>
      <w:r>
        <w:rPr>
          <w:rFonts w:hint="eastAsia"/>
          <w:sz w:val="24"/>
          <w:szCs w:val="24"/>
        </w:rPr>
        <w:t>”，未通过集成测试的设计项状态标识为“</w:t>
      </w:r>
      <w:r>
        <w:rPr>
          <w:sz w:val="24"/>
          <w:szCs w:val="24"/>
        </w:rPr>
        <w:t>UI</w:t>
      </w:r>
      <w:r>
        <w:rPr>
          <w:rFonts w:hint="eastAsia"/>
          <w:sz w:val="24"/>
          <w:szCs w:val="24"/>
        </w:rPr>
        <w:t>”，并更新测试文档。</w:t>
      </w:r>
    </w:p>
    <w:p>
      <w:pPr>
        <w:spacing w:line="360" w:lineRule="auto"/>
        <w:ind w:firstLine="480" w:firstLineChars="200"/>
        <w:rPr>
          <w:sz w:val="24"/>
          <w:szCs w:val="24"/>
        </w:rPr>
      </w:pPr>
      <w:r>
        <w:rPr>
          <w:rFonts w:hint="eastAsia"/>
          <w:sz w:val="24"/>
          <w:szCs w:val="24"/>
        </w:rPr>
        <w:t>六、系统测试阶段的需求跟踪</w:t>
      </w:r>
    </w:p>
    <w:p>
      <w:pPr>
        <w:spacing w:line="360" w:lineRule="auto"/>
        <w:ind w:firstLine="480" w:firstLineChars="200"/>
        <w:rPr>
          <w:sz w:val="24"/>
          <w:szCs w:val="24"/>
        </w:rPr>
      </w:pPr>
      <w:r>
        <w:rPr>
          <w:rFonts w:hint="eastAsia"/>
          <w:sz w:val="24"/>
          <w:szCs w:val="24"/>
        </w:rPr>
        <w:t>测试组在《需求跟踪矩阵》中建立软件需求项和系统测试用例的对应关系，将通过系统测试的软件需求项状态标识为“</w:t>
      </w:r>
      <w:r>
        <w:rPr>
          <w:sz w:val="24"/>
          <w:szCs w:val="24"/>
        </w:rPr>
        <w:t>S</w:t>
      </w:r>
      <w:r>
        <w:rPr>
          <w:rFonts w:hint="eastAsia"/>
          <w:sz w:val="24"/>
          <w:szCs w:val="24"/>
        </w:rPr>
        <w:t>”，未通过系统测试的软件需求项状态标识为“</w:t>
      </w:r>
      <w:r>
        <w:rPr>
          <w:sz w:val="24"/>
          <w:szCs w:val="24"/>
        </w:rPr>
        <w:t>US</w:t>
      </w:r>
      <w:r>
        <w:rPr>
          <w:rFonts w:hint="eastAsia"/>
          <w:sz w:val="24"/>
          <w:szCs w:val="24"/>
        </w:rPr>
        <w:t>”，并更新测试文档。</w:t>
      </w:r>
    </w:p>
    <w:p>
      <w:pPr>
        <w:spacing w:line="360" w:lineRule="auto"/>
        <w:ind w:firstLine="480" w:firstLineChars="200"/>
        <w:rPr>
          <w:sz w:val="24"/>
          <w:szCs w:val="24"/>
        </w:rPr>
      </w:pPr>
      <w:r>
        <w:rPr>
          <w:rFonts w:hint="eastAsia"/>
          <w:sz w:val="24"/>
          <w:szCs w:val="24"/>
        </w:rPr>
        <w:t>七、发布阶段的需求跟踪</w:t>
      </w:r>
    </w:p>
    <w:p>
      <w:pPr>
        <w:spacing w:line="360" w:lineRule="auto"/>
        <w:ind w:firstLine="480" w:firstLineChars="200"/>
        <w:rPr>
          <w:sz w:val="24"/>
          <w:szCs w:val="24"/>
        </w:rPr>
      </w:pPr>
      <w:r>
        <w:rPr>
          <w:rFonts w:hint="eastAsia"/>
          <w:sz w:val="24"/>
          <w:szCs w:val="24"/>
        </w:rPr>
        <w:t>工程实施组对需求和验证项的对应关系进行维护。</w:t>
      </w:r>
    </w:p>
    <w:p>
      <w:pPr>
        <w:spacing w:line="360" w:lineRule="auto"/>
        <w:ind w:firstLine="480" w:firstLineChars="200"/>
      </w:pPr>
      <w:r>
        <w:rPr>
          <w:rFonts w:hint="eastAsia"/>
          <w:sz w:val="24"/>
          <w:szCs w:val="24"/>
        </w:rPr>
        <w:t>下图所示为</w:t>
      </w:r>
      <w:r>
        <w:rPr>
          <w:rFonts w:hint="eastAsia"/>
          <w:sz w:val="24"/>
          <w:szCs w:val="24"/>
          <w:lang w:eastAsia="zh-CN"/>
        </w:rPr>
        <w:t>**信息</w:t>
      </w:r>
      <w:r>
        <w:rPr>
          <w:rFonts w:hint="eastAsia"/>
          <w:sz w:val="24"/>
          <w:szCs w:val="24"/>
        </w:rPr>
        <w:t>在进行需求跟踪时所采用的需求双向跟踪表以及发生需求不一致时的处理措施应对表。</w:t>
      </w:r>
    </w:p>
    <w:p>
      <w:pPr>
        <w:spacing w:line="360" w:lineRule="auto"/>
      </w:pPr>
      <w:r>
        <w:drawing>
          <wp:inline distT="0" distB="0" distL="0" distR="0">
            <wp:extent cx="5257800" cy="2430780"/>
            <wp:effectExtent l="0" t="0" r="0" b="7620"/>
            <wp:docPr id="4367" name="图片 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 name="图片 43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57800" cy="2430780"/>
                    </a:xfrm>
                    <a:prstGeom prst="rect">
                      <a:avLst/>
                    </a:prstGeom>
                    <a:noFill/>
                    <a:ln>
                      <a:noFill/>
                    </a:ln>
                  </pic:spPr>
                </pic:pic>
              </a:graphicData>
            </a:graphic>
          </wp:inline>
        </w:drawing>
      </w:r>
    </w:p>
    <w:p>
      <w:pPr>
        <w:spacing w:line="360" w:lineRule="auto"/>
        <w:jc w:val="center"/>
      </w:pPr>
      <w:r>
        <w:rPr>
          <w:rFonts w:hint="eastAsia"/>
        </w:rPr>
        <w:t>需求追踪矩阵</w:t>
      </w:r>
    </w:p>
    <w:p>
      <w:pPr>
        <w:spacing w:line="360" w:lineRule="auto"/>
      </w:pPr>
      <w:r>
        <w:rPr>
          <w:sz w:val="24"/>
          <w:szCs w:val="24"/>
        </w:rPr>
        <w:t>[</w:t>
      </w:r>
      <w:r>
        <w:rPr>
          <w:rFonts w:hint="eastAsia"/>
          <w:sz w:val="24"/>
          <w:szCs w:val="24"/>
        </w:rPr>
        <w:t>填表说明：编号填</w:t>
      </w:r>
      <w:r>
        <w:rPr>
          <w:sz w:val="24"/>
          <w:szCs w:val="24"/>
        </w:rPr>
        <w:t>5</w:t>
      </w:r>
      <w:r>
        <w:rPr>
          <w:rFonts w:hint="eastAsia"/>
          <w:sz w:val="24"/>
          <w:szCs w:val="24"/>
        </w:rPr>
        <w:t>位顺序号，不足</w:t>
      </w:r>
      <w:r>
        <w:rPr>
          <w:sz w:val="24"/>
          <w:szCs w:val="24"/>
        </w:rPr>
        <w:t>5</w:t>
      </w:r>
      <w:r>
        <w:rPr>
          <w:rFonts w:hint="eastAsia"/>
          <w:sz w:val="24"/>
          <w:szCs w:val="24"/>
        </w:rPr>
        <w:t>位左边补</w:t>
      </w:r>
      <w:r>
        <w:rPr>
          <w:sz w:val="24"/>
          <w:szCs w:val="24"/>
        </w:rPr>
        <w:t>0</w:t>
      </w:r>
      <w:r>
        <w:rPr>
          <w:rFonts w:hint="eastAsia"/>
          <w:sz w:val="24"/>
          <w:szCs w:val="24"/>
        </w:rPr>
        <w:t>；客户需求、产品需求、概要设计、详细设计、测试用例填对应文档标题的编号；源代码填函数名或包＋对象名</w:t>
      </w:r>
      <w:r>
        <w:rPr>
          <w:sz w:val="24"/>
          <w:szCs w:val="24"/>
        </w:rPr>
        <w:t>]</w:t>
      </w:r>
      <w:r>
        <w:rPr>
          <w:rFonts w:hint="eastAsia"/>
          <w:sz w:val="24"/>
          <w:szCs w:val="24"/>
        </w:rPr>
        <w:t>。用户</w:t>
      </w:r>
      <w:r>
        <w:rPr>
          <w:sz w:val="24"/>
          <w:szCs w:val="24"/>
        </w:rPr>
        <w:t>/</w:t>
      </w:r>
      <w:r>
        <w:rPr>
          <w:rFonts w:hint="eastAsia"/>
          <w:sz w:val="24"/>
          <w:szCs w:val="24"/>
        </w:rPr>
        <w:t>产品需求包括功能需求和非功能需求。</w:t>
      </w:r>
    </w:p>
    <w:p>
      <w:pPr>
        <w:spacing w:line="360" w:lineRule="auto"/>
      </w:pPr>
      <w:r>
        <w:drawing>
          <wp:inline distT="0" distB="0" distL="0" distR="0">
            <wp:extent cx="5295900" cy="3086100"/>
            <wp:effectExtent l="0" t="0" r="0" b="0"/>
            <wp:docPr id="4368" name="图片 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 name="图片 43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95900" cy="3086100"/>
                    </a:xfrm>
                    <a:prstGeom prst="rect">
                      <a:avLst/>
                    </a:prstGeom>
                    <a:noFill/>
                    <a:ln>
                      <a:noFill/>
                    </a:ln>
                  </pic:spPr>
                </pic:pic>
              </a:graphicData>
            </a:graphic>
          </wp:inline>
        </w:drawing>
      </w:r>
    </w:p>
    <w:p>
      <w:pPr>
        <w:spacing w:line="360" w:lineRule="auto"/>
        <w:jc w:val="center"/>
      </w:pPr>
      <w:r>
        <w:rPr>
          <w:rFonts w:hint="eastAsia"/>
        </w:rPr>
        <w:t>需求不一致处理记录表</w:t>
      </w:r>
    </w:p>
    <w:p>
      <w:pPr>
        <w:spacing w:line="360" w:lineRule="auto"/>
      </w:pPr>
    </w:p>
    <w:p>
      <w:pPr>
        <w:pStyle w:val="4"/>
        <w:numPr>
          <w:ilvl w:val="2"/>
          <w:numId w:val="3"/>
        </w:numPr>
        <w:spacing w:before="0" w:after="0" w:line="360" w:lineRule="auto"/>
        <w:ind w:left="0" w:leftChars="0" w:firstLine="402" w:firstLineChars="0"/>
      </w:pPr>
      <w:bookmarkStart w:id="365" w:name="_Toc21279"/>
      <w:r>
        <w:rPr>
          <w:rFonts w:hint="eastAsia"/>
        </w:rPr>
        <w:t>需求变更控制</w:t>
      </w:r>
      <w:bookmarkEnd w:id="365"/>
    </w:p>
    <w:p>
      <w:pPr>
        <w:spacing w:line="360" w:lineRule="auto"/>
        <w:ind w:firstLine="480" w:firstLineChars="200"/>
        <w:jc w:val="left"/>
        <w:rPr>
          <w:sz w:val="24"/>
          <w:szCs w:val="24"/>
        </w:rPr>
      </w:pPr>
      <w:r>
        <w:rPr>
          <w:rFonts w:hint="eastAsia"/>
          <w:sz w:val="24"/>
          <w:szCs w:val="24"/>
        </w:rPr>
        <w:t>在软件项目管理过程中，经常面对用户的需求变更。为此，</w:t>
      </w:r>
      <w:r>
        <w:rPr>
          <w:rFonts w:hint="eastAsia"/>
          <w:sz w:val="24"/>
          <w:szCs w:val="24"/>
          <w:lang w:eastAsia="zh-CN"/>
        </w:rPr>
        <w:t>**信息</w:t>
      </w:r>
      <w:r>
        <w:rPr>
          <w:rFonts w:hint="eastAsia"/>
          <w:sz w:val="24"/>
          <w:szCs w:val="24"/>
        </w:rPr>
        <w:t>在总结以往项目经验的基础上，形成了一套经过多数项目验证为高效可行的需求变更管理流程，主要流程如下：</w:t>
      </w:r>
    </w:p>
    <w:p>
      <w:pPr>
        <w:spacing w:line="360" w:lineRule="auto"/>
        <w:ind w:firstLine="480" w:firstLineChars="200"/>
        <w:jc w:val="left"/>
        <w:rPr>
          <w:sz w:val="24"/>
          <w:szCs w:val="24"/>
        </w:rPr>
      </w:pPr>
      <w:r>
        <w:rPr>
          <w:rFonts w:hint="eastAsia"/>
          <w:sz w:val="24"/>
          <w:szCs w:val="24"/>
        </w:rPr>
        <w:t>一、变更请求</w:t>
      </w:r>
    </w:p>
    <w:p>
      <w:pPr>
        <w:spacing w:line="360" w:lineRule="auto"/>
        <w:jc w:val="left"/>
        <w:rPr>
          <w:sz w:val="24"/>
          <w:szCs w:val="24"/>
        </w:rPr>
      </w:pPr>
      <w:r>
        <w:rPr>
          <w:rFonts w:hint="eastAsia"/>
          <w:sz w:val="24"/>
          <w:szCs w:val="24"/>
        </w:rPr>
        <w:t>变更发起人提出变更请求时，填写《变更申请表》详细描述该变更，然后将申请表提交给项目经理。《变更申请表》内容描述了发生变更的详细信息。</w:t>
      </w:r>
      <w:r>
        <w:rPr>
          <w:sz w:val="24"/>
          <w:szCs w:val="24"/>
        </w:rPr>
        <mc:AlternateContent>
          <mc:Choice Requires="wps">
            <w:drawing>
              <wp:anchor distT="0" distB="0" distL="114300" distR="114300" simplePos="0" relativeHeight="251679744" behindDoc="0" locked="0" layoutInCell="1" allowOverlap="1">
                <wp:simplePos x="0" y="0"/>
                <wp:positionH relativeFrom="column">
                  <wp:posOffset>5450205</wp:posOffset>
                </wp:positionH>
                <wp:positionV relativeFrom="paragraph">
                  <wp:posOffset>8286750</wp:posOffset>
                </wp:positionV>
                <wp:extent cx="0" cy="447675"/>
                <wp:effectExtent l="9525" t="9525" r="9525" b="9525"/>
                <wp:wrapNone/>
                <wp:docPr id="540" name="直接箭头连接符 540"/>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19050">
                          <a:solidFill>
                            <a:srgbClr val="000000"/>
                          </a:solidFill>
                          <a:round/>
                        </a:ln>
                      </wps:spPr>
                      <wps:bodyPr/>
                    </wps:wsp>
                  </a:graphicData>
                </a:graphic>
              </wp:anchor>
            </w:drawing>
          </mc:Choice>
          <mc:Fallback>
            <w:pict>
              <v:shape id="_x0000_s1026" o:spid="_x0000_s1026" o:spt="32" type="#_x0000_t32" style="position:absolute;left:0pt;margin-left:429.15pt;margin-top:652.5pt;height:35.25pt;width:0pt;z-index:251679744;mso-width-relative:page;mso-height-relative:page;" filled="f" stroked="t" coordsize="21600,21600" o:gfxdata="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dvIwfWAAAADQEAAA8AAAAAAAAA&#10;AQAgAAAAIgAAAGRycy9kb3ducmV2LnhtbFBLAQIUABQAAAAIAIdO4kA7uALT2gEAAHQDAAAOAAAA&#10;AAAAAAEAIAAAACUBAABkcnMvZTJvRG9jLnhtbFBLBQYAAAAABgAGAFkBAABxBQAAAAA=&#10;">
                <v:fill on="f" focussize="0,0"/>
                <v:stroke weight="1.5pt" color="#000000" joinstyle="round"/>
                <v:imagedata o:title=""/>
                <o:lock v:ext="edit" aspectratio="f"/>
              </v:shape>
            </w:pict>
          </mc:Fallback>
        </mc:AlternateContent>
      </w:r>
      <w:r>
        <w:rPr>
          <w:sz w:val="24"/>
          <w:szCs w:val="24"/>
        </w:rPr>
        <mc:AlternateContent>
          <mc:Choice Requires="wps">
            <w:drawing>
              <wp:anchor distT="0" distB="0" distL="114300" distR="114300" simplePos="0" relativeHeight="251678720" behindDoc="0" locked="0" layoutInCell="1" allowOverlap="1">
                <wp:simplePos x="0" y="0"/>
                <wp:positionH relativeFrom="column">
                  <wp:posOffset>5450205</wp:posOffset>
                </wp:positionH>
                <wp:positionV relativeFrom="paragraph">
                  <wp:posOffset>6667500</wp:posOffset>
                </wp:positionV>
                <wp:extent cx="0" cy="1219200"/>
                <wp:effectExtent l="9525" t="9525" r="9525" b="9525"/>
                <wp:wrapNone/>
                <wp:docPr id="539" name="直接箭头连接符 539"/>
                <wp:cNvGraphicFramePr/>
                <a:graphic xmlns:a="http://schemas.openxmlformats.org/drawingml/2006/main">
                  <a:graphicData uri="http://schemas.microsoft.com/office/word/2010/wordprocessingShape">
                    <wps:wsp>
                      <wps:cNvCnPr>
                        <a:cxnSpLocks noChangeShapeType="1"/>
                      </wps:cNvCnPr>
                      <wps:spPr bwMode="auto">
                        <a:xfrm>
                          <a:off x="0" y="0"/>
                          <a:ext cx="0" cy="1219200"/>
                        </a:xfrm>
                        <a:prstGeom prst="straightConnector1">
                          <a:avLst/>
                        </a:prstGeom>
                        <a:noFill/>
                        <a:ln w="19050">
                          <a:solidFill>
                            <a:srgbClr val="000000"/>
                          </a:solidFill>
                          <a:round/>
                        </a:ln>
                      </wps:spPr>
                      <wps:bodyPr/>
                    </wps:wsp>
                  </a:graphicData>
                </a:graphic>
              </wp:anchor>
            </w:drawing>
          </mc:Choice>
          <mc:Fallback>
            <w:pict>
              <v:shape id="_x0000_s1026" o:spid="_x0000_s1026" o:spt="32" type="#_x0000_t32" style="position:absolute;left:0pt;margin-left:429.15pt;margin-top:525pt;height:96pt;width:0pt;z-index:251678720;mso-width-relative:page;mso-height-relative:page;" filled="f" stroked="t" coordsize="21600,21600" o:gfxdata="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eLh9YAAAANAQAADwAAAAAAAAAB&#10;ACAAAAAiAAAAZHJzL2Rvd25yZXYueG1sUEsBAhQAFAAAAAgAh07iQKUYvJbZAQAAdQMAAA4AAAAA&#10;AAAAAQAgAAAAJQEAAGRycy9lMm9Eb2MueG1sUEsFBgAAAAAGAAYAWQEAAHAFAAAAAA==&#10;">
                <v:fill on="f" focussize="0,0"/>
                <v:stroke weight="1.5pt" color="#000000" joinstyle="round"/>
                <v:imagedata o:title=""/>
                <o:lock v:ext="edit" aspectratio="f"/>
              </v:shape>
            </w:pict>
          </mc:Fallback>
        </mc:AlternateContent>
      </w:r>
    </w:p>
    <w:p>
      <w:pPr>
        <w:spacing w:line="360" w:lineRule="auto"/>
        <w:ind w:firstLine="480" w:firstLineChars="200"/>
        <w:rPr>
          <w:sz w:val="24"/>
          <w:szCs w:val="24"/>
        </w:rPr>
      </w:pPr>
      <w:r>
        <w:rPr>
          <w:rFonts w:hint="eastAsia"/>
          <w:sz w:val="24"/>
          <w:szCs w:val="24"/>
        </w:rPr>
        <w:t>二、评估变更请求</w:t>
      </w:r>
    </w:p>
    <w:p>
      <w:pPr>
        <w:spacing w:line="360" w:lineRule="auto"/>
        <w:ind w:firstLine="480" w:firstLineChars="200"/>
        <w:rPr>
          <w:sz w:val="24"/>
          <w:szCs w:val="24"/>
        </w:rPr>
      </w:pPr>
      <w:r>
        <w:rPr>
          <w:rFonts w:hint="eastAsia"/>
          <w:sz w:val="24"/>
          <w:szCs w:val="24"/>
        </w:rPr>
        <w:t>项目经理指派技术专家对变更进行分析，技术专家对变更进行分析后将评估结果详细地记录在《变更申请表》里。</w:t>
      </w:r>
    </w:p>
    <w:p>
      <w:pPr>
        <w:spacing w:line="360" w:lineRule="auto"/>
        <w:ind w:firstLine="480" w:firstLineChars="200"/>
        <w:rPr>
          <w:sz w:val="24"/>
          <w:szCs w:val="24"/>
        </w:rPr>
      </w:pPr>
      <w:r>
        <w:rPr>
          <w:rFonts w:hint="eastAsia"/>
          <w:sz w:val="24"/>
          <w:szCs w:val="24"/>
        </w:rPr>
        <w:t>三、评审和批准变更</w:t>
      </w:r>
    </w:p>
    <w:p>
      <w:pPr>
        <w:spacing w:line="360" w:lineRule="auto"/>
        <w:ind w:firstLine="480" w:firstLineChars="200"/>
        <w:rPr>
          <w:sz w:val="24"/>
          <w:szCs w:val="24"/>
        </w:rPr>
      </w:pPr>
      <w:r>
        <w:rPr>
          <w:rFonts w:hint="eastAsia"/>
          <w:sz w:val="24"/>
          <w:szCs w:val="24"/>
        </w:rPr>
        <w:t>项目经理把《变更申请表》提交给变更控制委员会</w:t>
      </w:r>
      <w:r>
        <w:rPr>
          <w:sz w:val="24"/>
          <w:szCs w:val="24"/>
        </w:rPr>
        <w:t>CCB</w:t>
      </w:r>
      <w:r>
        <w:rPr>
          <w:rFonts w:hint="eastAsia"/>
          <w:sz w:val="24"/>
          <w:szCs w:val="24"/>
        </w:rPr>
        <w:t>，</w:t>
      </w:r>
      <w:r>
        <w:rPr>
          <w:sz w:val="24"/>
          <w:szCs w:val="24"/>
        </w:rPr>
        <w:t>CCB</w:t>
      </w:r>
      <w:r>
        <w:rPr>
          <w:rFonts w:hint="eastAsia"/>
          <w:sz w:val="24"/>
          <w:szCs w:val="24"/>
        </w:rPr>
        <w:t>举行正式或非正式的会议对该变更进行讨论并做出决议，如果是比较大的变更（如：需求的重大改变），必须进行正式的会议，做出的决定要详细地记录在《变更申请表》里。</w:t>
      </w:r>
    </w:p>
    <w:p>
      <w:pPr>
        <w:spacing w:line="360" w:lineRule="auto"/>
        <w:ind w:firstLine="480" w:firstLineChars="200"/>
        <w:rPr>
          <w:sz w:val="24"/>
          <w:szCs w:val="24"/>
        </w:rPr>
      </w:pPr>
      <w:r>
        <w:rPr>
          <w:rFonts w:hint="eastAsia"/>
          <w:sz w:val="24"/>
          <w:szCs w:val="24"/>
        </w:rPr>
        <w:t>如果变更被拒绝，该变更结束并通知变更发起人；如果变更延期实施，在下次重新提出该变更时要重新评估和批准；如果变更被批准，配置管理员根据《配置审计报告表》进行检出审计，发现有问题要报告给</w:t>
      </w:r>
      <w:r>
        <w:rPr>
          <w:sz w:val="24"/>
          <w:szCs w:val="24"/>
        </w:rPr>
        <w:t>CCB</w:t>
      </w:r>
      <w:r>
        <w:rPr>
          <w:rFonts w:hint="eastAsia"/>
          <w:sz w:val="24"/>
          <w:szCs w:val="24"/>
        </w:rPr>
        <w:t>并采取相应的行动，审计通过后配置管理员检出配置项，发送审计报告给相关人员并填写《配置项状态表》。</w:t>
      </w:r>
    </w:p>
    <w:p>
      <w:pPr>
        <w:spacing w:line="360" w:lineRule="auto"/>
        <w:ind w:firstLine="480" w:firstLineChars="200"/>
        <w:rPr>
          <w:sz w:val="24"/>
          <w:szCs w:val="24"/>
        </w:rPr>
      </w:pPr>
      <w:r>
        <w:rPr>
          <w:rFonts w:hint="eastAsia"/>
          <w:sz w:val="24"/>
          <w:szCs w:val="24"/>
        </w:rPr>
        <w:t>四、实现变更</w:t>
      </w:r>
    </w:p>
    <w:p>
      <w:pPr>
        <w:spacing w:line="360" w:lineRule="auto"/>
        <w:ind w:firstLine="480" w:firstLineChars="200"/>
        <w:rPr>
          <w:sz w:val="24"/>
          <w:szCs w:val="24"/>
        </w:rPr>
      </w:pPr>
      <w:r>
        <w:rPr>
          <w:rFonts w:hint="eastAsia"/>
          <w:sz w:val="24"/>
          <w:szCs w:val="24"/>
        </w:rPr>
        <w:t>对于所有的被批准的变更，项目经理应指派人员负责实施变更，并且监督变更任务的执行，如检查变更内容是否正确、是否按时完成工作等。</w:t>
      </w:r>
    </w:p>
    <w:p>
      <w:pPr>
        <w:spacing w:line="360" w:lineRule="auto"/>
        <w:ind w:firstLine="480" w:firstLineChars="200"/>
        <w:rPr>
          <w:sz w:val="24"/>
          <w:szCs w:val="24"/>
        </w:rPr>
      </w:pPr>
      <w:r>
        <w:rPr>
          <w:rFonts w:hint="eastAsia"/>
          <w:sz w:val="24"/>
          <w:szCs w:val="24"/>
        </w:rPr>
        <w:t>五、批准结果</w:t>
      </w:r>
    </w:p>
    <w:p>
      <w:pPr>
        <w:spacing w:line="360" w:lineRule="auto"/>
        <w:ind w:firstLine="480" w:firstLineChars="200"/>
        <w:rPr>
          <w:sz w:val="24"/>
          <w:szCs w:val="24"/>
        </w:rPr>
      </w:pPr>
      <w:r>
        <w:rPr>
          <w:rFonts w:hint="eastAsia"/>
          <w:sz w:val="24"/>
          <w:szCs w:val="24"/>
        </w:rPr>
        <w:t>批准结果即对变更后的配置项重新进行评审。在变更评审</w:t>
      </w:r>
      <w:r>
        <w:rPr>
          <w:sz w:val="24"/>
          <w:szCs w:val="24"/>
        </w:rPr>
        <w:t>/</w:t>
      </w:r>
      <w:r>
        <w:rPr>
          <w:rFonts w:hint="eastAsia"/>
          <w:sz w:val="24"/>
          <w:szCs w:val="24"/>
        </w:rPr>
        <w:t>测试通过后，项目经理通知配置管理员关闭该变更。评审情况及结果记录在《变更申请表》中。</w:t>
      </w:r>
    </w:p>
    <w:p>
      <w:pPr>
        <w:spacing w:line="360" w:lineRule="auto"/>
        <w:ind w:firstLine="480" w:firstLineChars="200"/>
        <w:rPr>
          <w:sz w:val="24"/>
          <w:szCs w:val="24"/>
        </w:rPr>
      </w:pPr>
      <w:r>
        <w:rPr>
          <w:rFonts w:hint="eastAsia"/>
          <w:sz w:val="24"/>
          <w:szCs w:val="24"/>
        </w:rPr>
        <w:t>六、更新配置项</w:t>
      </w:r>
    </w:p>
    <w:p>
      <w:pPr>
        <w:spacing w:line="360" w:lineRule="auto"/>
        <w:ind w:firstLine="480" w:firstLineChars="200"/>
        <w:rPr>
          <w:sz w:val="24"/>
          <w:szCs w:val="24"/>
        </w:rPr>
      </w:pPr>
      <w:r>
        <w:rPr>
          <w:rFonts w:hint="eastAsia"/>
          <w:sz w:val="24"/>
          <w:szCs w:val="24"/>
        </w:rPr>
        <w:t>文档和代码的变更流程有些不同，下面分别用两个流程图描述如下：</w:t>
      </w:r>
    </w:p>
    <w:p>
      <w:pPr>
        <w:spacing w:line="360" w:lineRule="auto"/>
        <w:rPr>
          <w:lang w:val="zh-CN" w:eastAsia="zh-CN"/>
        </w:rPr>
      </w:pPr>
      <w:r>
        <w:rPr>
          <w:lang w:val="zh-CN" w:eastAsia="zh-CN"/>
        </w:rPr>
        <w:object>
          <v:shape id="_x0000_i1029" o:spt="75" type="#_x0000_t75" style="height:390pt;width:416.25pt;" o:ole="t" filled="f" o:preferrelative="t" stroked="f" coordsize="21600,21600">
            <v:path/>
            <v:fill on="f" focussize="0,0"/>
            <v:stroke on="f" joinstyle="miter"/>
            <v:imagedata r:id="rId39" o:title=""/>
            <o:lock v:ext="edit" aspectratio="t"/>
            <w10:wrap type="none"/>
            <w10:anchorlock/>
          </v:shape>
          <o:OLEObject Type="Embed" ProgID="Visio.Drawing.11" ShapeID="_x0000_i1029" DrawAspect="Content" ObjectID="_1468075729" r:id="rId38">
            <o:LockedField>false</o:LockedField>
          </o:OLEObject>
        </w:object>
      </w:r>
    </w:p>
    <w:p>
      <w:pPr>
        <w:spacing w:line="360" w:lineRule="auto"/>
        <w:rPr>
          <w:lang w:val="zh-CN" w:eastAsia="zh-CN"/>
        </w:rPr>
      </w:pPr>
    </w:p>
    <w:p>
      <w:pPr>
        <w:spacing w:line="360" w:lineRule="auto"/>
        <w:jc w:val="center"/>
      </w:pPr>
      <w:r>
        <w:rPr>
          <w:rFonts w:hint="eastAsia"/>
        </w:rPr>
        <w:t>文档变更流程图</w:t>
      </w:r>
    </w:p>
    <w:p>
      <w:pPr>
        <w:spacing w:line="360" w:lineRule="auto"/>
        <w:rPr>
          <w:lang w:val="zh-CN" w:eastAsia="zh-CN"/>
        </w:rPr>
      </w:pPr>
      <w:r>
        <w:rPr>
          <w:lang w:val="zh-CN" w:eastAsia="zh-CN"/>
        </w:rPr>
        <w:object>
          <v:shape id="_x0000_i1030" o:spt="75" type="#_x0000_t75" style="height:423.75pt;width:417.75pt;" o:ole="t" filled="f" o:preferrelative="t" stroked="f" coordsize="21600,21600">
            <v:path/>
            <v:fill on="f" focussize="0,0"/>
            <v:stroke on="f" joinstyle="miter"/>
            <v:imagedata r:id="rId41" o:title=""/>
            <o:lock v:ext="edit" aspectratio="t"/>
            <w10:wrap type="none"/>
            <w10:anchorlock/>
          </v:shape>
          <o:OLEObject Type="Embed" ProgID="Visio.Drawing.11" ShapeID="_x0000_i1030" DrawAspect="Content" ObjectID="_1468075730" r:id="rId40">
            <o:LockedField>false</o:LockedField>
          </o:OLEObject>
        </w:object>
      </w:r>
    </w:p>
    <w:p>
      <w:pPr>
        <w:spacing w:line="360" w:lineRule="auto"/>
        <w:jc w:val="center"/>
      </w:pPr>
      <w:r>
        <w:rPr>
          <w:rFonts w:hint="eastAsia"/>
        </w:rPr>
        <w:t>代码变更流程</w:t>
      </w:r>
    </w:p>
    <w:p>
      <w:pPr>
        <w:spacing w:line="360" w:lineRule="auto"/>
      </w:pPr>
    </w:p>
    <w:p>
      <w:pPr>
        <w:spacing w:line="360" w:lineRule="auto"/>
        <w:ind w:firstLine="420" w:firstLineChars="200"/>
      </w:pPr>
    </w:p>
    <w:p>
      <w:pPr>
        <w:spacing w:line="360" w:lineRule="auto"/>
      </w:pPr>
    </w:p>
    <w:p>
      <w:pPr>
        <w:pStyle w:val="3"/>
        <w:numPr>
          <w:ilvl w:val="1"/>
          <w:numId w:val="3"/>
        </w:numPr>
        <w:spacing w:before="0" w:after="0" w:line="360" w:lineRule="auto"/>
        <w:ind w:left="0" w:leftChars="0" w:firstLine="402" w:firstLineChars="0"/>
      </w:pPr>
      <w:bookmarkStart w:id="366" w:name="_Toc24853"/>
      <w:r>
        <w:rPr>
          <w:rFonts w:hint="eastAsia"/>
        </w:rPr>
        <w:t>项目变更管理计划</w:t>
      </w:r>
      <w:bookmarkEnd w:id="366"/>
    </w:p>
    <w:p>
      <w:pPr>
        <w:spacing w:line="360" w:lineRule="auto"/>
        <w:ind w:firstLine="480" w:firstLineChars="200"/>
        <w:rPr>
          <w:sz w:val="24"/>
          <w:szCs w:val="24"/>
        </w:rPr>
      </w:pPr>
      <w:r>
        <w:rPr>
          <w:rFonts w:hint="eastAsia"/>
          <w:sz w:val="24"/>
          <w:szCs w:val="24"/>
        </w:rPr>
        <w:t>项目发生变更时，如果管理不好，就会直接导致项目延期或失败，所以变更管理在整个项目的管理中处于重要位置。大型复杂项目的变更往往会导致项目建设目标的偏离，造成投资的浪费和成本的不可控。因此对于项目的变更要严格控制，尤其对于重大变更必须由项目各方都参加的联席会议评审通过，对于重大的技术变更，必须由专家委员会评审通过。并经过总集成商和总监理方的签批认可。项目变更管理主要是控制影响项目变更的因素，并有效控制变更的影响。</w:t>
      </w:r>
    </w:p>
    <w:p>
      <w:pPr>
        <w:pStyle w:val="4"/>
        <w:numPr>
          <w:ilvl w:val="2"/>
          <w:numId w:val="3"/>
        </w:numPr>
        <w:spacing w:before="0" w:after="0" w:line="360" w:lineRule="auto"/>
        <w:ind w:left="0" w:leftChars="0" w:firstLine="402" w:firstLineChars="0"/>
      </w:pPr>
      <w:bookmarkStart w:id="367" w:name="_Toc9959"/>
      <w:r>
        <w:rPr>
          <w:rFonts w:hint="eastAsia"/>
        </w:rPr>
        <w:t>变更类型</w:t>
      </w:r>
      <w:bookmarkEnd w:id="367"/>
    </w:p>
    <w:p>
      <w:pPr>
        <w:spacing w:line="360" w:lineRule="auto"/>
        <w:ind w:firstLine="480" w:firstLineChars="200"/>
        <w:rPr>
          <w:sz w:val="24"/>
          <w:szCs w:val="24"/>
        </w:rPr>
      </w:pPr>
      <w:r>
        <w:rPr>
          <w:rFonts w:hint="eastAsia"/>
          <w:sz w:val="24"/>
          <w:szCs w:val="24"/>
        </w:rPr>
        <w:t>纳入本项目变更管理的变更类型主要包括：范围变更、业务需求变更、技术架构变更、进度变更、交付物变更。从变更提出人的角度，又可以分为中标人提出的项目变更和招标人 提出的变更。</w:t>
      </w:r>
    </w:p>
    <w:p>
      <w:pPr>
        <w:spacing w:line="360" w:lineRule="auto"/>
        <w:ind w:firstLine="480" w:firstLineChars="200"/>
        <w:rPr>
          <w:sz w:val="24"/>
          <w:szCs w:val="24"/>
        </w:rPr>
      </w:pPr>
      <w:r>
        <w:rPr>
          <w:rFonts w:hint="eastAsia"/>
          <w:sz w:val="24"/>
          <w:szCs w:val="24"/>
        </w:rPr>
        <w:t>如果是我方提出的项目变更，我们将提前对变更的影响和范围进行评估，并评估其变更对其他相关项目的影响，经招标人确认后方可实施变更。我方确保自身申请变更的合理性，在成本上可以接受，对受影响的交付物按照新基准进行相应调整。</w:t>
      </w:r>
    </w:p>
    <w:p>
      <w:pPr>
        <w:spacing w:line="360" w:lineRule="auto"/>
        <w:ind w:firstLine="480" w:firstLineChars="200"/>
      </w:pPr>
      <w:r>
        <w:rPr>
          <w:rFonts w:hint="eastAsia"/>
          <w:sz w:val="24"/>
          <w:szCs w:val="24"/>
        </w:rPr>
        <w:t>项目终验前，对招标人要求发生的变更，我方应无条件接受，不对此额外申请费用。</w:t>
      </w:r>
    </w:p>
    <w:p>
      <w:pPr>
        <w:pStyle w:val="4"/>
        <w:numPr>
          <w:ilvl w:val="2"/>
          <w:numId w:val="3"/>
        </w:numPr>
        <w:spacing w:before="0" w:after="0" w:line="360" w:lineRule="auto"/>
        <w:ind w:left="0" w:leftChars="0" w:firstLine="402" w:firstLineChars="0"/>
      </w:pPr>
      <w:bookmarkStart w:id="368" w:name="_Toc18112"/>
      <w:r>
        <w:rPr>
          <w:rFonts w:hint="eastAsia"/>
        </w:rPr>
        <w:t>变更原因</w:t>
      </w:r>
      <w:bookmarkEnd w:id="368"/>
    </w:p>
    <w:p>
      <w:pPr>
        <w:spacing w:line="360" w:lineRule="auto"/>
      </w:pPr>
      <w:r>
        <w:rPr>
          <w:rFonts w:hint="eastAsia"/>
          <w:sz w:val="24"/>
          <w:szCs w:val="24"/>
        </w:rPr>
        <w:t>造成项目变更的原因很多，下表所列为常见变更原因分类：</w:t>
      </w:r>
    </w:p>
    <w:tbl>
      <w:tblPr>
        <w:tblStyle w:val="34"/>
        <w:tblW w:w="8515" w:type="dxa"/>
        <w:tblInd w:w="9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8"/>
        <w:gridCol w:w="2421"/>
        <w:gridCol w:w="538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9" w:hRule="atLeast"/>
        </w:trPr>
        <w:tc>
          <w:tcPr>
            <w:tcW w:w="708" w:type="dxa"/>
            <w:tcBorders>
              <w:top w:val="single" w:color="auto" w:sz="4" w:space="0"/>
              <w:left w:val="single" w:color="auto" w:sz="4" w:space="0"/>
              <w:bottom w:val="single" w:color="auto" w:sz="6" w:space="0"/>
              <w:right w:val="single" w:color="auto" w:sz="6" w:space="0"/>
            </w:tcBorders>
            <w:shd w:val="clear" w:color="auto" w:fill="C0C0C0"/>
            <w:vAlign w:val="center"/>
          </w:tcPr>
          <w:p>
            <w:pPr>
              <w:spacing w:line="360" w:lineRule="auto"/>
            </w:pPr>
            <w:r>
              <w:rPr>
                <w:rFonts w:hint="eastAsia"/>
              </w:rPr>
              <w:t>序号</w:t>
            </w:r>
          </w:p>
        </w:tc>
        <w:tc>
          <w:tcPr>
            <w:tcW w:w="2421" w:type="dxa"/>
            <w:tcBorders>
              <w:top w:val="single" w:color="auto" w:sz="4" w:space="0"/>
              <w:left w:val="single" w:color="auto" w:sz="6" w:space="0"/>
              <w:bottom w:val="single" w:color="auto" w:sz="6" w:space="0"/>
              <w:right w:val="single" w:color="auto" w:sz="6" w:space="0"/>
            </w:tcBorders>
            <w:shd w:val="clear" w:color="auto" w:fill="C0C0C0"/>
            <w:vAlign w:val="center"/>
          </w:tcPr>
          <w:p>
            <w:pPr>
              <w:spacing w:line="360" w:lineRule="auto"/>
            </w:pPr>
            <w:r>
              <w:rPr>
                <w:rFonts w:hint="eastAsia"/>
              </w:rPr>
              <w:t>变更主因分类</w:t>
            </w:r>
          </w:p>
        </w:tc>
        <w:tc>
          <w:tcPr>
            <w:tcW w:w="5386" w:type="dxa"/>
            <w:tcBorders>
              <w:top w:val="single" w:color="auto" w:sz="4" w:space="0"/>
              <w:left w:val="single" w:color="auto" w:sz="6" w:space="0"/>
              <w:bottom w:val="single" w:color="auto" w:sz="6" w:space="0"/>
              <w:right w:val="single" w:color="auto" w:sz="4" w:space="0"/>
            </w:tcBorders>
            <w:shd w:val="clear" w:color="auto" w:fill="C0C0C0"/>
            <w:vAlign w:val="center"/>
          </w:tcPr>
          <w:p>
            <w:pPr>
              <w:spacing w:line="360" w:lineRule="auto"/>
            </w:pPr>
            <w:r>
              <w:rPr>
                <w:rFonts w:hint="eastAsia"/>
              </w:rPr>
              <w:t>变更原因细则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30" w:hRule="atLeast"/>
        </w:trPr>
        <w:tc>
          <w:tcPr>
            <w:tcW w:w="708" w:type="dxa"/>
            <w:tcBorders>
              <w:top w:val="single" w:color="auto" w:sz="6" w:space="0"/>
              <w:left w:val="single" w:color="auto" w:sz="4" w:space="0"/>
              <w:bottom w:val="single" w:color="auto" w:sz="6" w:space="0"/>
              <w:right w:val="single" w:color="auto" w:sz="6" w:space="0"/>
            </w:tcBorders>
            <w:vAlign w:val="center"/>
          </w:tcPr>
          <w:p>
            <w:pPr>
              <w:spacing w:line="360" w:lineRule="auto"/>
            </w:pPr>
            <w:r>
              <w:rPr>
                <w:rFonts w:hint="eastAsia"/>
              </w:rPr>
              <w:t>1</w:t>
            </w:r>
          </w:p>
        </w:tc>
        <w:tc>
          <w:tcPr>
            <w:tcW w:w="2421" w:type="dxa"/>
            <w:vMerge w:val="restart"/>
            <w:tcBorders>
              <w:top w:val="single" w:color="auto" w:sz="6" w:space="0"/>
              <w:left w:val="single" w:color="auto" w:sz="6" w:space="0"/>
              <w:bottom w:val="single" w:color="auto" w:sz="6" w:space="0"/>
              <w:right w:val="single" w:color="auto" w:sz="6" w:space="0"/>
            </w:tcBorders>
            <w:vAlign w:val="center"/>
          </w:tcPr>
          <w:p>
            <w:pPr>
              <w:spacing w:line="360" w:lineRule="auto"/>
            </w:pPr>
            <w:r>
              <w:rPr>
                <w:rFonts w:hint="eastAsia"/>
              </w:rPr>
              <w:t>策略/方法变更</w:t>
            </w:r>
          </w:p>
        </w:tc>
        <w:tc>
          <w:tcPr>
            <w:tcW w:w="5386" w:type="dxa"/>
            <w:tcBorders>
              <w:top w:val="single" w:color="auto" w:sz="6" w:space="0"/>
              <w:left w:val="single" w:color="auto" w:sz="6" w:space="0"/>
              <w:bottom w:val="single" w:color="auto" w:sz="4" w:space="0"/>
              <w:right w:val="single" w:color="auto" w:sz="4" w:space="0"/>
            </w:tcBorders>
            <w:vAlign w:val="center"/>
          </w:tcPr>
          <w:p>
            <w:pPr>
              <w:spacing w:line="360" w:lineRule="auto"/>
            </w:pPr>
            <w:r>
              <w:rPr>
                <w:rFonts w:hint="eastAsia"/>
              </w:rPr>
              <w:t>由开发转为集成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708" w:type="dxa"/>
            <w:tcBorders>
              <w:top w:val="single" w:color="auto" w:sz="6" w:space="0"/>
              <w:left w:val="single" w:color="auto" w:sz="4" w:space="0"/>
              <w:bottom w:val="single" w:color="auto" w:sz="6" w:space="0"/>
              <w:right w:val="single" w:color="auto" w:sz="6" w:space="0"/>
            </w:tcBorders>
            <w:vAlign w:val="center"/>
          </w:tcPr>
          <w:p>
            <w:pPr>
              <w:spacing w:line="360" w:lineRule="auto"/>
            </w:pPr>
            <w:r>
              <w:rPr>
                <w:rFonts w:hint="eastAsia"/>
              </w:rPr>
              <w:t>2</w:t>
            </w:r>
          </w:p>
        </w:tc>
        <w:tc>
          <w:tcPr>
            <w:tcW w:w="2421" w:type="dxa"/>
            <w:vMerge w:val="continue"/>
            <w:tcBorders>
              <w:top w:val="single" w:color="auto" w:sz="6" w:space="0"/>
              <w:left w:val="single" w:color="auto" w:sz="6" w:space="0"/>
              <w:bottom w:val="single" w:color="auto" w:sz="6" w:space="0"/>
              <w:right w:val="single" w:color="auto" w:sz="6" w:space="0"/>
            </w:tcBorders>
            <w:vAlign w:val="center"/>
          </w:tcPr>
          <w:p>
            <w:pPr>
              <w:spacing w:line="360" w:lineRule="auto"/>
            </w:pPr>
          </w:p>
        </w:tc>
        <w:tc>
          <w:tcPr>
            <w:tcW w:w="5386" w:type="dxa"/>
            <w:tcBorders>
              <w:top w:val="single" w:color="auto" w:sz="4" w:space="0"/>
              <w:left w:val="single" w:color="auto" w:sz="6" w:space="0"/>
              <w:bottom w:val="single" w:color="auto" w:sz="4" w:space="0"/>
              <w:right w:val="single" w:color="auto" w:sz="4" w:space="0"/>
            </w:tcBorders>
            <w:vAlign w:val="center"/>
          </w:tcPr>
          <w:p>
            <w:pPr>
              <w:spacing w:line="360" w:lineRule="auto"/>
            </w:pPr>
            <w:r>
              <w:rPr>
                <w:rFonts w:hint="eastAsia"/>
              </w:rPr>
              <w:t>由模块分布法转为瀑布法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708" w:type="dxa"/>
            <w:tcBorders>
              <w:top w:val="single" w:color="auto" w:sz="6" w:space="0"/>
              <w:left w:val="single" w:color="auto" w:sz="4" w:space="0"/>
              <w:bottom w:val="single" w:color="auto" w:sz="6" w:space="0"/>
              <w:right w:val="single" w:color="auto" w:sz="6" w:space="0"/>
            </w:tcBorders>
            <w:vAlign w:val="center"/>
          </w:tcPr>
          <w:p>
            <w:pPr>
              <w:spacing w:line="360" w:lineRule="auto"/>
            </w:pPr>
            <w:r>
              <w:rPr>
                <w:rFonts w:hint="eastAsia"/>
              </w:rPr>
              <w:t>3</w:t>
            </w:r>
          </w:p>
        </w:tc>
        <w:tc>
          <w:tcPr>
            <w:tcW w:w="2421" w:type="dxa"/>
            <w:vMerge w:val="continue"/>
            <w:tcBorders>
              <w:top w:val="single" w:color="auto" w:sz="6" w:space="0"/>
              <w:left w:val="single" w:color="auto" w:sz="6" w:space="0"/>
              <w:bottom w:val="single" w:color="auto" w:sz="6" w:space="0"/>
              <w:right w:val="single" w:color="auto" w:sz="6" w:space="0"/>
            </w:tcBorders>
            <w:vAlign w:val="center"/>
          </w:tcPr>
          <w:p>
            <w:pPr>
              <w:spacing w:line="360" w:lineRule="auto"/>
            </w:pPr>
          </w:p>
        </w:tc>
        <w:tc>
          <w:tcPr>
            <w:tcW w:w="5386" w:type="dxa"/>
            <w:tcBorders>
              <w:top w:val="single" w:color="auto" w:sz="4" w:space="0"/>
              <w:left w:val="single" w:color="auto" w:sz="6" w:space="0"/>
              <w:bottom w:val="single" w:color="auto" w:sz="4" w:space="0"/>
              <w:right w:val="single" w:color="auto" w:sz="4" w:space="0"/>
            </w:tcBorders>
            <w:vAlign w:val="center"/>
          </w:tcPr>
          <w:p>
            <w:pPr>
              <w:spacing w:line="360" w:lineRule="auto"/>
            </w:pPr>
            <w:r>
              <w:rPr>
                <w:rFonts w:hint="eastAsia"/>
              </w:rPr>
              <w:t>初始数据无法自动转入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708" w:type="dxa"/>
            <w:tcBorders>
              <w:top w:val="single" w:color="auto" w:sz="6" w:space="0"/>
              <w:left w:val="single" w:color="auto" w:sz="4" w:space="0"/>
              <w:bottom w:val="single" w:color="auto" w:sz="6" w:space="0"/>
              <w:right w:val="single" w:color="auto" w:sz="6" w:space="0"/>
            </w:tcBorders>
            <w:vAlign w:val="center"/>
          </w:tcPr>
          <w:p>
            <w:pPr>
              <w:spacing w:line="360" w:lineRule="auto"/>
            </w:pPr>
            <w:r>
              <w:rPr>
                <w:rFonts w:hint="eastAsia"/>
              </w:rPr>
              <w:t>4</w:t>
            </w:r>
          </w:p>
        </w:tc>
        <w:tc>
          <w:tcPr>
            <w:tcW w:w="2421" w:type="dxa"/>
            <w:vMerge w:val="continue"/>
            <w:tcBorders>
              <w:top w:val="single" w:color="auto" w:sz="6" w:space="0"/>
              <w:left w:val="single" w:color="auto" w:sz="6" w:space="0"/>
              <w:bottom w:val="single" w:color="auto" w:sz="6" w:space="0"/>
              <w:right w:val="single" w:color="auto" w:sz="6" w:space="0"/>
            </w:tcBorders>
            <w:vAlign w:val="center"/>
          </w:tcPr>
          <w:p>
            <w:pPr>
              <w:spacing w:line="360" w:lineRule="auto"/>
            </w:pPr>
          </w:p>
        </w:tc>
        <w:tc>
          <w:tcPr>
            <w:tcW w:w="5386" w:type="dxa"/>
            <w:tcBorders>
              <w:top w:val="single" w:color="auto" w:sz="4" w:space="0"/>
              <w:left w:val="single" w:color="auto" w:sz="6" w:space="0"/>
              <w:bottom w:val="single" w:color="auto" w:sz="4" w:space="0"/>
              <w:right w:val="single" w:color="auto" w:sz="4" w:space="0"/>
            </w:tcBorders>
            <w:vAlign w:val="center"/>
          </w:tcPr>
          <w:p>
            <w:pPr>
              <w:spacing w:line="360" w:lineRule="auto"/>
            </w:pPr>
            <w:r>
              <w:rPr>
                <w:rFonts w:hint="eastAsia"/>
              </w:rPr>
              <w:t>客户掌握快，不需要并行</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30" w:hRule="atLeast"/>
        </w:trPr>
        <w:tc>
          <w:tcPr>
            <w:tcW w:w="708" w:type="dxa"/>
            <w:tcBorders>
              <w:top w:val="single" w:color="auto" w:sz="6" w:space="0"/>
              <w:left w:val="single" w:color="auto" w:sz="4" w:space="0"/>
              <w:bottom w:val="single" w:color="auto" w:sz="6" w:space="0"/>
              <w:right w:val="single" w:color="auto" w:sz="6" w:space="0"/>
            </w:tcBorders>
            <w:vAlign w:val="center"/>
          </w:tcPr>
          <w:p>
            <w:pPr>
              <w:spacing w:line="360" w:lineRule="auto"/>
            </w:pPr>
            <w:r>
              <w:rPr>
                <w:rFonts w:hint="eastAsia"/>
              </w:rPr>
              <w:t>5</w:t>
            </w:r>
          </w:p>
        </w:tc>
        <w:tc>
          <w:tcPr>
            <w:tcW w:w="2421" w:type="dxa"/>
            <w:vMerge w:val="restart"/>
            <w:tcBorders>
              <w:top w:val="single" w:color="auto" w:sz="6" w:space="0"/>
              <w:left w:val="single" w:color="auto" w:sz="6" w:space="0"/>
              <w:bottom w:val="single" w:color="auto" w:sz="6" w:space="0"/>
              <w:right w:val="single" w:color="auto" w:sz="6" w:space="0"/>
            </w:tcBorders>
            <w:vAlign w:val="center"/>
          </w:tcPr>
          <w:p>
            <w:pPr>
              <w:spacing w:line="360" w:lineRule="auto"/>
            </w:pPr>
            <w:r>
              <w:rPr>
                <w:rFonts w:hint="eastAsia"/>
              </w:rPr>
              <w:t>范围变更</w:t>
            </w:r>
          </w:p>
        </w:tc>
        <w:tc>
          <w:tcPr>
            <w:tcW w:w="5386" w:type="dxa"/>
            <w:tcBorders>
              <w:top w:val="single" w:color="auto" w:sz="6" w:space="0"/>
              <w:left w:val="single" w:color="auto" w:sz="6" w:space="0"/>
              <w:bottom w:val="single" w:color="auto" w:sz="4" w:space="0"/>
              <w:right w:val="single" w:color="auto" w:sz="4" w:space="0"/>
            </w:tcBorders>
            <w:vAlign w:val="center"/>
          </w:tcPr>
          <w:p>
            <w:pPr>
              <w:spacing w:line="360" w:lineRule="auto"/>
            </w:pPr>
            <w:r>
              <w:rPr>
                <w:rFonts w:hint="eastAsia"/>
              </w:rPr>
              <w:t>业务需求，增加定制开发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708" w:type="dxa"/>
            <w:tcBorders>
              <w:top w:val="single" w:color="auto" w:sz="6" w:space="0"/>
              <w:left w:val="single" w:color="auto" w:sz="4" w:space="0"/>
              <w:bottom w:val="single" w:color="auto" w:sz="6" w:space="0"/>
              <w:right w:val="single" w:color="auto" w:sz="6" w:space="0"/>
            </w:tcBorders>
            <w:vAlign w:val="center"/>
          </w:tcPr>
          <w:p>
            <w:pPr>
              <w:spacing w:line="360" w:lineRule="auto"/>
            </w:pPr>
            <w:r>
              <w:rPr>
                <w:rFonts w:hint="eastAsia"/>
              </w:rPr>
              <w:t>6</w:t>
            </w:r>
          </w:p>
        </w:tc>
        <w:tc>
          <w:tcPr>
            <w:tcW w:w="2421" w:type="dxa"/>
            <w:vMerge w:val="continue"/>
            <w:tcBorders>
              <w:top w:val="single" w:color="auto" w:sz="6" w:space="0"/>
              <w:left w:val="single" w:color="auto" w:sz="6" w:space="0"/>
              <w:bottom w:val="single" w:color="auto" w:sz="6" w:space="0"/>
              <w:right w:val="single" w:color="auto" w:sz="6" w:space="0"/>
            </w:tcBorders>
            <w:vAlign w:val="center"/>
          </w:tcPr>
          <w:p>
            <w:pPr>
              <w:spacing w:line="360" w:lineRule="auto"/>
            </w:pPr>
          </w:p>
        </w:tc>
        <w:tc>
          <w:tcPr>
            <w:tcW w:w="5386" w:type="dxa"/>
            <w:tcBorders>
              <w:top w:val="single" w:color="auto" w:sz="4" w:space="0"/>
              <w:left w:val="single" w:color="auto" w:sz="6" w:space="0"/>
              <w:bottom w:val="single" w:color="auto" w:sz="4" w:space="0"/>
              <w:right w:val="single" w:color="auto" w:sz="4" w:space="0"/>
            </w:tcBorders>
            <w:vAlign w:val="center"/>
          </w:tcPr>
          <w:p>
            <w:pPr>
              <w:spacing w:line="360" w:lineRule="auto"/>
            </w:pPr>
            <w:r>
              <w:rPr>
                <w:rFonts w:hint="eastAsia"/>
              </w:rPr>
              <w:t>功能需求发生变化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708" w:type="dxa"/>
            <w:tcBorders>
              <w:top w:val="single" w:color="auto" w:sz="6" w:space="0"/>
              <w:left w:val="single" w:color="auto" w:sz="4" w:space="0"/>
              <w:bottom w:val="single" w:color="auto" w:sz="4" w:space="0"/>
              <w:right w:val="single" w:color="auto" w:sz="6" w:space="0"/>
            </w:tcBorders>
            <w:vAlign w:val="center"/>
          </w:tcPr>
          <w:p>
            <w:pPr>
              <w:spacing w:line="360" w:lineRule="auto"/>
            </w:pPr>
            <w:r>
              <w:rPr>
                <w:rFonts w:hint="eastAsia"/>
              </w:rPr>
              <w:t>7</w:t>
            </w:r>
          </w:p>
        </w:tc>
        <w:tc>
          <w:tcPr>
            <w:tcW w:w="2421" w:type="dxa"/>
            <w:vMerge w:val="continue"/>
            <w:tcBorders>
              <w:top w:val="single" w:color="auto" w:sz="6" w:space="0"/>
              <w:left w:val="single" w:color="auto" w:sz="6" w:space="0"/>
              <w:bottom w:val="single" w:color="auto" w:sz="6" w:space="0"/>
              <w:right w:val="single" w:color="auto" w:sz="6" w:space="0"/>
            </w:tcBorders>
            <w:vAlign w:val="center"/>
          </w:tcPr>
          <w:p>
            <w:pPr>
              <w:spacing w:line="360" w:lineRule="auto"/>
            </w:pPr>
          </w:p>
        </w:tc>
        <w:tc>
          <w:tcPr>
            <w:tcW w:w="5386" w:type="dxa"/>
            <w:tcBorders>
              <w:top w:val="single" w:color="auto" w:sz="4" w:space="0"/>
              <w:left w:val="single" w:color="auto" w:sz="6" w:space="0"/>
              <w:bottom w:val="single" w:color="auto" w:sz="4" w:space="0"/>
              <w:right w:val="single" w:color="auto" w:sz="4" w:space="0"/>
            </w:tcBorders>
            <w:vAlign w:val="center"/>
          </w:tcPr>
          <w:p>
            <w:pPr>
              <w:spacing w:line="360" w:lineRule="auto"/>
            </w:pPr>
            <w:r>
              <w:rPr>
                <w:rFonts w:hint="eastAsia"/>
              </w:rPr>
              <w:t>需要与其他模块接口</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708" w:type="dxa"/>
            <w:tcBorders>
              <w:top w:val="single" w:color="auto" w:sz="4" w:space="0"/>
              <w:left w:val="single" w:color="auto" w:sz="4" w:space="0"/>
              <w:bottom w:val="single" w:color="auto" w:sz="4" w:space="0"/>
              <w:right w:val="single" w:color="auto" w:sz="6" w:space="0"/>
            </w:tcBorders>
            <w:vAlign w:val="center"/>
          </w:tcPr>
          <w:p>
            <w:pPr>
              <w:spacing w:line="360" w:lineRule="auto"/>
            </w:pPr>
            <w:r>
              <w:rPr>
                <w:rFonts w:hint="eastAsia"/>
              </w:rPr>
              <w:t>8</w:t>
            </w:r>
          </w:p>
        </w:tc>
        <w:tc>
          <w:tcPr>
            <w:tcW w:w="2421" w:type="dxa"/>
            <w:vMerge w:val="continue"/>
            <w:tcBorders>
              <w:top w:val="single" w:color="auto" w:sz="6" w:space="0"/>
              <w:left w:val="single" w:color="auto" w:sz="6" w:space="0"/>
              <w:bottom w:val="single" w:color="auto" w:sz="6" w:space="0"/>
              <w:right w:val="single" w:color="auto" w:sz="6" w:space="0"/>
            </w:tcBorders>
            <w:vAlign w:val="center"/>
          </w:tcPr>
          <w:p>
            <w:pPr>
              <w:spacing w:line="360" w:lineRule="auto"/>
            </w:pPr>
          </w:p>
        </w:tc>
        <w:tc>
          <w:tcPr>
            <w:tcW w:w="5386" w:type="dxa"/>
            <w:tcBorders>
              <w:top w:val="single" w:color="auto" w:sz="4" w:space="0"/>
              <w:left w:val="single" w:color="auto" w:sz="6" w:space="0"/>
              <w:bottom w:val="single" w:color="auto" w:sz="4" w:space="0"/>
              <w:right w:val="single" w:color="auto" w:sz="4" w:space="0"/>
            </w:tcBorders>
            <w:vAlign w:val="center"/>
          </w:tcPr>
          <w:p>
            <w:pPr>
              <w:spacing w:line="360" w:lineRule="auto"/>
            </w:pPr>
            <w:r>
              <w:rPr>
                <w:rFonts w:hint="eastAsia"/>
              </w:rPr>
              <w:t>站点变化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 xml:space="preserve">  9</w:t>
            </w:r>
          </w:p>
        </w:tc>
        <w:tc>
          <w:tcPr>
            <w:tcW w:w="2421"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技术变更</w:t>
            </w:r>
          </w:p>
        </w:tc>
        <w:tc>
          <w:tcPr>
            <w:tcW w:w="53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开发平台的迁移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 xml:space="preserve">  10</w:t>
            </w:r>
          </w:p>
        </w:tc>
        <w:tc>
          <w:tcPr>
            <w:tcW w:w="2421"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pPr>
          </w:p>
        </w:tc>
        <w:tc>
          <w:tcPr>
            <w:tcW w:w="53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技术本身不成熟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 xml:space="preserve">  11</w:t>
            </w:r>
          </w:p>
        </w:tc>
        <w:tc>
          <w:tcPr>
            <w:tcW w:w="2421"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pPr>
          </w:p>
        </w:tc>
        <w:tc>
          <w:tcPr>
            <w:tcW w:w="53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需要掌握的时间长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 xml:space="preserve">  12</w:t>
            </w:r>
          </w:p>
        </w:tc>
        <w:tc>
          <w:tcPr>
            <w:tcW w:w="2421"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人员变更</w:t>
            </w:r>
          </w:p>
        </w:tc>
        <w:tc>
          <w:tcPr>
            <w:tcW w:w="53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人员病假、事假、辞职</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708"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 xml:space="preserve">  13</w:t>
            </w:r>
          </w:p>
        </w:tc>
        <w:tc>
          <w:tcPr>
            <w:tcW w:w="2421"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pPr>
          </w:p>
        </w:tc>
        <w:tc>
          <w:tcPr>
            <w:tcW w:w="5386"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能力不能满足工作需要</w:t>
            </w:r>
          </w:p>
        </w:tc>
      </w:tr>
    </w:tbl>
    <w:p>
      <w:pPr>
        <w:spacing w:line="360" w:lineRule="auto"/>
      </w:pPr>
    </w:p>
    <w:p>
      <w:pPr>
        <w:spacing w:line="360" w:lineRule="auto"/>
        <w:ind w:firstLine="480" w:firstLineChars="200"/>
      </w:pPr>
      <w:r>
        <w:rPr>
          <w:rFonts w:hint="eastAsia"/>
          <w:sz w:val="24"/>
          <w:szCs w:val="24"/>
        </w:rPr>
        <w:t>项目的变更需求一旦执行，有可能会影响到项目计划的调整，这点在项目管理中要注意及时调整并发布给相关项目组成员。</w:t>
      </w:r>
    </w:p>
    <w:p>
      <w:pPr>
        <w:pStyle w:val="4"/>
        <w:numPr>
          <w:ilvl w:val="2"/>
          <w:numId w:val="3"/>
        </w:numPr>
        <w:spacing w:before="0" w:after="0" w:line="360" w:lineRule="auto"/>
        <w:ind w:left="0" w:leftChars="0" w:firstLine="402" w:firstLineChars="0"/>
      </w:pPr>
      <w:bookmarkStart w:id="369" w:name="_Toc4598"/>
      <w:r>
        <w:rPr>
          <w:rFonts w:hint="eastAsia"/>
        </w:rPr>
        <w:t>控制流程</w:t>
      </w:r>
      <w:bookmarkEnd w:id="369"/>
    </w:p>
    <w:p>
      <w:pPr>
        <w:spacing w:line="360" w:lineRule="auto"/>
        <w:ind w:firstLine="480" w:firstLineChars="200"/>
        <w:rPr>
          <w:sz w:val="24"/>
          <w:szCs w:val="24"/>
        </w:rPr>
      </w:pPr>
      <w:r>
        <w:rPr>
          <w:rFonts w:hint="eastAsia"/>
          <w:sz w:val="24"/>
          <w:szCs w:val="24"/>
        </w:rPr>
        <w:t>一、首先由需求人提出变更需求，提交给项目经理。项目经理接收到变更需要后，查看是否合理、信息是否全面；</w:t>
      </w:r>
    </w:p>
    <w:p>
      <w:pPr>
        <w:spacing w:line="360" w:lineRule="auto"/>
        <w:ind w:firstLine="480" w:firstLineChars="200"/>
        <w:rPr>
          <w:sz w:val="24"/>
          <w:szCs w:val="24"/>
        </w:rPr>
      </w:pPr>
      <w:r>
        <w:rPr>
          <w:rFonts w:hint="eastAsia"/>
          <w:sz w:val="24"/>
          <w:szCs w:val="24"/>
        </w:rPr>
        <w:t>二、项目经理委托有经验的实施组长或专家对变更需求进行分析，主要从变更对项目的质量、进度、费用、流程等各方面进行影响分析；</w:t>
      </w:r>
    </w:p>
    <w:p>
      <w:pPr>
        <w:spacing w:line="360" w:lineRule="auto"/>
        <w:ind w:firstLine="480" w:firstLineChars="200"/>
        <w:rPr>
          <w:sz w:val="24"/>
          <w:szCs w:val="24"/>
        </w:rPr>
      </w:pPr>
      <w:r>
        <w:rPr>
          <w:rFonts w:hint="eastAsia"/>
          <w:sz w:val="24"/>
          <w:szCs w:val="24"/>
        </w:rPr>
        <w:t>三、项目经理根据分析报告决定变更需求是否能实施，如果不能实施，提出解决建议并召开由项目联合办公室、项目领导小组参加的变更会议；</w:t>
      </w:r>
    </w:p>
    <w:p>
      <w:pPr>
        <w:spacing w:line="360" w:lineRule="auto"/>
        <w:ind w:firstLine="480" w:firstLineChars="200"/>
        <w:rPr>
          <w:sz w:val="24"/>
          <w:szCs w:val="24"/>
        </w:rPr>
      </w:pPr>
      <w:r>
        <w:rPr>
          <w:rFonts w:hint="eastAsia"/>
          <w:sz w:val="24"/>
          <w:szCs w:val="24"/>
        </w:rPr>
        <w:t>四、通过变更会议，对变更进行裁决是否可行；</w:t>
      </w:r>
    </w:p>
    <w:p>
      <w:pPr>
        <w:spacing w:line="360" w:lineRule="auto"/>
        <w:ind w:firstLine="480" w:firstLineChars="200"/>
        <w:rPr>
          <w:sz w:val="24"/>
          <w:szCs w:val="24"/>
        </w:rPr>
      </w:pPr>
      <w:r>
        <w:rPr>
          <w:rFonts w:hint="eastAsia"/>
          <w:sz w:val="24"/>
          <w:szCs w:val="24"/>
        </w:rPr>
        <w:t>五、项目经理应及时跟踪变更的执行，并分析对项目的实际影响。</w:t>
      </w:r>
    </w:p>
    <w:p>
      <w:pPr>
        <w:spacing w:line="360" w:lineRule="auto"/>
        <w:ind w:firstLine="480" w:firstLineChars="200"/>
        <w:rPr>
          <w:sz w:val="24"/>
          <w:szCs w:val="24"/>
        </w:rPr>
      </w:pPr>
      <w:r>
        <w:rPr>
          <w:rFonts w:hint="eastAsia"/>
          <w:sz w:val="24"/>
          <w:szCs w:val="24"/>
        </w:rPr>
        <w:t>变更控制流程如下图所示。</w:t>
      </w:r>
    </w:p>
    <w:p>
      <w:pPr>
        <w:spacing w:line="360" w:lineRule="auto"/>
      </w:pPr>
      <w:r>
        <w:drawing>
          <wp:inline distT="0" distB="0" distL="0" distR="0">
            <wp:extent cx="3284220" cy="2994660"/>
            <wp:effectExtent l="0" t="0" r="0" b="0"/>
            <wp:docPr id="4385" name="图片 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 name="图片 43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284220" cy="2994660"/>
                    </a:xfrm>
                    <a:prstGeom prst="rect">
                      <a:avLst/>
                    </a:prstGeom>
                    <a:noFill/>
                    <a:ln>
                      <a:noFill/>
                    </a:ln>
                  </pic:spPr>
                </pic:pic>
              </a:graphicData>
            </a:graphic>
          </wp:inline>
        </w:drawing>
      </w:r>
    </w:p>
    <w:p>
      <w:pPr>
        <w:spacing w:line="360" w:lineRule="auto"/>
      </w:pPr>
      <w:r>
        <w:tab/>
      </w:r>
      <w:r>
        <w:tab/>
      </w:r>
      <w:r>
        <w:tab/>
      </w:r>
      <w:r>
        <w:tab/>
      </w:r>
      <w:r>
        <w:tab/>
      </w:r>
      <w:r>
        <w:tab/>
      </w:r>
      <w:r>
        <w:tab/>
      </w:r>
      <w:r>
        <w:rPr>
          <w:rFonts w:hint="eastAsia"/>
        </w:rPr>
        <w:t>变更控制流程</w:t>
      </w:r>
    </w:p>
    <w:p>
      <w:pPr>
        <w:spacing w:line="360" w:lineRule="auto"/>
      </w:pPr>
    </w:p>
    <w:p>
      <w:pPr>
        <w:pStyle w:val="4"/>
        <w:numPr>
          <w:ilvl w:val="2"/>
          <w:numId w:val="3"/>
        </w:numPr>
        <w:spacing w:before="0" w:after="0" w:line="360" w:lineRule="auto"/>
        <w:ind w:left="0" w:leftChars="0" w:firstLine="402" w:firstLineChars="0"/>
      </w:pPr>
      <w:bookmarkStart w:id="370" w:name="_Toc29700"/>
      <w:r>
        <w:rPr>
          <w:rFonts w:hint="eastAsia"/>
        </w:rPr>
        <w:t>控制文档</w:t>
      </w:r>
      <w:bookmarkEnd w:id="370"/>
    </w:p>
    <w:p>
      <w:pPr>
        <w:spacing w:line="360" w:lineRule="auto"/>
        <w:ind w:firstLine="480" w:firstLineChars="200"/>
        <w:rPr>
          <w:sz w:val="24"/>
          <w:szCs w:val="24"/>
        </w:rPr>
      </w:pPr>
      <w:r>
        <w:rPr>
          <w:rFonts w:hint="eastAsia"/>
          <w:sz w:val="24"/>
          <w:szCs w:val="24"/>
        </w:rPr>
        <w:t>项目的变更需求一旦执行，有可能会影响到项目计划的调整，这点在项目管理中要注意及时调整并发布给相关项目组成员。</w:t>
      </w:r>
    </w:p>
    <w:p>
      <w:pPr>
        <w:spacing w:line="360" w:lineRule="auto"/>
        <w:ind w:firstLine="480" w:firstLineChars="200"/>
        <w:rPr>
          <w:sz w:val="24"/>
          <w:szCs w:val="24"/>
        </w:rPr>
      </w:pPr>
      <w:r>
        <w:rPr>
          <w:rFonts w:hint="eastAsia"/>
          <w:sz w:val="24"/>
          <w:szCs w:val="24"/>
        </w:rPr>
        <w:t>项目的变更管理要结合项目管理信息系统的变更管理工具，变更的提交、评审、跟踪、实施以及变更相关配置文档的修订更改等都需要记录。</w:t>
      </w:r>
    </w:p>
    <w:p>
      <w:pPr>
        <w:spacing w:line="360" w:lineRule="auto"/>
        <w:ind w:firstLine="480" w:firstLineChars="200"/>
        <w:rPr>
          <w:sz w:val="24"/>
          <w:szCs w:val="24"/>
        </w:rPr>
      </w:pPr>
      <w:r>
        <w:rPr>
          <w:rFonts w:hint="eastAsia"/>
          <w:sz w:val="24"/>
          <w:szCs w:val="24"/>
        </w:rPr>
        <w:t>相关文档包括：《项目变更申请表》、《项目变更通知单》、《项目变更跟踪表》。</w:t>
      </w:r>
    </w:p>
    <w:p>
      <w:pPr>
        <w:pStyle w:val="3"/>
        <w:numPr>
          <w:ilvl w:val="1"/>
          <w:numId w:val="3"/>
        </w:numPr>
        <w:spacing w:before="0" w:after="0" w:line="360" w:lineRule="auto"/>
        <w:ind w:left="0" w:leftChars="0" w:firstLine="402" w:firstLineChars="0"/>
      </w:pPr>
      <w:bookmarkStart w:id="371" w:name="_Toc30459"/>
      <w:r>
        <w:rPr>
          <w:rFonts w:hint="eastAsia"/>
        </w:rPr>
        <w:t>项目质量管理</w:t>
      </w:r>
      <w:bookmarkEnd w:id="371"/>
    </w:p>
    <w:p>
      <w:pPr>
        <w:spacing w:line="360" w:lineRule="auto"/>
        <w:ind w:firstLine="480" w:firstLineChars="200"/>
        <w:rPr>
          <w:sz w:val="24"/>
          <w:szCs w:val="24"/>
        </w:rPr>
      </w:pPr>
      <w:r>
        <w:rPr>
          <w:rFonts w:hint="eastAsia"/>
          <w:sz w:val="24"/>
          <w:szCs w:val="24"/>
          <w:lang w:eastAsia="zh-CN"/>
        </w:rPr>
        <w:t>xx交通</w:t>
      </w:r>
      <w:r>
        <w:rPr>
          <w:rFonts w:hint="eastAsia"/>
          <w:sz w:val="24"/>
          <w:szCs w:val="24"/>
        </w:rPr>
        <w:t>增值税发票管理系统项目作为工程实施的重要子系统，其能够按时、高质量的交付将会直接有利于全国数千万纳税人网络开票的延续与开展，并最终保证工程实施结果能够达到规划的既定预期，因此，采用有效的手段来保证</w:t>
      </w:r>
      <w:r>
        <w:rPr>
          <w:rFonts w:hint="eastAsia"/>
          <w:sz w:val="24"/>
          <w:szCs w:val="24"/>
          <w:lang w:eastAsia="zh-CN"/>
        </w:rPr>
        <w:t>xx交通</w:t>
      </w:r>
      <w:r>
        <w:rPr>
          <w:rFonts w:hint="eastAsia"/>
          <w:sz w:val="24"/>
          <w:szCs w:val="24"/>
        </w:rPr>
        <w:t>增值税发票管理系统项目的质量就有着极为重要的意义。</w:t>
      </w:r>
    </w:p>
    <w:p>
      <w:pPr>
        <w:spacing w:line="360" w:lineRule="auto"/>
        <w:ind w:firstLine="480" w:firstLineChars="200"/>
        <w:rPr>
          <w:sz w:val="24"/>
          <w:szCs w:val="24"/>
        </w:rPr>
      </w:pPr>
      <w:r>
        <w:rPr>
          <w:rFonts w:hint="eastAsia"/>
          <w:sz w:val="24"/>
          <w:szCs w:val="24"/>
          <w:lang w:eastAsia="zh-CN"/>
        </w:rPr>
        <w:t>**信息</w:t>
      </w:r>
      <w:r>
        <w:rPr>
          <w:rFonts w:hint="eastAsia"/>
          <w:sz w:val="24"/>
          <w:szCs w:val="24"/>
        </w:rPr>
        <w:t>股份有限公司作为国内大型应用系统集成商，对于项目质量管理、服务管理建立了一整套行之有效的规范流程，设立了与之对应的管理岗位，拥有多年在企业架构以及</w:t>
      </w:r>
      <w:r>
        <w:rPr>
          <w:sz w:val="24"/>
          <w:szCs w:val="24"/>
        </w:rPr>
        <w:t>IT</w:t>
      </w:r>
      <w:r>
        <w:rPr>
          <w:rFonts w:hint="eastAsia"/>
          <w:sz w:val="24"/>
          <w:szCs w:val="24"/>
        </w:rPr>
        <w:t>管控等方面的成功实施的经验，形成经过实践验证的方法论，同时我们对于税务行业也有着深刻的理解，获得了大量涉税行业先进企业和组织的管理实施经验。因此我们有能力有信心、保质保量完成本次</w:t>
      </w:r>
      <w:r>
        <w:rPr>
          <w:rFonts w:hint="eastAsia"/>
          <w:sz w:val="24"/>
          <w:szCs w:val="24"/>
          <w:lang w:eastAsia="zh-CN"/>
        </w:rPr>
        <w:t>xx交通</w:t>
      </w:r>
      <w:r>
        <w:rPr>
          <w:rFonts w:hint="eastAsia"/>
          <w:sz w:val="24"/>
          <w:szCs w:val="24"/>
        </w:rPr>
        <w:t>增值税发票管理系统项目。</w:t>
      </w:r>
    </w:p>
    <w:p>
      <w:pPr>
        <w:spacing w:line="360" w:lineRule="auto"/>
        <w:ind w:firstLine="480" w:firstLineChars="200"/>
        <w:rPr>
          <w:sz w:val="24"/>
          <w:szCs w:val="24"/>
        </w:rPr>
      </w:pPr>
      <w:r>
        <w:rPr>
          <w:rFonts w:hint="eastAsia"/>
          <w:sz w:val="24"/>
          <w:szCs w:val="24"/>
        </w:rPr>
        <w:t>如果</w:t>
      </w:r>
      <w:r>
        <w:rPr>
          <w:rFonts w:hint="eastAsia"/>
          <w:sz w:val="24"/>
          <w:szCs w:val="24"/>
          <w:lang w:eastAsia="zh-CN"/>
        </w:rPr>
        <w:t>**信息</w:t>
      </w:r>
      <w:r>
        <w:rPr>
          <w:rFonts w:hint="eastAsia"/>
          <w:sz w:val="24"/>
          <w:szCs w:val="24"/>
        </w:rPr>
        <w:t>有幸中标承接本项目，将接受客户方有关软件质量情况的监督，无条件接受客户方的要求和建议，并进行认真整改；我们将制定项目质量管理制度，明确项目质量管理工作流程及发现、解决质量问题的方法；将根据质量目标层层分解，制定分层次的质量职责，并明确责任人；将明确项目质量目标、质量标准，定期举办质量保证评审会和技术研讨会，提供评估流程以确保软件质量，明确项目产出物的评审，确定评审的方式和时间。</w:t>
      </w:r>
    </w:p>
    <w:p>
      <w:pPr>
        <w:spacing w:line="360" w:lineRule="auto"/>
        <w:ind w:firstLine="480" w:firstLineChars="200"/>
        <w:rPr>
          <w:sz w:val="24"/>
          <w:szCs w:val="24"/>
        </w:rPr>
      </w:pPr>
      <w:r>
        <w:rPr>
          <w:rFonts w:hint="eastAsia"/>
          <w:sz w:val="24"/>
          <w:szCs w:val="24"/>
        </w:rPr>
        <w:t>质量管理包括协调一系列质量保证活动、对质量评审结果进行分析以及对质量问题进行跟踪，其主要工作目标定义为：</w:t>
      </w:r>
    </w:p>
    <w:p>
      <w:pPr>
        <w:spacing w:line="360" w:lineRule="auto"/>
        <w:ind w:firstLine="480" w:firstLineChars="200"/>
        <w:rPr>
          <w:sz w:val="24"/>
          <w:szCs w:val="24"/>
        </w:rPr>
      </w:pPr>
      <w:r>
        <w:rPr>
          <w:rFonts w:hint="eastAsia"/>
          <w:sz w:val="24"/>
          <w:szCs w:val="24"/>
        </w:rPr>
        <w:t>协调并协助进行项目的质量保证评审；</w:t>
      </w:r>
    </w:p>
    <w:p>
      <w:pPr>
        <w:spacing w:line="360" w:lineRule="auto"/>
        <w:ind w:firstLine="480" w:firstLineChars="200"/>
        <w:rPr>
          <w:sz w:val="24"/>
          <w:szCs w:val="24"/>
        </w:rPr>
      </w:pPr>
      <w:r>
        <w:rPr>
          <w:rFonts w:hint="eastAsia"/>
          <w:sz w:val="24"/>
          <w:szCs w:val="24"/>
        </w:rPr>
        <w:t>协调并协助进行过程质量保证评审，如最佳实践评审和关键交付件评审等；</w:t>
      </w:r>
    </w:p>
    <w:p>
      <w:pPr>
        <w:spacing w:line="360" w:lineRule="auto"/>
        <w:ind w:firstLine="480" w:firstLineChars="200"/>
        <w:rPr>
          <w:sz w:val="24"/>
          <w:szCs w:val="24"/>
        </w:rPr>
      </w:pPr>
      <w:r>
        <w:rPr>
          <w:rFonts w:hint="eastAsia"/>
          <w:sz w:val="24"/>
          <w:szCs w:val="24"/>
        </w:rPr>
        <w:t>监控和管理校验、验证与同级互相评审活动；</w:t>
      </w:r>
    </w:p>
    <w:p>
      <w:pPr>
        <w:spacing w:line="360" w:lineRule="auto"/>
        <w:ind w:firstLine="480" w:firstLineChars="200"/>
        <w:rPr>
          <w:sz w:val="24"/>
          <w:szCs w:val="24"/>
        </w:rPr>
      </w:pPr>
      <w:r>
        <w:rPr>
          <w:rFonts w:hint="eastAsia"/>
          <w:sz w:val="24"/>
          <w:szCs w:val="24"/>
        </w:rPr>
        <w:t>采取正确的措施解决质量问题。</w:t>
      </w:r>
    </w:p>
    <w:p>
      <w:pPr>
        <w:spacing w:line="360" w:lineRule="auto"/>
      </w:pPr>
      <w:r>
        <mc:AlternateContent>
          <mc:Choice Requires="wpc">
            <w:drawing>
              <wp:inline distT="0" distB="0" distL="0" distR="0">
                <wp:extent cx="5634355" cy="1744980"/>
                <wp:effectExtent l="0" t="0" r="0" b="635"/>
                <wp:docPr id="4305" name="画布 43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282" name="Rectangle 663"/>
                        <wps:cNvSpPr>
                          <a:spLocks noChangeArrowheads="1"/>
                        </wps:cNvSpPr>
                        <wps:spPr bwMode="auto">
                          <a:xfrm>
                            <a:off x="328295" y="0"/>
                            <a:ext cx="5295900" cy="1744980"/>
                          </a:xfrm>
                          <a:prstGeom prst="rect">
                            <a:avLst/>
                          </a:prstGeom>
                          <a:solidFill>
                            <a:srgbClr val="BBE0E3"/>
                          </a:solidFill>
                          <a:ln>
                            <a:noFill/>
                          </a:ln>
                        </wps:spPr>
                        <wps:bodyPr rot="0" vert="horz" wrap="square" lIns="91440" tIns="45720" rIns="91440" bIns="45720" anchor="t" anchorCtr="0" upright="1">
                          <a:noAutofit/>
                        </wps:bodyPr>
                      </wps:wsp>
                      <wpg:wgp>
                        <wpg:cNvPr id="4283" name="Group 664"/>
                        <wpg:cNvGrpSpPr/>
                        <wpg:grpSpPr>
                          <a:xfrm>
                            <a:off x="448310" y="120650"/>
                            <a:ext cx="3791585" cy="421005"/>
                            <a:chOff x="188" y="189"/>
                            <a:chExt cx="5971" cy="663"/>
                          </a:xfrm>
                        </wpg:grpSpPr>
                        <wps:wsp>
                          <wps:cNvPr id="4284" name="Rectangle 665"/>
                          <wps:cNvSpPr>
                            <a:spLocks noChangeArrowheads="1"/>
                          </wps:cNvSpPr>
                          <wps:spPr bwMode="auto">
                            <a:xfrm>
                              <a:off x="188" y="189"/>
                              <a:ext cx="5971" cy="663"/>
                            </a:xfrm>
                            <a:prstGeom prst="rect">
                              <a:avLst/>
                            </a:prstGeom>
                            <a:solidFill>
                              <a:srgbClr val="FFFFFF"/>
                            </a:solidFill>
                            <a:ln>
                              <a:noFill/>
                            </a:ln>
                          </wps:spPr>
                          <wps:bodyPr rot="0" vert="horz" wrap="square" lIns="91440" tIns="45720" rIns="91440" bIns="45720" anchor="t" anchorCtr="0" upright="1">
                            <a:noAutofit/>
                          </wps:bodyPr>
                        </wps:wsp>
                        <wps:wsp>
                          <wps:cNvPr id="4285" name="Rectangle 666"/>
                          <wps:cNvSpPr>
                            <a:spLocks noChangeArrowheads="1"/>
                          </wps:cNvSpPr>
                          <wps:spPr bwMode="auto">
                            <a:xfrm>
                              <a:off x="188" y="189"/>
                              <a:ext cx="5971" cy="663"/>
                            </a:xfrm>
                            <a:prstGeom prst="rect">
                              <a:avLst/>
                            </a:prstGeom>
                            <a:noFill/>
                            <a:ln w="7620" cap="rnd">
                              <a:solidFill>
                                <a:srgbClr val="000000"/>
                              </a:solidFill>
                              <a:miter lim="800000"/>
                            </a:ln>
                          </wps:spPr>
                          <wps:bodyPr rot="0" vert="horz" wrap="square" lIns="91440" tIns="45720" rIns="91440" bIns="45720" anchor="t" anchorCtr="0" upright="1">
                            <a:noAutofit/>
                          </wps:bodyPr>
                        </wps:wsp>
                      </wpg:wgp>
                      <wps:wsp>
                        <wps:cNvPr id="4286" name="Rectangle 667"/>
                        <wps:cNvSpPr>
                          <a:spLocks noChangeArrowheads="1"/>
                        </wps:cNvSpPr>
                        <wps:spPr bwMode="auto">
                          <a:xfrm>
                            <a:off x="1540510" y="257175"/>
                            <a:ext cx="934085" cy="172720"/>
                          </a:xfrm>
                          <a:prstGeom prst="rect">
                            <a:avLst/>
                          </a:prstGeom>
                          <a:noFill/>
                          <a:ln>
                            <a:noFill/>
                          </a:ln>
                        </wps:spPr>
                        <wps:txbx>
                          <w:txbxContent>
                            <w:p>
                              <w:r>
                                <w:rPr>
                                  <w:rFonts w:hint="eastAsia"/>
                                </w:rPr>
                                <w:t>协调质量保证（</w:t>
                              </w:r>
                            </w:p>
                          </w:txbxContent>
                        </wps:txbx>
                        <wps:bodyPr rot="0" vert="horz" wrap="none" lIns="0" tIns="0" rIns="0" bIns="0" anchor="t" anchorCtr="0" upright="1">
                          <a:spAutoFit/>
                        </wps:bodyPr>
                      </wps:wsp>
                      <wps:wsp>
                        <wps:cNvPr id="4287" name="Rectangle 668"/>
                        <wps:cNvSpPr>
                          <a:spLocks noChangeArrowheads="1"/>
                        </wps:cNvSpPr>
                        <wps:spPr bwMode="auto">
                          <a:xfrm>
                            <a:off x="2524125" y="252095"/>
                            <a:ext cx="167005" cy="162560"/>
                          </a:xfrm>
                          <a:prstGeom prst="rect">
                            <a:avLst/>
                          </a:prstGeom>
                          <a:noFill/>
                          <a:ln>
                            <a:noFill/>
                          </a:ln>
                        </wps:spPr>
                        <wps:txbx>
                          <w:txbxContent>
                            <w:p>
                              <w:r>
                                <w:rPr>
                                  <w:rFonts w:hint="eastAsia"/>
                                </w:rPr>
                                <w:t>QA</w:t>
                              </w:r>
                            </w:p>
                          </w:txbxContent>
                        </wps:txbx>
                        <wps:bodyPr rot="0" vert="horz" wrap="none" lIns="0" tIns="0" rIns="0" bIns="0" anchor="t" anchorCtr="0" upright="1">
                          <a:spAutoFit/>
                        </wps:bodyPr>
                      </wps:wsp>
                      <wps:wsp>
                        <wps:cNvPr id="4288" name="Rectangle 669"/>
                        <wps:cNvSpPr>
                          <a:spLocks noChangeArrowheads="1"/>
                        </wps:cNvSpPr>
                        <wps:spPr bwMode="auto">
                          <a:xfrm>
                            <a:off x="2726055" y="257175"/>
                            <a:ext cx="400685" cy="172720"/>
                          </a:xfrm>
                          <a:prstGeom prst="rect">
                            <a:avLst/>
                          </a:prstGeom>
                          <a:noFill/>
                          <a:ln>
                            <a:noFill/>
                          </a:ln>
                        </wps:spPr>
                        <wps:txbx>
                          <w:txbxContent>
                            <w:p>
                              <w:r>
                                <w:rPr>
                                  <w:rFonts w:hint="eastAsia"/>
                                </w:rPr>
                                <w:t>）评审</w:t>
                              </w:r>
                            </w:p>
                          </w:txbxContent>
                        </wps:txbx>
                        <wps:bodyPr rot="0" vert="horz" wrap="none" lIns="0" tIns="0" rIns="0" bIns="0" anchor="t" anchorCtr="0" upright="1">
                          <a:spAutoFit/>
                        </wps:bodyPr>
                      </wps:wsp>
                      <wpg:wgp>
                        <wpg:cNvPr id="4289" name="Group 670"/>
                        <wpg:cNvGrpSpPr/>
                        <wpg:grpSpPr>
                          <a:xfrm>
                            <a:off x="4420235" y="120650"/>
                            <a:ext cx="1083310" cy="1503680"/>
                            <a:chOff x="6443" y="189"/>
                            <a:chExt cx="1706" cy="2368"/>
                          </a:xfrm>
                        </wpg:grpSpPr>
                        <wps:wsp>
                          <wps:cNvPr id="4290" name="Rectangle 671"/>
                          <wps:cNvSpPr>
                            <a:spLocks noChangeArrowheads="1"/>
                          </wps:cNvSpPr>
                          <wps:spPr bwMode="auto">
                            <a:xfrm>
                              <a:off x="6443" y="189"/>
                              <a:ext cx="1706" cy="2368"/>
                            </a:xfrm>
                            <a:prstGeom prst="rect">
                              <a:avLst/>
                            </a:prstGeom>
                            <a:solidFill>
                              <a:srgbClr val="FFFFFF"/>
                            </a:solidFill>
                            <a:ln>
                              <a:noFill/>
                            </a:ln>
                          </wps:spPr>
                          <wps:bodyPr rot="0" vert="horz" wrap="square" lIns="91440" tIns="45720" rIns="91440" bIns="45720" anchor="t" anchorCtr="0" upright="1">
                            <a:noAutofit/>
                          </wps:bodyPr>
                        </wps:wsp>
                        <wps:wsp>
                          <wps:cNvPr id="4291" name="Rectangle 672"/>
                          <wps:cNvSpPr>
                            <a:spLocks noChangeArrowheads="1"/>
                          </wps:cNvSpPr>
                          <wps:spPr bwMode="auto">
                            <a:xfrm>
                              <a:off x="6443" y="189"/>
                              <a:ext cx="1706" cy="2368"/>
                            </a:xfrm>
                            <a:prstGeom prst="rect">
                              <a:avLst/>
                            </a:prstGeom>
                            <a:noFill/>
                            <a:ln w="7620" cap="rnd">
                              <a:solidFill>
                                <a:srgbClr val="000000"/>
                              </a:solidFill>
                              <a:miter lim="800000"/>
                            </a:ln>
                          </wps:spPr>
                          <wps:bodyPr rot="0" vert="horz" wrap="square" lIns="91440" tIns="45720" rIns="91440" bIns="45720" anchor="t" anchorCtr="0" upright="1">
                            <a:noAutofit/>
                          </wps:bodyPr>
                        </wps:wsp>
                      </wpg:wgp>
                      <wps:wsp>
                        <wps:cNvPr id="4292" name="Rectangle 673"/>
                        <wps:cNvSpPr>
                          <a:spLocks noChangeArrowheads="1"/>
                        </wps:cNvSpPr>
                        <wps:spPr bwMode="auto">
                          <a:xfrm>
                            <a:off x="4541520" y="629285"/>
                            <a:ext cx="800735" cy="172720"/>
                          </a:xfrm>
                          <a:prstGeom prst="rect">
                            <a:avLst/>
                          </a:prstGeom>
                          <a:noFill/>
                          <a:ln>
                            <a:noFill/>
                          </a:ln>
                        </wps:spPr>
                        <wps:txbx>
                          <w:txbxContent>
                            <w:p>
                              <w:r>
                                <w:rPr>
                                  <w:rFonts w:hint="eastAsia"/>
                                </w:rPr>
                                <w:t>分析评审结果</w:t>
                              </w:r>
                            </w:p>
                          </w:txbxContent>
                        </wps:txbx>
                        <wps:bodyPr rot="0" vert="horz" wrap="none" lIns="0" tIns="0" rIns="0" bIns="0" anchor="t" anchorCtr="0" upright="1">
                          <a:spAutoFit/>
                        </wps:bodyPr>
                      </wps:wsp>
                      <wps:wsp>
                        <wps:cNvPr id="4293" name="Rectangle 674"/>
                        <wps:cNvSpPr>
                          <a:spLocks noChangeArrowheads="1"/>
                        </wps:cNvSpPr>
                        <wps:spPr bwMode="auto">
                          <a:xfrm>
                            <a:off x="4541520" y="797560"/>
                            <a:ext cx="800735" cy="172720"/>
                          </a:xfrm>
                          <a:prstGeom prst="rect">
                            <a:avLst/>
                          </a:prstGeom>
                          <a:noFill/>
                          <a:ln>
                            <a:noFill/>
                          </a:ln>
                        </wps:spPr>
                        <wps:txbx>
                          <w:txbxContent>
                            <w:p>
                              <w:r>
                                <w:rPr>
                                  <w:rFonts w:hint="eastAsia"/>
                                </w:rPr>
                                <w:t>并跟踪质量问</w:t>
                              </w:r>
                            </w:p>
                          </w:txbxContent>
                        </wps:txbx>
                        <wps:bodyPr rot="0" vert="horz" wrap="none" lIns="0" tIns="0" rIns="0" bIns="0" anchor="t" anchorCtr="0" upright="1">
                          <a:spAutoFit/>
                        </wps:bodyPr>
                      </wps:wsp>
                      <wps:wsp>
                        <wps:cNvPr id="4294" name="Rectangle 675"/>
                        <wps:cNvSpPr>
                          <a:spLocks noChangeArrowheads="1"/>
                        </wps:cNvSpPr>
                        <wps:spPr bwMode="auto">
                          <a:xfrm>
                            <a:off x="4541520" y="964565"/>
                            <a:ext cx="800735" cy="172720"/>
                          </a:xfrm>
                          <a:prstGeom prst="rect">
                            <a:avLst/>
                          </a:prstGeom>
                          <a:noFill/>
                          <a:ln>
                            <a:noFill/>
                          </a:ln>
                        </wps:spPr>
                        <wps:txbx>
                          <w:txbxContent>
                            <w:p>
                              <w:r>
                                <w:rPr>
                                  <w:rFonts w:hint="eastAsia"/>
                                </w:rPr>
                                <w:t>题的解决过程</w:t>
                              </w:r>
                            </w:p>
                          </w:txbxContent>
                        </wps:txbx>
                        <wps:bodyPr rot="0" vert="horz" wrap="none" lIns="0" tIns="0" rIns="0" bIns="0" anchor="t" anchorCtr="0" upright="1">
                          <a:spAutoFit/>
                        </wps:bodyPr>
                      </wps:wsp>
                      <wpg:wgp>
                        <wpg:cNvPr id="4295" name="Group 676"/>
                        <wpg:cNvGrpSpPr/>
                        <wpg:grpSpPr>
                          <a:xfrm>
                            <a:off x="448310" y="661670"/>
                            <a:ext cx="3791585" cy="421640"/>
                            <a:chOff x="188" y="1041"/>
                            <a:chExt cx="5971" cy="664"/>
                          </a:xfrm>
                        </wpg:grpSpPr>
                        <wps:wsp>
                          <wps:cNvPr id="4296" name="Rectangle 677"/>
                          <wps:cNvSpPr>
                            <a:spLocks noChangeArrowheads="1"/>
                          </wps:cNvSpPr>
                          <wps:spPr bwMode="auto">
                            <a:xfrm>
                              <a:off x="188" y="1041"/>
                              <a:ext cx="5971" cy="664"/>
                            </a:xfrm>
                            <a:prstGeom prst="rect">
                              <a:avLst/>
                            </a:prstGeom>
                            <a:solidFill>
                              <a:srgbClr val="FFFFFF"/>
                            </a:solidFill>
                            <a:ln>
                              <a:noFill/>
                            </a:ln>
                          </wps:spPr>
                          <wps:bodyPr rot="0" vert="horz" wrap="square" lIns="91440" tIns="45720" rIns="91440" bIns="45720" anchor="t" anchorCtr="0" upright="1">
                            <a:noAutofit/>
                          </wps:bodyPr>
                        </wps:wsp>
                        <wps:wsp>
                          <wps:cNvPr id="4297" name="Rectangle 678"/>
                          <wps:cNvSpPr>
                            <a:spLocks noChangeArrowheads="1"/>
                          </wps:cNvSpPr>
                          <wps:spPr bwMode="auto">
                            <a:xfrm>
                              <a:off x="188" y="1041"/>
                              <a:ext cx="5971" cy="664"/>
                            </a:xfrm>
                            <a:prstGeom prst="rect">
                              <a:avLst/>
                            </a:prstGeom>
                            <a:noFill/>
                            <a:ln w="7620" cap="rnd">
                              <a:solidFill>
                                <a:srgbClr val="000000"/>
                              </a:solidFill>
                              <a:miter lim="800000"/>
                            </a:ln>
                          </wps:spPr>
                          <wps:bodyPr rot="0" vert="horz" wrap="square" lIns="91440" tIns="45720" rIns="91440" bIns="45720" anchor="t" anchorCtr="0" upright="1">
                            <a:noAutofit/>
                          </wps:bodyPr>
                        </wps:wsp>
                      </wpg:wgp>
                      <wps:wsp>
                        <wps:cNvPr id="4298" name="Rectangle 679"/>
                        <wps:cNvSpPr>
                          <a:spLocks noChangeArrowheads="1"/>
                        </wps:cNvSpPr>
                        <wps:spPr bwMode="auto">
                          <a:xfrm>
                            <a:off x="1353185" y="798830"/>
                            <a:ext cx="1200785" cy="172720"/>
                          </a:xfrm>
                          <a:prstGeom prst="rect">
                            <a:avLst/>
                          </a:prstGeom>
                          <a:noFill/>
                          <a:ln>
                            <a:noFill/>
                          </a:ln>
                        </wps:spPr>
                        <wps:txbx>
                          <w:txbxContent>
                            <w:p>
                              <w:r>
                                <w:rPr>
                                  <w:rFonts w:hint="eastAsia"/>
                                </w:rPr>
                                <w:t>协调过程质量保证（</w:t>
                              </w:r>
                            </w:p>
                          </w:txbxContent>
                        </wps:txbx>
                        <wps:bodyPr rot="0" vert="horz" wrap="none" lIns="0" tIns="0" rIns="0" bIns="0" anchor="t" anchorCtr="0" upright="1">
                          <a:spAutoFit/>
                        </wps:bodyPr>
                      </wps:wsp>
                      <wps:wsp>
                        <wps:cNvPr id="4299" name="Rectangle 680"/>
                        <wps:cNvSpPr>
                          <a:spLocks noChangeArrowheads="1"/>
                        </wps:cNvSpPr>
                        <wps:spPr bwMode="auto">
                          <a:xfrm>
                            <a:off x="2616835" y="793750"/>
                            <a:ext cx="236220" cy="162560"/>
                          </a:xfrm>
                          <a:prstGeom prst="rect">
                            <a:avLst/>
                          </a:prstGeom>
                          <a:noFill/>
                          <a:ln>
                            <a:noFill/>
                          </a:ln>
                        </wps:spPr>
                        <wps:txbx>
                          <w:txbxContent>
                            <w:p>
                              <w:r>
                                <w:t>PQA</w:t>
                              </w:r>
                            </w:p>
                          </w:txbxContent>
                        </wps:txbx>
                        <wps:bodyPr rot="0" vert="horz" wrap="none" lIns="0" tIns="0" rIns="0" bIns="0" anchor="t" anchorCtr="0" upright="1">
                          <a:spAutoFit/>
                        </wps:bodyPr>
                      </wps:wsp>
                      <wps:wsp>
                        <wps:cNvPr id="4300" name="Rectangle 681"/>
                        <wps:cNvSpPr>
                          <a:spLocks noChangeArrowheads="1"/>
                        </wps:cNvSpPr>
                        <wps:spPr bwMode="auto">
                          <a:xfrm>
                            <a:off x="2914015" y="798830"/>
                            <a:ext cx="400685" cy="172720"/>
                          </a:xfrm>
                          <a:prstGeom prst="rect">
                            <a:avLst/>
                          </a:prstGeom>
                          <a:noFill/>
                          <a:ln>
                            <a:noFill/>
                          </a:ln>
                        </wps:spPr>
                        <wps:txbx>
                          <w:txbxContent>
                            <w:p>
                              <w:r>
                                <w:rPr>
                                  <w:rFonts w:hint="eastAsia"/>
                                </w:rPr>
                                <w:t>）评审</w:t>
                              </w:r>
                            </w:p>
                          </w:txbxContent>
                        </wps:txbx>
                        <wps:bodyPr rot="0" vert="horz" wrap="none" lIns="0" tIns="0" rIns="0" bIns="0" anchor="t" anchorCtr="0" upright="1">
                          <a:spAutoFit/>
                        </wps:bodyPr>
                      </wps:wsp>
                      <wpg:wgp>
                        <wpg:cNvPr id="4301" name="Group 682"/>
                        <wpg:cNvGrpSpPr/>
                        <wpg:grpSpPr>
                          <a:xfrm>
                            <a:off x="448310" y="1203325"/>
                            <a:ext cx="3791585" cy="421005"/>
                            <a:chOff x="188" y="1894"/>
                            <a:chExt cx="5971" cy="663"/>
                          </a:xfrm>
                        </wpg:grpSpPr>
                        <wps:wsp>
                          <wps:cNvPr id="4302" name="Rectangle 683"/>
                          <wps:cNvSpPr>
                            <a:spLocks noChangeArrowheads="1"/>
                          </wps:cNvSpPr>
                          <wps:spPr bwMode="auto">
                            <a:xfrm>
                              <a:off x="188" y="1894"/>
                              <a:ext cx="5971" cy="663"/>
                            </a:xfrm>
                            <a:prstGeom prst="rect">
                              <a:avLst/>
                            </a:prstGeom>
                            <a:solidFill>
                              <a:srgbClr val="FFFFFF"/>
                            </a:solidFill>
                            <a:ln>
                              <a:noFill/>
                            </a:ln>
                          </wps:spPr>
                          <wps:bodyPr rot="0" vert="horz" wrap="square" lIns="91440" tIns="45720" rIns="91440" bIns="45720" anchor="t" anchorCtr="0" upright="1">
                            <a:noAutofit/>
                          </wps:bodyPr>
                        </wps:wsp>
                        <wps:wsp>
                          <wps:cNvPr id="4303" name="Rectangle 684"/>
                          <wps:cNvSpPr>
                            <a:spLocks noChangeArrowheads="1"/>
                          </wps:cNvSpPr>
                          <wps:spPr bwMode="auto">
                            <a:xfrm>
                              <a:off x="188" y="1894"/>
                              <a:ext cx="5971" cy="663"/>
                            </a:xfrm>
                            <a:prstGeom prst="rect">
                              <a:avLst/>
                            </a:prstGeom>
                            <a:noFill/>
                            <a:ln w="7620" cap="rnd">
                              <a:solidFill>
                                <a:srgbClr val="000000"/>
                              </a:solidFill>
                              <a:miter lim="800000"/>
                            </a:ln>
                          </wps:spPr>
                          <wps:bodyPr rot="0" vert="horz" wrap="square" lIns="91440" tIns="45720" rIns="91440" bIns="45720" anchor="t" anchorCtr="0" upright="1">
                            <a:noAutofit/>
                          </wps:bodyPr>
                        </wps:wsp>
                      </wpg:wgp>
                      <wps:wsp>
                        <wps:cNvPr id="4304" name="Rectangle 685"/>
                        <wps:cNvSpPr>
                          <a:spLocks noChangeArrowheads="1"/>
                        </wps:cNvSpPr>
                        <wps:spPr bwMode="auto">
                          <a:xfrm>
                            <a:off x="1221740" y="1339215"/>
                            <a:ext cx="2134235" cy="172720"/>
                          </a:xfrm>
                          <a:prstGeom prst="rect">
                            <a:avLst/>
                          </a:prstGeom>
                          <a:noFill/>
                          <a:ln>
                            <a:noFill/>
                          </a:ln>
                        </wps:spPr>
                        <wps:txbx>
                          <w:txbxContent>
                            <w:p>
                              <w:r>
                                <w:rPr>
                                  <w:rFonts w:hint="eastAsia"/>
                                </w:rPr>
                                <w:t>管理验收、验证与同级互相评审活动</w:t>
                              </w:r>
                            </w:p>
                          </w:txbxContent>
                        </wps:txbx>
                        <wps:bodyPr rot="0" vert="horz" wrap="none" lIns="0" tIns="0" rIns="0" bIns="0" anchor="t" anchorCtr="0" upright="1">
                          <a:spAutoFit/>
                        </wps:bodyPr>
                      </wps:wsp>
                    </wpc:wpc>
                  </a:graphicData>
                </a:graphic>
              </wp:inline>
            </w:drawing>
          </mc:Choice>
          <mc:Fallback>
            <w:pict>
              <v:group id="_x0000_s1026" o:spid="_x0000_s1026" o:spt="203" style="height:137.4pt;width:443.65pt;" coordsize="5634355,1744980" editas="canvas" o:gfxdata="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">
                <o:lock v:ext="edit" aspectratio="f"/>
                <v:shape id="_x0000_s1026" o:spid="_x0000_s1026" style="position:absolute;left:0;top:0;height:1744980;width:5634355;" filled="f" stroked="f" coordsize="21600,21600" o:gfxdata="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">
                  <v:fill on="f" focussize="0,0"/>
                  <v:stroke on="f"/>
                  <v:imagedata o:title=""/>
                  <o:lock v:ext="edit" aspectratio="t"/>
                </v:shape>
                <v:rect id="Rectangle 663" o:spid="_x0000_s1026" o:spt="1" style="position:absolute;left:328295;top:0;height:1744980;width:5295900;" fillcolor="#BBE0E3" filled="t" stroked="f" coordsize="21600,21600" o:gfxdata="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QS6E9UAAAAFAQAADwAAAAAAAAABACAAAAAiAAAAZHJzL2Rv&#10;d25yZXYueG1sUEsBAhQAFAAAAAgAh07iQCoQmlcEAgAA5gMAAA4AAAAAAAAAAQAgAAAAJAEAAGRy&#10;cy9lMm9Eb2MueG1sUEsFBgAAAAAGAAYAWQEAAJoFAAAAAA==&#10;">
                  <v:fill on="t" focussize="0,0"/>
                  <v:stroke on="f"/>
                  <v:imagedata o:title=""/>
                  <o:lock v:ext="edit" aspectratio="f"/>
                </v:rect>
                <v:group id="Group 664" o:spid="_x0000_s1026" o:spt="203" style="position:absolute;left:448310;top:120650;height:421005;width:3791585;" coordorigin="188,189" coordsize="5971,663" o:gfxdata="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HS6Y3dcAAAAFAQAADwAAAAAAAAABACAAAAAiAAAAZHJzL2Rvd25yZXYu&#10;eG1sUEsBAhQAFAAAAAgAh07iQPWoNPynAgAAkQcAAA4AAAAAAAAAAQAgAAAAJgEAAGRycy9lMm9E&#10;b2MueG1sUEsFBgAAAAAGAAYAWQEAAD8GAAAAAA==&#10;">
                  <o:lock v:ext="edit" aspectratio="f"/>
                  <v:rect id="Rectangle 665" o:spid="_x0000_s1026" o:spt="1" style="position:absolute;left:188;top:189;height:663;width:5971;" fillcolor="#FFFFFF" filled="t" stroked="f" coordsize="21600,21600" o:gfxdata="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uphsr4A&#10;AADdAAAADwAAAAAAAAABACAAAAAiAAAAZHJzL2Rvd25yZXYueG1sUEsBAhQAFAAAAAgAh07iQDMv&#10;BZ47AAAAOQAAABAAAAAAAAAAAQAgAAAADQEAAGRycy9zaGFwZXhtbC54bWxQSwUGAAAAAAYABgBb&#10;AQAAtwMAAAAA&#10;">
                    <v:fill on="t" focussize="0,0"/>
                    <v:stroke on="f"/>
                    <v:imagedata o:title=""/>
                    <o:lock v:ext="edit" aspectratio="f"/>
                  </v:rect>
                  <v:rect id="Rectangle 666" o:spid="_x0000_s1026" o:spt="1" style="position:absolute;left:188;top:189;height:663;width:5971;" filled="f" stroked="t" coordsize="21600,21600" o:gfxdata="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6hHHq8AAAA&#10;3QAAAA8AAAAAAAAAAQAgAAAAIgAAAGRycy9kb3ducmV2LnhtbFBLAQIUABQAAAAIAIdO4kAzLwWe&#10;OwAAADkAAAAQAAAAAAAAAAEAIAAAAAsBAABkcnMvc2hhcGV4bWwueG1sUEsFBgAAAAAGAAYAWwEA&#10;ALUDAAAAAA==&#10;">
                    <v:fill on="f" focussize="0,0"/>
                    <v:stroke weight="0.6pt" color="#000000" miterlimit="8" joinstyle="miter" endcap="round"/>
                    <v:imagedata o:title=""/>
                    <o:lock v:ext="edit" aspectratio="f"/>
                  </v:rect>
                </v:group>
                <v:rect id="Rectangle 667" o:spid="_x0000_s1026" o:spt="1" style="position:absolute;left:1540510;top:257175;height:172720;width:934085;mso-wrap-style:none;" filled="f" stroked="f" coordsize="21600,21600" o:gfxdata="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uG&#10;r/DUAAAABQEAAA8AAAAAAAAAAQAgAAAAIgAAAGRycy9kb3ducmV2LnhtbFBLAQIUABQAAAAIAIdO&#10;4kDGGQ3Z7gEAALoDAAAOAAAAAAAAAAEAIAAAACMBAABkcnMvZTJvRG9jLnhtbFBLBQYAAAAABgAG&#10;AFkBAACDBQAAAAA=&#10;">
                  <v:fill on="f" focussize="0,0"/>
                  <v:stroke on="f"/>
                  <v:imagedata o:title=""/>
                  <o:lock v:ext="edit" aspectratio="f"/>
                  <v:textbox inset="0mm,0mm,0mm,0mm" style="mso-fit-shape-to-text:t;">
                    <w:txbxContent>
                      <w:p>
                        <w:r>
                          <w:rPr>
                            <w:rFonts w:hint="eastAsia"/>
                          </w:rPr>
                          <w:t>协调质量保证（</w:t>
                        </w:r>
                      </w:p>
                    </w:txbxContent>
                  </v:textbox>
                </v:rect>
                <v:rect id="Rectangle 668" o:spid="_x0000_s1026" o:spt="1" style="position:absolute;left:2524125;top:252095;height:162560;width:167005;mso-wrap-style:none;" filled="f" stroked="f" coordsize="21600,21600" o:gfxdata="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uGr/DU&#10;AAAABQEAAA8AAAAAAAAAAQAgAAAAIgAAAGRycy9kb3ducmV2LnhtbFBLAQIUABQAAAAIAIdO4kDN&#10;4qxM6wEAALoDAAAOAAAAAAAAAAEAIAAAACMBAABkcnMvZTJvRG9jLnhtbFBLBQYAAAAABgAGAFkB&#10;AACABQAAAAA=&#10;">
                  <v:fill on="f" focussize="0,0"/>
                  <v:stroke on="f"/>
                  <v:imagedata o:title=""/>
                  <o:lock v:ext="edit" aspectratio="f"/>
                  <v:textbox inset="0mm,0mm,0mm,0mm" style="mso-fit-shape-to-text:t;">
                    <w:txbxContent>
                      <w:p>
                        <w:r>
                          <w:rPr>
                            <w:rFonts w:hint="eastAsia"/>
                          </w:rPr>
                          <w:t>QA</w:t>
                        </w:r>
                      </w:p>
                    </w:txbxContent>
                  </v:textbox>
                </v:rect>
                <v:rect id="Rectangle 669" o:spid="_x0000_s1026" o:spt="1" style="position:absolute;left:2726055;top:257175;height:172720;width:400685;mso-wrap-style:none;" filled="f" stroked="f" coordsize="21600,21600" o:gfxdata="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uGr/DU&#10;AAAABQEAAA8AAAAAAAAAAQAgAAAAIgAAAGRycy9kb3ducmV2LnhtbFBLAQIUABQAAAAIAIdO4kBP&#10;0Bc26wEAALoDAAAOAAAAAAAAAAEAIAAAACMBAABkcnMvZTJvRG9jLnhtbFBLBQYAAAAABgAGAFkB&#10;AACABQAAAAA=&#10;">
                  <v:fill on="f" focussize="0,0"/>
                  <v:stroke on="f"/>
                  <v:imagedata o:title=""/>
                  <o:lock v:ext="edit" aspectratio="f"/>
                  <v:textbox inset="0mm,0mm,0mm,0mm" style="mso-fit-shape-to-text:t;">
                    <w:txbxContent>
                      <w:p>
                        <w:r>
                          <w:rPr>
                            <w:rFonts w:hint="eastAsia"/>
                          </w:rPr>
                          <w:t>）评审</w:t>
                        </w:r>
                      </w:p>
                    </w:txbxContent>
                  </v:textbox>
                </v:rect>
                <v:group id="Group 670" o:spid="_x0000_s1026" o:spt="203" style="position:absolute;left:4420235;top:120650;height:1503680;width:1083310;" coordorigin="6443,189" coordsize="1706,2368" o:gfxdata="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B0umN3XAAAABQEAAA8AAAAAAAAAAQAgAAAAIgAAAGRycy9kb3ducmV2LnhtbFBL&#10;AQIUABQAAAAIAIdO4kB9pIrXogIAAJkHAAAOAAAAAAAAAAEAIAAAACYBAABkcnMvZTJvRG9jLnht&#10;bFBLBQYAAAAABgAGAFkBAAA6BgAAAAA=&#10;">
                  <o:lock v:ext="edit" aspectratio="f"/>
                  <v:rect id="Rectangle 671" o:spid="_x0000_s1026" o:spt="1" style="position:absolute;left:6443;top:189;height:2368;width:1706;" fillcolor="#FFFFFF" filled="t" stroked="f" coordsize="21600,21600" o:gfxdata="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I8Wy8AAAA&#10;3QAAAA8AAAAAAAAAAQAgAAAAIgAAAGRycy9kb3ducmV2LnhtbFBLAQIUABQAAAAIAIdO4kAzLwWe&#10;OwAAADkAAAAQAAAAAAAAAAEAIAAAAAsBAABkcnMvc2hhcGV4bWwueG1sUEsFBgAAAAAGAAYAWwEA&#10;ALUDAAAAAA==&#10;">
                    <v:fill on="t" focussize="0,0"/>
                    <v:stroke on="f"/>
                    <v:imagedata o:title=""/>
                    <o:lock v:ext="edit" aspectratio="f"/>
                  </v:rect>
                  <v:rect id="Rectangle 672" o:spid="_x0000_s1026" o:spt="1" style="position:absolute;left:6443;top:189;height:2368;width:1706;" filled="f" stroked="t" coordsize="21600,21600" o:gfxdata="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DjKS8AAAA&#10;3QAAAA8AAAAAAAAAAQAgAAAAIgAAAGRycy9kb3ducmV2LnhtbFBLAQIUABQAAAAIAIdO4kAzLwWe&#10;OwAAADkAAAAQAAAAAAAAAAEAIAAAAAsBAABkcnMvc2hhcGV4bWwueG1sUEsFBgAAAAAGAAYAWwEA&#10;ALUDAAAAAA==&#10;">
                    <v:fill on="f" focussize="0,0"/>
                    <v:stroke weight="0.6pt" color="#000000" miterlimit="8" joinstyle="miter" endcap="round"/>
                    <v:imagedata o:title=""/>
                    <o:lock v:ext="edit" aspectratio="f"/>
                  </v:rect>
                </v:group>
                <v:rect id="Rectangle 673" o:spid="_x0000_s1026" o:spt="1" style="position:absolute;left:4541520;top:629285;height:172720;width:800735;mso-wrap-style:none;" filled="f" stroked="f" coordsize="21600,21600" o:gfxdata="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rhq/w&#10;1AAAAAUBAAAPAAAAAAAAAAEAIAAAACIAAABkcnMvZG93bnJldi54bWxQSwECFAAUAAAACACHTuJA&#10;ZN2xc+wBAAC6AwAADgAAAAAAAAABACAAAAAjAQAAZHJzL2Uyb0RvYy54bWxQSwUGAAAAAAYABgBZ&#10;AQAAgQUAAAAA&#10;">
                  <v:fill on="f" focussize="0,0"/>
                  <v:stroke on="f"/>
                  <v:imagedata o:title=""/>
                  <o:lock v:ext="edit" aspectratio="f"/>
                  <v:textbox inset="0mm,0mm,0mm,0mm" style="mso-fit-shape-to-text:t;">
                    <w:txbxContent>
                      <w:p>
                        <w:r>
                          <w:rPr>
                            <w:rFonts w:hint="eastAsia"/>
                          </w:rPr>
                          <w:t>分析评审结果</w:t>
                        </w:r>
                      </w:p>
                    </w:txbxContent>
                  </v:textbox>
                </v:rect>
                <v:rect id="Rectangle 674" o:spid="_x0000_s1026" o:spt="1" style="position:absolute;left:4541520;top:797560;height:172720;width:800735;mso-wrap-style:none;" filled="f" stroked="f" coordsize="21600,21600" o:gfxdata="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4av&#10;8NQAAAAFAQAADwAAAAAAAAABACAAAAAiAAAAZHJzL2Rvd25yZXYueG1sUEsBAhQAFAAAAAgAh07i&#10;QPi8v1jtAQAAugMAAA4AAAAAAAAAAQAgAAAAIwEAAGRycy9lMm9Eb2MueG1sUEsFBgAAAAAGAAYA&#10;WQEAAIIFAAAAAA==&#10;">
                  <v:fill on="f" focussize="0,0"/>
                  <v:stroke on="f"/>
                  <v:imagedata o:title=""/>
                  <o:lock v:ext="edit" aspectratio="f"/>
                  <v:textbox inset="0mm,0mm,0mm,0mm" style="mso-fit-shape-to-text:t;">
                    <w:txbxContent>
                      <w:p>
                        <w:r>
                          <w:rPr>
                            <w:rFonts w:hint="eastAsia"/>
                          </w:rPr>
                          <w:t>并跟踪质量问</w:t>
                        </w:r>
                      </w:p>
                    </w:txbxContent>
                  </v:textbox>
                </v:rect>
                <v:rect id="Rectangle 675" o:spid="_x0000_s1026" o:spt="1" style="position:absolute;left:4541520;top:964565;height:172720;width:800735;mso-wrap-style:none;" filled="f" stroked="f" coordsize="21600,21600" o:gfxdata="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4av&#10;8NQAAAAFAQAADwAAAAAAAAABACAAAAAiAAAAZHJzL2Rvd25yZXYueG1sUEsBAhQAFAAAAAgAh07i&#10;QEoM5ULtAQAAugMAAA4AAAAAAAAAAQAgAAAAIwEAAGRycy9lMm9Eb2MueG1sUEsFBgAAAAAGAAYA&#10;WQEAAIIFAAAAAA==&#10;">
                  <v:fill on="f" focussize="0,0"/>
                  <v:stroke on="f"/>
                  <v:imagedata o:title=""/>
                  <o:lock v:ext="edit" aspectratio="f"/>
                  <v:textbox inset="0mm,0mm,0mm,0mm" style="mso-fit-shape-to-text:t;">
                    <w:txbxContent>
                      <w:p>
                        <w:r>
                          <w:rPr>
                            <w:rFonts w:hint="eastAsia"/>
                          </w:rPr>
                          <w:t>题的解决过程</w:t>
                        </w:r>
                      </w:p>
                    </w:txbxContent>
                  </v:textbox>
                </v:rect>
                <v:group id="Group 676" o:spid="_x0000_s1026" o:spt="203" style="position:absolute;left:448310;top:661670;height:421640;width:3791585;" coordorigin="188,1041" coordsize="5971,664" o:gfxdata="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HS6Y3dcAAAAFAQAADwAAAAAAAAABACAAAAAiAAAAZHJzL2Rvd25yZXYueG1sUEsB&#10;AhQAFAAAAAgAh07iQK+dBqehAgAAlAcAAA4AAAAAAAAAAQAgAAAAJgEAAGRycy9lMm9Eb2MueG1s&#10;UEsFBgAAAAAGAAYAWQEAADkGAAAAAA==&#10;">
                  <o:lock v:ext="edit" aspectratio="f"/>
                  <v:rect id="Rectangle 677" o:spid="_x0000_s1026" o:spt="1" style="position:absolute;left:188;top:1041;height:664;width:5971;" fillcolor="#FFFFFF" filled="t" stroked="f" coordsize="21600,21600" o:gfxdata="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tzIO/&#10;AAAA3QAAAA8AAAAAAAAAAQAgAAAAIgAAAGRycy9kb3ducmV2LnhtbFBLAQIUABQAAAAIAIdO4kAz&#10;LwWeOwAAADkAAAAQAAAAAAAAAAEAIAAAAA4BAABkcnMvc2hhcGV4bWwueG1sUEsFBgAAAAAGAAYA&#10;WwEAALgDAAAAAA==&#10;">
                    <v:fill on="t" focussize="0,0"/>
                    <v:stroke on="f"/>
                    <v:imagedata o:title=""/>
                    <o:lock v:ext="edit" aspectratio="f"/>
                  </v:rect>
                  <v:rect id="Rectangle 678" o:spid="_x0000_s1026" o:spt="1" style="position:absolute;left:188;top:1041;height:664;width:5971;" filled="f" stroked="t" coordsize="21600,21600" o:gfxdata="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axS74A&#10;AADdAAAADwAAAAAAAAABACAAAAAiAAAAZHJzL2Rvd25yZXYueG1sUEsBAhQAFAAAAAgAh07iQDMv&#10;BZ47AAAAOQAAABAAAAAAAAAAAQAgAAAADQEAAGRycy9zaGFwZXhtbC54bWxQSwUGAAAAAAYABgBb&#10;AQAAtwMAAAAA&#10;">
                    <v:fill on="f" focussize="0,0"/>
                    <v:stroke weight="0.6pt" color="#000000" miterlimit="8" joinstyle="miter" endcap="round"/>
                    <v:imagedata o:title=""/>
                    <o:lock v:ext="edit" aspectratio="f"/>
                  </v:rect>
                </v:group>
                <v:rect id="Rectangle 679" o:spid="_x0000_s1026" o:spt="1" style="position:absolute;left:1353185;top:798830;height:172720;width:1200785;mso-wrap-style:none;" filled="f" stroked="f" coordsize="21600,21600" o:gfxdata="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uGr/DU&#10;AAAABQEAAA8AAAAAAAAAAQAgAAAAIgAAAGRycy9kb3ducmV2LnhtbFBLAQIUABQAAAAIAIdO4kC5&#10;F3wW6wEAALsDAAAOAAAAAAAAAAEAIAAAACMBAABkcnMvZTJvRG9jLnhtbFBLBQYAAAAABgAGAFkB&#10;AACABQAAAAA=&#10;">
                  <v:fill on="f" focussize="0,0"/>
                  <v:stroke on="f"/>
                  <v:imagedata o:title=""/>
                  <o:lock v:ext="edit" aspectratio="f"/>
                  <v:textbox inset="0mm,0mm,0mm,0mm" style="mso-fit-shape-to-text:t;">
                    <w:txbxContent>
                      <w:p>
                        <w:r>
                          <w:rPr>
                            <w:rFonts w:hint="eastAsia"/>
                          </w:rPr>
                          <w:t>协调过程质量保证（</w:t>
                        </w:r>
                      </w:p>
                    </w:txbxContent>
                  </v:textbox>
                </v:rect>
                <v:rect id="Rectangle 680" o:spid="_x0000_s1026" o:spt="1" style="position:absolute;left:2616835;top:793750;height:162560;width:236220;mso-wrap-style:none;" filled="f" stroked="f" coordsize="21600,21600" o:gfxdata="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rhq/w&#10;1AAAAAUBAAAPAAAAAAAAAAEAIAAAACIAAABkcnMvZG93bnJldi54bWxQSwECFAAUAAAACACHTuJA&#10;s2legewBAAC6AwAADgAAAAAAAAABACAAAAAjAQAAZHJzL2Uyb0RvYy54bWxQSwUGAAAAAAYABgBZ&#10;AQAAgQUAAAAA&#10;">
                  <v:fill on="f" focussize="0,0"/>
                  <v:stroke on="f"/>
                  <v:imagedata o:title=""/>
                  <o:lock v:ext="edit" aspectratio="f"/>
                  <v:textbox inset="0mm,0mm,0mm,0mm" style="mso-fit-shape-to-text:t;">
                    <w:txbxContent>
                      <w:p>
                        <w:r>
                          <w:t>PQA</w:t>
                        </w:r>
                      </w:p>
                    </w:txbxContent>
                  </v:textbox>
                </v:rect>
                <v:rect id="Rectangle 681" o:spid="_x0000_s1026" o:spt="1" style="position:absolute;left:2914015;top:798830;height:172720;width:400685;mso-wrap-style:none;" filled="f" stroked="f" coordsize="21600,21600" o:gfxdata="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uGr/DU&#10;AAAABQEAAA8AAAAAAAAAAQAgAAAAIgAAAGRycy9kb3ducmV2LnhtbFBLAQIUABQAAAAIAIdO4kDg&#10;6nfH6wEAALoDAAAOAAAAAAAAAAEAIAAAACMBAABkcnMvZTJvRG9jLnhtbFBLBQYAAAAABgAGAFkB&#10;AACABQAAAAA=&#10;">
                  <v:fill on="f" focussize="0,0"/>
                  <v:stroke on="f"/>
                  <v:imagedata o:title=""/>
                  <o:lock v:ext="edit" aspectratio="f"/>
                  <v:textbox inset="0mm,0mm,0mm,0mm" style="mso-fit-shape-to-text:t;">
                    <w:txbxContent>
                      <w:p>
                        <w:r>
                          <w:rPr>
                            <w:rFonts w:hint="eastAsia"/>
                          </w:rPr>
                          <w:t>）评审</w:t>
                        </w:r>
                      </w:p>
                    </w:txbxContent>
                  </v:textbox>
                </v:rect>
                <v:group id="Group 682" o:spid="_x0000_s1026" o:spt="203" style="position:absolute;left:448310;top:1203325;height:421005;width:3791585;" coordorigin="188,1894" coordsize="5971,663" o:gfxdata="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B0umN3XAAAABQEAAA8AAAAAAAAAAQAgAAAAIgAAAGRycy9kb3ducmV2Lnht&#10;bFBLAQIUABQAAAAIAIdO4kDG30NOpQIAAJUHAAAOAAAAAAAAAAEAIAAAACYBAABkcnMvZTJvRG9j&#10;LnhtbFBLBQYAAAAABgAGAFkBAAA9BgAAAAA=&#10;">
                  <o:lock v:ext="edit" aspectratio="f"/>
                  <v:rect id="Rectangle 683" o:spid="_x0000_s1026" o:spt="1" style="position:absolute;left:188;top:1894;height:663;width:5971;" fillcolor="#FFFFFF" filled="t" stroked="f" coordsize="21600,21600" o:gfxdata="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9UJq/&#10;AAAA3QAAAA8AAAAAAAAAAQAgAAAAIgAAAGRycy9kb3ducmV2LnhtbFBLAQIUABQAAAAIAIdO4kAz&#10;LwWeOwAAADkAAAAQAAAAAAAAAAEAIAAAAA4BAABkcnMvc2hhcGV4bWwueG1sUEsFBgAAAAAGAAYA&#10;WwEAALgDAAAAAA==&#10;">
                    <v:fill on="t" focussize="0,0"/>
                    <v:stroke on="f"/>
                    <v:imagedata o:title=""/>
                    <o:lock v:ext="edit" aspectratio="f"/>
                  </v:rect>
                  <v:rect id="Rectangle 684" o:spid="_x0000_s1026" o:spt="1" style="position:absolute;left:188;top:1894;height:663;width:5971;" filled="f" stroked="t" coordsize="21600,21600" o:gfxdata="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Ni1SvQAA&#10;AN0AAAAPAAAAAAAAAAEAIAAAACIAAABkcnMvZG93bnJldi54bWxQSwECFAAUAAAACACHTuJAMy8F&#10;njsAAAA5AAAAEAAAAAAAAAABACAAAAAMAQAAZHJzL3NoYXBleG1sLnhtbFBLBQYAAAAABgAGAFsB&#10;AAC2AwAAAAA=&#10;">
                    <v:fill on="f" focussize="0,0"/>
                    <v:stroke weight="0.6pt" color="#000000" miterlimit="8" joinstyle="miter" endcap="round"/>
                    <v:imagedata o:title=""/>
                    <o:lock v:ext="edit" aspectratio="f"/>
                  </v:rect>
                </v:group>
                <v:rect id="Rectangle 685" o:spid="_x0000_s1026" o:spt="1" style="position:absolute;left:1221740;top:1339215;height:172720;width:2134235;mso-wrap-style:none;" filled="f" stroked="f" coordsize="21600,21600" o:gfxdata="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uG&#10;r/DUAAAABQEAAA8AAAAAAAAAAQAgAAAAIgAAAGRycy9kb3ducmV2LnhtbFBLAQIUABQAAAAIAIdO&#10;4kAfcBD27gEAALwDAAAOAAAAAAAAAAEAIAAAACMBAABkcnMvZTJvRG9jLnhtbFBLBQYAAAAABgAG&#10;AFkBAACDBQAAAAA=&#10;">
                  <v:fill on="f" focussize="0,0"/>
                  <v:stroke on="f"/>
                  <v:imagedata o:title=""/>
                  <o:lock v:ext="edit" aspectratio="f"/>
                  <v:textbox inset="0mm,0mm,0mm,0mm" style="mso-fit-shape-to-text:t;">
                    <w:txbxContent>
                      <w:p>
                        <w:r>
                          <w:rPr>
                            <w:rFonts w:hint="eastAsia"/>
                          </w:rPr>
                          <w:t>管理验收、验证与同级互相评审活动</w:t>
                        </w:r>
                      </w:p>
                    </w:txbxContent>
                  </v:textbox>
                </v:rect>
                <w10:wrap type="none"/>
                <w10:anchorlock/>
              </v:group>
            </w:pict>
          </mc:Fallback>
        </mc:AlternateContent>
      </w:r>
    </w:p>
    <w:p>
      <w:pPr>
        <w:spacing w:line="360" w:lineRule="auto"/>
        <w:jc w:val="center"/>
      </w:pPr>
      <w:r>
        <w:rPr>
          <w:rFonts w:hint="eastAsia"/>
        </w:rPr>
        <w:t>质量管理工作流程</w:t>
      </w:r>
    </w:p>
    <w:p>
      <w:pPr>
        <w:spacing w:line="360" w:lineRule="auto"/>
        <w:ind w:firstLine="420" w:firstLineChars="200"/>
      </w:pPr>
    </w:p>
    <w:p>
      <w:pPr>
        <w:spacing w:line="360" w:lineRule="auto"/>
        <w:ind w:firstLine="480" w:firstLineChars="200"/>
        <w:rPr>
          <w:sz w:val="24"/>
          <w:szCs w:val="24"/>
        </w:rPr>
      </w:pPr>
      <w:r>
        <w:rPr>
          <w:rFonts w:hint="eastAsia"/>
          <w:sz w:val="24"/>
          <w:szCs w:val="24"/>
        </w:rPr>
        <w:t>为保证质量管理的有效性，需要注意以下几点关键要素：</w:t>
      </w:r>
    </w:p>
    <w:p>
      <w:pPr>
        <w:spacing w:line="360" w:lineRule="auto"/>
        <w:ind w:firstLine="480" w:firstLineChars="200"/>
        <w:rPr>
          <w:sz w:val="24"/>
          <w:szCs w:val="24"/>
        </w:rPr>
      </w:pPr>
      <w:r>
        <w:rPr>
          <w:rFonts w:hint="eastAsia"/>
          <w:sz w:val="24"/>
          <w:szCs w:val="24"/>
        </w:rPr>
        <w:t>对于质量保证（</w:t>
      </w:r>
      <w:r>
        <w:rPr>
          <w:sz w:val="24"/>
          <w:szCs w:val="24"/>
        </w:rPr>
        <w:t>QA</w:t>
      </w:r>
      <w:r>
        <w:rPr>
          <w:rFonts w:hint="eastAsia"/>
          <w:sz w:val="24"/>
          <w:szCs w:val="24"/>
        </w:rPr>
        <w:t>）评审，需要仔细确定评审范围；</w:t>
      </w:r>
    </w:p>
    <w:p>
      <w:pPr>
        <w:spacing w:line="360" w:lineRule="auto"/>
        <w:ind w:firstLine="480" w:firstLineChars="200"/>
        <w:rPr>
          <w:sz w:val="24"/>
          <w:szCs w:val="24"/>
        </w:rPr>
      </w:pPr>
      <w:r>
        <w:rPr>
          <w:rFonts w:hint="eastAsia"/>
          <w:sz w:val="24"/>
          <w:szCs w:val="24"/>
        </w:rPr>
        <w:t>对于过程质量保证（</w:t>
      </w:r>
      <w:r>
        <w:rPr>
          <w:sz w:val="24"/>
          <w:szCs w:val="24"/>
        </w:rPr>
        <w:t>PQA</w:t>
      </w:r>
      <w:r>
        <w:rPr>
          <w:rFonts w:hint="eastAsia"/>
          <w:sz w:val="24"/>
          <w:szCs w:val="24"/>
        </w:rPr>
        <w:t>）评审，要确保评审覆盖核心管理计划；</w:t>
      </w:r>
    </w:p>
    <w:p>
      <w:pPr>
        <w:spacing w:line="360" w:lineRule="auto"/>
        <w:ind w:firstLine="480" w:firstLineChars="200"/>
        <w:rPr>
          <w:sz w:val="24"/>
          <w:szCs w:val="24"/>
        </w:rPr>
      </w:pPr>
      <w:r>
        <w:rPr>
          <w:rFonts w:hint="eastAsia"/>
          <w:sz w:val="24"/>
          <w:szCs w:val="24"/>
        </w:rPr>
        <w:t>当管理校验、验证和同级评审活动时，力求在项目生命周期的早期就建立相应的机制，并定义相应的执行流程和准则。</w:t>
      </w:r>
    </w:p>
    <w:p>
      <w:pPr>
        <w:spacing w:line="360" w:lineRule="auto"/>
        <w:ind w:firstLine="420" w:firstLineChars="200"/>
      </w:pPr>
    </w:p>
    <w:p>
      <w:pPr>
        <w:pStyle w:val="4"/>
        <w:numPr>
          <w:ilvl w:val="2"/>
          <w:numId w:val="3"/>
        </w:numPr>
        <w:spacing w:before="0" w:after="0" w:line="360" w:lineRule="auto"/>
        <w:ind w:left="0" w:leftChars="0" w:firstLine="402" w:firstLineChars="0"/>
      </w:pPr>
      <w:bookmarkStart w:id="372" w:name="_Toc22047"/>
      <w:r>
        <w:rPr>
          <w:rFonts w:hint="eastAsia"/>
        </w:rPr>
        <w:t>质量保证目标</w:t>
      </w:r>
      <w:bookmarkEnd w:id="372"/>
    </w:p>
    <w:p>
      <w:pPr>
        <w:spacing w:line="360" w:lineRule="auto"/>
        <w:ind w:firstLine="480" w:firstLineChars="200"/>
        <w:rPr>
          <w:sz w:val="24"/>
          <w:szCs w:val="24"/>
        </w:rPr>
      </w:pPr>
      <w:r>
        <w:rPr>
          <w:rFonts w:hint="eastAsia"/>
          <w:sz w:val="24"/>
          <w:szCs w:val="24"/>
        </w:rPr>
        <w:t>一、遵循成熟的管理过程执行本项目；</w:t>
      </w:r>
    </w:p>
    <w:p>
      <w:pPr>
        <w:spacing w:line="360" w:lineRule="auto"/>
        <w:ind w:firstLine="480" w:firstLineChars="200"/>
        <w:rPr>
          <w:sz w:val="24"/>
          <w:szCs w:val="24"/>
        </w:rPr>
      </w:pPr>
      <w:r>
        <w:rPr>
          <w:rFonts w:hint="eastAsia"/>
          <w:sz w:val="24"/>
          <w:szCs w:val="24"/>
        </w:rPr>
        <w:t>二、确保交付的软件及其文档质量达到行业标准；</w:t>
      </w:r>
    </w:p>
    <w:p>
      <w:pPr>
        <w:spacing w:line="360" w:lineRule="auto"/>
        <w:ind w:firstLine="480" w:firstLineChars="200"/>
        <w:rPr>
          <w:sz w:val="24"/>
          <w:szCs w:val="24"/>
        </w:rPr>
      </w:pPr>
      <w:r>
        <w:rPr>
          <w:rFonts w:hint="eastAsia"/>
          <w:sz w:val="24"/>
          <w:szCs w:val="24"/>
        </w:rPr>
        <w:t>三、确保交付的软件及其文档经过内部审查和评审；</w:t>
      </w:r>
    </w:p>
    <w:p>
      <w:pPr>
        <w:spacing w:line="360" w:lineRule="auto"/>
        <w:ind w:firstLine="480" w:firstLineChars="200"/>
        <w:rPr>
          <w:sz w:val="24"/>
          <w:szCs w:val="24"/>
        </w:rPr>
      </w:pPr>
      <w:r>
        <w:rPr>
          <w:rFonts w:hint="eastAsia"/>
          <w:sz w:val="24"/>
          <w:szCs w:val="24"/>
        </w:rPr>
        <w:t>四、软件系统开发文档和软件系统使用帮助文档要求具有完整性、一致性和方便性；</w:t>
      </w:r>
    </w:p>
    <w:p>
      <w:pPr>
        <w:spacing w:line="360" w:lineRule="auto"/>
        <w:ind w:firstLine="480" w:firstLineChars="200"/>
        <w:rPr>
          <w:sz w:val="24"/>
          <w:szCs w:val="24"/>
        </w:rPr>
      </w:pPr>
      <w:r>
        <w:rPr>
          <w:rFonts w:hint="eastAsia"/>
          <w:sz w:val="24"/>
          <w:szCs w:val="24"/>
        </w:rPr>
        <w:t>五、确保各实施过程经用户参与和检验；</w:t>
      </w:r>
    </w:p>
    <w:p>
      <w:pPr>
        <w:spacing w:line="360" w:lineRule="auto"/>
        <w:ind w:firstLine="480" w:firstLineChars="200"/>
        <w:rPr>
          <w:sz w:val="24"/>
          <w:szCs w:val="24"/>
        </w:rPr>
      </w:pPr>
      <w:r>
        <w:rPr>
          <w:rFonts w:hint="eastAsia"/>
          <w:sz w:val="24"/>
          <w:szCs w:val="24"/>
        </w:rPr>
        <w:t>六、最终实现客户满意。</w:t>
      </w:r>
    </w:p>
    <w:p>
      <w:pPr>
        <w:pStyle w:val="4"/>
        <w:numPr>
          <w:ilvl w:val="2"/>
          <w:numId w:val="3"/>
        </w:numPr>
        <w:spacing w:before="0" w:after="0" w:line="360" w:lineRule="auto"/>
        <w:ind w:left="0" w:leftChars="0" w:firstLine="402" w:firstLineChars="0"/>
      </w:pPr>
      <w:bookmarkStart w:id="373" w:name="_Toc5702"/>
      <w:r>
        <w:rPr>
          <w:rFonts w:hint="eastAsia"/>
        </w:rPr>
        <w:t>质量保证角色与职责</w:t>
      </w:r>
      <w:bookmarkEnd w:id="373"/>
    </w:p>
    <w:p>
      <w:pPr>
        <w:spacing w:line="360" w:lineRule="auto"/>
      </w:pPr>
      <w:r>
        <w:drawing>
          <wp:inline distT="0" distB="0" distL="0" distR="0">
            <wp:extent cx="5280660" cy="4838700"/>
            <wp:effectExtent l="0" t="0" r="0" b="0"/>
            <wp:docPr id="4386" name="图片 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 name="图片 438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280660" cy="4838700"/>
                    </a:xfrm>
                    <a:prstGeom prst="rect">
                      <a:avLst/>
                    </a:prstGeom>
                    <a:noFill/>
                    <a:ln>
                      <a:noFill/>
                    </a:ln>
                  </pic:spPr>
                </pic:pic>
              </a:graphicData>
            </a:graphic>
          </wp:inline>
        </w:drawing>
      </w:r>
    </w:p>
    <w:p>
      <w:pPr>
        <w:spacing w:line="360" w:lineRule="auto"/>
      </w:pPr>
    </w:p>
    <w:p>
      <w:pPr>
        <w:pStyle w:val="4"/>
        <w:numPr>
          <w:ilvl w:val="2"/>
          <w:numId w:val="3"/>
        </w:numPr>
        <w:spacing w:before="0" w:after="0" w:line="360" w:lineRule="auto"/>
        <w:ind w:left="0" w:leftChars="0" w:firstLine="402" w:firstLineChars="0"/>
      </w:pPr>
      <w:bookmarkStart w:id="374" w:name="_Toc15368"/>
      <w:r>
        <w:rPr>
          <w:rFonts w:hint="eastAsia"/>
        </w:rPr>
        <w:t>质量保证措施</w:t>
      </w:r>
      <w:bookmarkEnd w:id="374"/>
    </w:p>
    <w:p>
      <w:pPr>
        <w:spacing w:line="360" w:lineRule="auto"/>
        <w:ind w:firstLine="480" w:firstLineChars="200"/>
        <w:rPr>
          <w:sz w:val="24"/>
          <w:szCs w:val="24"/>
        </w:rPr>
      </w:pPr>
      <w:r>
        <w:rPr>
          <w:rFonts w:hint="eastAsia"/>
          <w:sz w:val="24"/>
          <w:szCs w:val="24"/>
        </w:rPr>
        <w:t>一、资深的质量经理与质保组</w:t>
      </w:r>
    </w:p>
    <w:p>
      <w:pPr>
        <w:spacing w:line="360" w:lineRule="auto"/>
        <w:ind w:firstLine="480" w:firstLineChars="200"/>
        <w:rPr>
          <w:sz w:val="24"/>
          <w:szCs w:val="24"/>
        </w:rPr>
      </w:pPr>
      <w:r>
        <w:rPr>
          <w:rFonts w:hint="eastAsia"/>
          <w:sz w:val="24"/>
          <w:szCs w:val="24"/>
        </w:rPr>
        <w:t>针对本项目，将派遣资深的质量经理参与质量保证组（简称</w:t>
      </w:r>
      <w:r>
        <w:rPr>
          <w:sz w:val="24"/>
          <w:szCs w:val="24"/>
        </w:rPr>
        <w:t>QA</w:t>
      </w:r>
      <w:r>
        <w:rPr>
          <w:rFonts w:hint="eastAsia"/>
          <w:sz w:val="24"/>
          <w:szCs w:val="24"/>
        </w:rPr>
        <w:t>组）。</w:t>
      </w:r>
      <w:r>
        <w:rPr>
          <w:sz w:val="24"/>
          <w:szCs w:val="24"/>
        </w:rPr>
        <w:t>QA</w:t>
      </w:r>
      <w:r>
        <w:rPr>
          <w:rFonts w:hint="eastAsia"/>
          <w:sz w:val="24"/>
          <w:szCs w:val="24"/>
        </w:rPr>
        <w:t>组负责确保项目遵守质量保证体系的标准要求，确保遵循项目计划书中描述的要求，确保交付的软件及其文档以及非交付的软件在需求、设计及管理等诸多方面的质量。</w:t>
      </w:r>
    </w:p>
    <w:p>
      <w:pPr>
        <w:spacing w:line="360" w:lineRule="auto"/>
        <w:ind w:firstLine="480" w:firstLineChars="200"/>
        <w:rPr>
          <w:sz w:val="24"/>
          <w:szCs w:val="24"/>
        </w:rPr>
      </w:pPr>
      <w:r>
        <w:rPr>
          <w:rFonts w:hint="eastAsia"/>
          <w:sz w:val="24"/>
          <w:szCs w:val="24"/>
        </w:rPr>
        <w:t>二、全程参与的质量经理</w:t>
      </w:r>
    </w:p>
    <w:p>
      <w:pPr>
        <w:spacing w:line="360" w:lineRule="auto"/>
        <w:ind w:firstLine="480" w:firstLineChars="200"/>
        <w:rPr>
          <w:sz w:val="24"/>
          <w:szCs w:val="24"/>
        </w:rPr>
      </w:pPr>
      <w:r>
        <w:rPr>
          <w:rFonts w:hint="eastAsia"/>
          <w:sz w:val="24"/>
          <w:szCs w:val="24"/>
        </w:rPr>
        <w:t>质量经理，即质量保证组组长，监控项目成员的软件活动，并对软件产品与可适用的标准、过程和软件开发计划的符合性进行评价，为双方项目领导小组监控项目的软件生产提供适当的可视性。</w:t>
      </w:r>
    </w:p>
    <w:p>
      <w:pPr>
        <w:spacing w:line="360" w:lineRule="auto"/>
        <w:ind w:firstLine="480" w:firstLineChars="200"/>
        <w:rPr>
          <w:sz w:val="24"/>
          <w:szCs w:val="24"/>
        </w:rPr>
      </w:pPr>
      <w:r>
        <w:rPr>
          <w:rFonts w:hint="eastAsia"/>
          <w:sz w:val="24"/>
          <w:szCs w:val="24"/>
        </w:rPr>
        <w:t>三、合理的质量控制流程</w:t>
      </w:r>
    </w:p>
    <w:p>
      <w:pPr>
        <w:spacing w:line="360" w:lineRule="auto"/>
        <w:ind w:firstLine="480" w:firstLineChars="200"/>
        <w:rPr>
          <w:sz w:val="24"/>
          <w:szCs w:val="24"/>
        </w:rPr>
      </w:pPr>
      <w:r>
        <w:rPr>
          <w:rFonts w:hint="eastAsia"/>
          <w:sz w:val="24"/>
          <w:szCs w:val="24"/>
        </w:rPr>
        <w:t>质量经理负责对项目进行监控与分析，将结果报告给由双方高层人员组成的项目领导小组。项目经理批准发布给用户的所有文档和软件，必须得到质量经理的复核和批准。</w:t>
      </w:r>
    </w:p>
    <w:p>
      <w:pPr>
        <w:spacing w:line="360" w:lineRule="auto"/>
        <w:ind w:firstLine="480" w:firstLineChars="200"/>
        <w:rPr>
          <w:sz w:val="24"/>
          <w:szCs w:val="24"/>
        </w:rPr>
      </w:pPr>
      <w:r>
        <w:rPr>
          <w:rFonts w:hint="eastAsia"/>
          <w:sz w:val="24"/>
          <w:szCs w:val="24"/>
        </w:rPr>
        <w:t>四、质量管理规范</w:t>
      </w:r>
    </w:p>
    <w:p>
      <w:pPr>
        <w:spacing w:line="360" w:lineRule="auto"/>
        <w:ind w:firstLine="480" w:firstLineChars="200"/>
        <w:rPr>
          <w:sz w:val="24"/>
          <w:szCs w:val="24"/>
        </w:rPr>
      </w:pPr>
      <w:r>
        <w:rPr>
          <w:rFonts w:hint="eastAsia"/>
          <w:sz w:val="24"/>
          <w:szCs w:val="24"/>
        </w:rPr>
        <w:t>质量经理的工作依据为行业标准、客户方约定的管理规范和公司的管理规范，工作方式为编制质量计划、过程和产品检查、评审和审计、问题上报等。</w:t>
      </w:r>
    </w:p>
    <w:p>
      <w:pPr>
        <w:spacing w:line="360" w:lineRule="auto"/>
        <w:ind w:firstLine="480" w:firstLineChars="200"/>
        <w:rPr>
          <w:sz w:val="24"/>
          <w:szCs w:val="24"/>
        </w:rPr>
      </w:pPr>
      <w:r>
        <w:rPr>
          <w:rFonts w:hint="eastAsia"/>
          <w:sz w:val="24"/>
          <w:szCs w:val="24"/>
        </w:rPr>
        <w:t>五、严格的项目管理制度</w:t>
      </w:r>
    </w:p>
    <w:p>
      <w:pPr>
        <w:spacing w:line="360" w:lineRule="auto"/>
        <w:ind w:firstLine="480" w:firstLineChars="200"/>
        <w:rPr>
          <w:sz w:val="24"/>
          <w:szCs w:val="24"/>
        </w:rPr>
      </w:pPr>
      <w:bookmarkStart w:id="375" w:name="_Toc189129845"/>
      <w:r>
        <w:rPr>
          <w:rFonts w:hint="eastAsia"/>
          <w:sz w:val="24"/>
          <w:szCs w:val="24"/>
        </w:rPr>
        <w:t>（一）</w:t>
      </w:r>
      <w:bookmarkEnd w:id="375"/>
      <w:r>
        <w:rPr>
          <w:rFonts w:hint="eastAsia"/>
          <w:sz w:val="24"/>
          <w:szCs w:val="24"/>
        </w:rPr>
        <w:t>工作行为规范</w:t>
      </w:r>
    </w:p>
    <w:p>
      <w:pPr>
        <w:spacing w:line="360" w:lineRule="auto"/>
        <w:ind w:firstLine="480" w:firstLineChars="200"/>
        <w:rPr>
          <w:sz w:val="24"/>
          <w:szCs w:val="24"/>
        </w:rPr>
      </w:pPr>
      <w:r>
        <w:rPr>
          <w:rFonts w:hint="eastAsia"/>
          <w:sz w:val="24"/>
          <w:szCs w:val="24"/>
        </w:rPr>
        <w:t>在项目组成立之初，建立一整套有关项目过程中各级成员的工作和行为规范，并使项目组所有成员都对此有深入的了解。</w:t>
      </w:r>
    </w:p>
    <w:p>
      <w:pPr>
        <w:spacing w:line="360" w:lineRule="auto"/>
        <w:ind w:firstLine="480" w:firstLineChars="200"/>
        <w:rPr>
          <w:sz w:val="24"/>
          <w:szCs w:val="24"/>
        </w:rPr>
      </w:pPr>
      <w:bookmarkStart w:id="376" w:name="_Toc189129846"/>
      <w:r>
        <w:rPr>
          <w:rFonts w:hint="eastAsia"/>
          <w:sz w:val="24"/>
          <w:szCs w:val="24"/>
        </w:rPr>
        <w:t>（二）绩效考核</w:t>
      </w:r>
      <w:bookmarkEnd w:id="376"/>
    </w:p>
    <w:p>
      <w:pPr>
        <w:spacing w:line="360" w:lineRule="auto"/>
        <w:ind w:firstLine="480" w:firstLineChars="200"/>
        <w:rPr>
          <w:sz w:val="24"/>
          <w:szCs w:val="24"/>
        </w:rPr>
      </w:pPr>
      <w:r>
        <w:rPr>
          <w:rFonts w:hint="eastAsia"/>
          <w:sz w:val="24"/>
          <w:szCs w:val="24"/>
        </w:rPr>
        <w:t>为保证项目成功，人员管理至关重要，所以需要在项目开始之初建立绩效管理体系和流程，并从绩效管理角度出发来指导员工行为。</w:t>
      </w:r>
    </w:p>
    <w:p>
      <w:pPr>
        <w:spacing w:line="360" w:lineRule="auto"/>
        <w:ind w:firstLine="480" w:firstLineChars="200"/>
        <w:rPr>
          <w:sz w:val="24"/>
          <w:szCs w:val="24"/>
        </w:rPr>
      </w:pPr>
      <w:bookmarkStart w:id="377" w:name="_Toc189129847"/>
      <w:r>
        <w:rPr>
          <w:rFonts w:hint="eastAsia"/>
          <w:sz w:val="24"/>
          <w:szCs w:val="24"/>
        </w:rPr>
        <w:t>（三）进度管理</w:t>
      </w:r>
      <w:bookmarkEnd w:id="377"/>
    </w:p>
    <w:p>
      <w:pPr>
        <w:spacing w:line="360" w:lineRule="auto"/>
        <w:ind w:firstLine="480" w:firstLineChars="200"/>
        <w:rPr>
          <w:sz w:val="24"/>
          <w:szCs w:val="24"/>
        </w:rPr>
      </w:pPr>
      <w:r>
        <w:rPr>
          <w:rFonts w:hint="eastAsia"/>
          <w:sz w:val="24"/>
          <w:szCs w:val="24"/>
        </w:rPr>
        <w:t>需要在实施之前制定详细的策略和周密的计划，以保证整个项目的顺利开展与成功实施。</w:t>
      </w:r>
    </w:p>
    <w:p>
      <w:pPr>
        <w:spacing w:line="360" w:lineRule="auto"/>
        <w:ind w:firstLine="480" w:firstLineChars="200"/>
        <w:rPr>
          <w:sz w:val="24"/>
          <w:szCs w:val="24"/>
        </w:rPr>
      </w:pPr>
      <w:r>
        <w:rPr>
          <w:rFonts w:hint="eastAsia"/>
          <w:sz w:val="24"/>
          <w:szCs w:val="24"/>
        </w:rPr>
        <w:t>为了有效管理项目的执行，确保工作按时完成，做到以下三个方面：</w:t>
      </w:r>
    </w:p>
    <w:p>
      <w:pPr>
        <w:spacing w:line="360" w:lineRule="auto"/>
        <w:ind w:firstLine="480" w:firstLineChars="200"/>
        <w:rPr>
          <w:sz w:val="24"/>
          <w:szCs w:val="24"/>
        </w:rPr>
      </w:pPr>
      <w:r>
        <w:rPr>
          <w:rFonts w:hint="eastAsia"/>
          <w:sz w:val="24"/>
          <w:szCs w:val="24"/>
        </w:rPr>
        <w:t>（</w:t>
      </w:r>
      <w:r>
        <w:rPr>
          <w:sz w:val="24"/>
          <w:szCs w:val="24"/>
        </w:rPr>
        <w:t>1</w:t>
      </w:r>
      <w:r>
        <w:rPr>
          <w:rFonts w:hint="eastAsia"/>
          <w:sz w:val="24"/>
          <w:szCs w:val="24"/>
        </w:rPr>
        <w:t>）制定清晰的总体计划：明确最终目标、设置控制点、突显关键路径。项目的总体计划应提供一个整体的工作安排，需特别明确各个控制点的完成日期，适合项目管理组对整个项目进度的把关需要。</w:t>
      </w:r>
    </w:p>
    <w:p>
      <w:pPr>
        <w:spacing w:line="360" w:lineRule="auto"/>
        <w:ind w:firstLine="480" w:firstLineChars="200"/>
        <w:rPr>
          <w:sz w:val="24"/>
          <w:szCs w:val="24"/>
        </w:rPr>
      </w:pPr>
      <w:r>
        <w:rPr>
          <w:rFonts w:hint="eastAsia"/>
          <w:sz w:val="24"/>
          <w:szCs w:val="24"/>
        </w:rPr>
        <w:t>（</w:t>
      </w:r>
      <w:r>
        <w:rPr>
          <w:sz w:val="24"/>
          <w:szCs w:val="24"/>
        </w:rPr>
        <w:t>2</w:t>
      </w:r>
      <w:r>
        <w:rPr>
          <w:rFonts w:hint="eastAsia"/>
          <w:sz w:val="24"/>
          <w:szCs w:val="24"/>
        </w:rPr>
        <w:t>）编制细化的工作计划：合理分解工作步骤，明确月、周、日的工作安排。详细计划除了说明总体、全面的月计划及相关控制点外，还将提出两周的滚动计划。计划会分解细致到每周、每日按各功能小组、按个人来安排工作，并明确各功能小组与个人的具体责任及要求的交付成果，以保证各项控制点能按时达成。</w:t>
      </w:r>
    </w:p>
    <w:p>
      <w:pPr>
        <w:spacing w:line="360" w:lineRule="auto"/>
        <w:ind w:firstLine="480" w:firstLineChars="200"/>
        <w:rPr>
          <w:sz w:val="24"/>
          <w:szCs w:val="24"/>
        </w:rPr>
      </w:pPr>
      <w:r>
        <w:rPr>
          <w:rFonts w:hint="eastAsia"/>
          <w:sz w:val="24"/>
          <w:szCs w:val="24"/>
        </w:rPr>
        <w:t>（</w:t>
      </w:r>
      <w:r>
        <w:rPr>
          <w:sz w:val="24"/>
          <w:szCs w:val="24"/>
        </w:rPr>
        <w:t>3</w:t>
      </w:r>
      <w:r>
        <w:rPr>
          <w:rFonts w:hint="eastAsia"/>
          <w:sz w:val="24"/>
          <w:szCs w:val="24"/>
        </w:rPr>
        <w:t>）定期监控工作的进度：按控制点追踪实施进度、解决进度落后等相关问题。每周由项目管理组主持召开项目管理例会，听取进度汇报并进行必要的决策，以掌握工作进展的情况，在第一时间内发现问题，并协调解决问题。</w:t>
      </w:r>
    </w:p>
    <w:p>
      <w:pPr>
        <w:spacing w:line="360" w:lineRule="auto"/>
        <w:ind w:firstLine="480" w:firstLineChars="200"/>
        <w:rPr>
          <w:sz w:val="24"/>
          <w:szCs w:val="24"/>
        </w:rPr>
      </w:pPr>
      <w:bookmarkStart w:id="378" w:name="_Toc189129848"/>
      <w:r>
        <w:rPr>
          <w:rFonts w:hint="eastAsia"/>
          <w:sz w:val="24"/>
          <w:szCs w:val="24"/>
        </w:rPr>
        <w:t>（四）修改请求处理</w:t>
      </w:r>
      <w:bookmarkEnd w:id="378"/>
    </w:p>
    <w:p>
      <w:pPr>
        <w:spacing w:line="360" w:lineRule="auto"/>
        <w:ind w:firstLine="480" w:firstLineChars="200"/>
        <w:rPr>
          <w:sz w:val="24"/>
          <w:szCs w:val="24"/>
        </w:rPr>
      </w:pPr>
      <w:r>
        <w:rPr>
          <w:rFonts w:hint="eastAsia"/>
          <w:sz w:val="24"/>
          <w:szCs w:val="24"/>
        </w:rPr>
        <w:t>对于已经确认的设计方案，项目组将严格限制对其进行修改的请求。修改请求需要经过追踪、解决、确认及会签的处理过程。</w:t>
      </w:r>
    </w:p>
    <w:p>
      <w:pPr>
        <w:spacing w:line="360" w:lineRule="auto"/>
        <w:ind w:firstLine="480" w:firstLineChars="200"/>
        <w:rPr>
          <w:sz w:val="24"/>
          <w:szCs w:val="24"/>
        </w:rPr>
      </w:pPr>
      <w:r>
        <w:rPr>
          <w:rFonts w:hint="eastAsia"/>
          <w:sz w:val="24"/>
          <w:szCs w:val="24"/>
        </w:rPr>
        <w:t>对每一项修改请求，都应给予编号来进行管理。</w:t>
      </w:r>
    </w:p>
    <w:p>
      <w:pPr>
        <w:spacing w:line="360" w:lineRule="auto"/>
        <w:ind w:firstLine="480" w:firstLineChars="200"/>
        <w:rPr>
          <w:sz w:val="24"/>
          <w:szCs w:val="24"/>
        </w:rPr>
      </w:pPr>
      <w:bookmarkStart w:id="379" w:name="_Toc189129849"/>
      <w:r>
        <w:rPr>
          <w:rFonts w:hint="eastAsia"/>
          <w:sz w:val="24"/>
          <w:szCs w:val="24"/>
        </w:rPr>
        <w:t>（五）人员管理</w:t>
      </w:r>
      <w:bookmarkEnd w:id="379"/>
    </w:p>
    <w:p>
      <w:pPr>
        <w:spacing w:line="360" w:lineRule="auto"/>
        <w:ind w:firstLine="480" w:firstLineChars="200"/>
        <w:rPr>
          <w:sz w:val="24"/>
          <w:szCs w:val="24"/>
        </w:rPr>
      </w:pPr>
      <w:r>
        <w:rPr>
          <w:rFonts w:hint="eastAsia"/>
          <w:sz w:val="24"/>
          <w:szCs w:val="24"/>
        </w:rPr>
        <w:t>此项目的成功实施不仅需要</w:t>
      </w:r>
      <w:r>
        <w:rPr>
          <w:rFonts w:hint="eastAsia"/>
          <w:sz w:val="24"/>
          <w:szCs w:val="24"/>
          <w:lang w:eastAsia="zh-CN"/>
        </w:rPr>
        <w:t>**信息</w:t>
      </w:r>
      <w:r>
        <w:rPr>
          <w:rFonts w:hint="eastAsia"/>
          <w:sz w:val="24"/>
          <w:szCs w:val="24"/>
        </w:rPr>
        <w:t>的人员参与，同时也需要招标方、试点单位、推广单位工作人员配合。用户方从现有的岗位里抽调出骨干人员来参与项目的实施工作，这也是本项目能够成功实施的关键点之一。</w:t>
      </w:r>
    </w:p>
    <w:p>
      <w:pPr>
        <w:spacing w:line="360" w:lineRule="auto"/>
        <w:ind w:firstLine="480" w:firstLineChars="200"/>
        <w:rPr>
          <w:sz w:val="24"/>
          <w:szCs w:val="24"/>
        </w:rPr>
      </w:pPr>
      <w:r>
        <w:rPr>
          <w:rFonts w:hint="eastAsia"/>
          <w:sz w:val="24"/>
          <w:szCs w:val="24"/>
        </w:rPr>
        <w:t>项目管理者在人员管理工作上的指导原则就是必须确保适当的人员，在适当的时机承担适当的角色。</w:t>
      </w:r>
    </w:p>
    <w:p>
      <w:pPr>
        <w:spacing w:line="360" w:lineRule="auto"/>
        <w:ind w:firstLine="480" w:firstLineChars="200"/>
        <w:rPr>
          <w:sz w:val="24"/>
          <w:szCs w:val="24"/>
        </w:rPr>
      </w:pPr>
      <w:r>
        <w:rPr>
          <w:rFonts w:hint="eastAsia"/>
          <w:sz w:val="24"/>
          <w:szCs w:val="24"/>
        </w:rPr>
        <w:t>（</w:t>
      </w:r>
      <w:r>
        <w:rPr>
          <w:sz w:val="24"/>
          <w:szCs w:val="24"/>
        </w:rPr>
        <w:t>1</w:t>
      </w:r>
      <w:r>
        <w:rPr>
          <w:rFonts w:hint="eastAsia"/>
          <w:sz w:val="24"/>
          <w:szCs w:val="24"/>
        </w:rPr>
        <w:t>）人员的考勤：定期填写工作时间报告，由项目经理审核。</w:t>
      </w:r>
    </w:p>
    <w:p>
      <w:pPr>
        <w:spacing w:line="360" w:lineRule="auto"/>
        <w:ind w:firstLine="480" w:firstLineChars="200"/>
        <w:rPr>
          <w:sz w:val="24"/>
          <w:szCs w:val="24"/>
        </w:rPr>
      </w:pPr>
      <w:r>
        <w:rPr>
          <w:rFonts w:hint="eastAsia"/>
          <w:sz w:val="24"/>
          <w:szCs w:val="24"/>
        </w:rPr>
        <w:t>（</w:t>
      </w:r>
      <w:r>
        <w:rPr>
          <w:sz w:val="24"/>
          <w:szCs w:val="24"/>
        </w:rPr>
        <w:t>2</w:t>
      </w:r>
      <w:r>
        <w:rPr>
          <w:rFonts w:hint="eastAsia"/>
          <w:sz w:val="24"/>
          <w:szCs w:val="24"/>
        </w:rPr>
        <w:t>）人员的变动：参加项目的人员应保持相对稳定，若因特殊原因必须更替，必须在获得适当的批准后才能变动，对于人员的变动，均应做好工作的交接，包括要清楚交待目前所负责的工作进度状况、将手中的工作尽可能告一个段落、整理移交相关的文档等。若有必要，应保留相互的联系方法。</w:t>
      </w:r>
    </w:p>
    <w:p>
      <w:pPr>
        <w:spacing w:line="360" w:lineRule="auto"/>
        <w:ind w:firstLine="480" w:firstLineChars="200"/>
        <w:rPr>
          <w:sz w:val="24"/>
          <w:szCs w:val="24"/>
        </w:rPr>
      </w:pPr>
      <w:r>
        <w:rPr>
          <w:rFonts w:hint="eastAsia"/>
          <w:sz w:val="24"/>
          <w:szCs w:val="24"/>
        </w:rPr>
        <w:t>（</w:t>
      </w:r>
      <w:r>
        <w:rPr>
          <w:sz w:val="24"/>
          <w:szCs w:val="24"/>
        </w:rPr>
        <w:t>3</w:t>
      </w:r>
      <w:r>
        <w:rPr>
          <w:rFonts w:hint="eastAsia"/>
          <w:sz w:val="24"/>
          <w:szCs w:val="24"/>
        </w:rPr>
        <w:t>）人力资源运用的冲突：当项目成员发觉工作安排上有冲突的时候，应主动向项目经理反映，项目经理应采取立即的行动协调解决，若无法解决，则向项目管理委员会报告，请求协助。</w:t>
      </w:r>
    </w:p>
    <w:p>
      <w:pPr>
        <w:spacing w:line="360" w:lineRule="auto"/>
        <w:ind w:firstLine="480" w:firstLineChars="200"/>
        <w:rPr>
          <w:sz w:val="24"/>
          <w:szCs w:val="24"/>
        </w:rPr>
      </w:pPr>
      <w:bookmarkStart w:id="380" w:name="_Toc189129850"/>
      <w:r>
        <w:rPr>
          <w:rFonts w:hint="eastAsia"/>
          <w:sz w:val="24"/>
          <w:szCs w:val="24"/>
        </w:rPr>
        <w:t>（六）文档管理</w:t>
      </w:r>
      <w:bookmarkEnd w:id="380"/>
    </w:p>
    <w:p>
      <w:pPr>
        <w:spacing w:line="360" w:lineRule="auto"/>
        <w:ind w:firstLine="480" w:firstLineChars="200"/>
        <w:rPr>
          <w:sz w:val="24"/>
          <w:szCs w:val="24"/>
        </w:rPr>
      </w:pPr>
      <w:r>
        <w:rPr>
          <w:rFonts w:hint="eastAsia"/>
          <w:sz w:val="24"/>
          <w:szCs w:val="24"/>
        </w:rPr>
        <w:t>在</w:t>
      </w:r>
      <w:r>
        <w:rPr>
          <w:rFonts w:hint="eastAsia"/>
          <w:sz w:val="24"/>
          <w:szCs w:val="24"/>
          <w:lang w:eastAsia="zh-CN"/>
        </w:rPr>
        <w:t>xx交通</w:t>
      </w:r>
      <w:r>
        <w:rPr>
          <w:rFonts w:hint="eastAsia"/>
          <w:sz w:val="24"/>
          <w:szCs w:val="24"/>
        </w:rPr>
        <w:t>增值税发票管理系统项目实施过程中将产生许多文档资料，包括各类项目交付件、工作文档、会议纪要、修改请求等，这些文档不仅记录下了该项目的重要成果，同时也是知识转移、进入今后项目全面推广实施阶段的重要基础，必须规范地、完整地、系统地、安全地进行管理。</w:t>
      </w:r>
    </w:p>
    <w:p>
      <w:pPr>
        <w:spacing w:line="360" w:lineRule="auto"/>
        <w:ind w:firstLine="480" w:firstLineChars="200"/>
        <w:rPr>
          <w:sz w:val="24"/>
          <w:szCs w:val="24"/>
        </w:rPr>
      </w:pPr>
      <w:r>
        <w:rPr>
          <w:rFonts w:hint="eastAsia"/>
          <w:sz w:val="24"/>
          <w:szCs w:val="24"/>
        </w:rPr>
        <w:t>项目一旦启动，文档资料也越来越多，而文档的制作者更是来自不同的背景与专业，因此必须制定相关的标准模板、制度与办法来管理项目文档资料的制作、储存、备份、与移交。</w:t>
      </w:r>
    </w:p>
    <w:p>
      <w:pPr>
        <w:spacing w:line="360" w:lineRule="auto"/>
        <w:ind w:firstLine="480" w:firstLineChars="200"/>
        <w:rPr>
          <w:sz w:val="24"/>
          <w:szCs w:val="24"/>
        </w:rPr>
      </w:pPr>
      <w:r>
        <w:rPr>
          <w:rFonts w:hint="eastAsia"/>
          <w:sz w:val="24"/>
          <w:szCs w:val="24"/>
        </w:rPr>
        <w:t>（</w:t>
      </w:r>
      <w:r>
        <w:rPr>
          <w:sz w:val="24"/>
          <w:szCs w:val="24"/>
        </w:rPr>
        <w:t>1</w:t>
      </w:r>
      <w:r>
        <w:rPr>
          <w:rFonts w:hint="eastAsia"/>
          <w:sz w:val="24"/>
          <w:szCs w:val="24"/>
        </w:rPr>
        <w:t>）制作：本项目所有文档的制作将以以下应用软件作为工具：</w:t>
      </w:r>
    </w:p>
    <w:p>
      <w:pPr>
        <w:spacing w:line="360" w:lineRule="auto"/>
        <w:ind w:firstLine="480" w:firstLineChars="200"/>
        <w:rPr>
          <w:sz w:val="24"/>
          <w:szCs w:val="24"/>
        </w:rPr>
      </w:pPr>
      <w:r>
        <w:rPr>
          <w:rFonts w:hint="eastAsia"/>
          <w:sz w:val="24"/>
          <w:szCs w:val="24"/>
        </w:rPr>
        <w:t></w:t>
      </w:r>
      <w:r>
        <w:rPr>
          <w:sz w:val="24"/>
          <w:szCs w:val="24"/>
        </w:rPr>
        <w:tab/>
      </w:r>
      <w:r>
        <w:rPr>
          <w:sz w:val="24"/>
          <w:szCs w:val="24"/>
        </w:rPr>
        <w:t>MS Power Point</w:t>
      </w:r>
      <w:r>
        <w:rPr>
          <w:rFonts w:hint="eastAsia"/>
          <w:sz w:val="24"/>
          <w:szCs w:val="24"/>
        </w:rPr>
        <w:t>：汇报资料、流程图等</w:t>
      </w:r>
    </w:p>
    <w:p>
      <w:pPr>
        <w:spacing w:line="360" w:lineRule="auto"/>
        <w:ind w:firstLine="480" w:firstLineChars="200"/>
        <w:rPr>
          <w:sz w:val="24"/>
          <w:szCs w:val="24"/>
        </w:rPr>
      </w:pPr>
      <w:r>
        <w:rPr>
          <w:rFonts w:hint="eastAsia"/>
          <w:sz w:val="24"/>
          <w:szCs w:val="24"/>
        </w:rPr>
        <w:t></w:t>
      </w:r>
      <w:r>
        <w:rPr>
          <w:sz w:val="24"/>
          <w:szCs w:val="24"/>
        </w:rPr>
        <w:tab/>
      </w:r>
      <w:r>
        <w:rPr>
          <w:sz w:val="24"/>
          <w:szCs w:val="24"/>
        </w:rPr>
        <w:t>MS Word</w:t>
      </w:r>
      <w:r>
        <w:rPr>
          <w:rFonts w:hint="eastAsia"/>
          <w:sz w:val="24"/>
          <w:szCs w:val="24"/>
        </w:rPr>
        <w:t>：会议纪要、项目进度报告、问题追踪清单等</w:t>
      </w:r>
    </w:p>
    <w:p>
      <w:pPr>
        <w:spacing w:line="360" w:lineRule="auto"/>
        <w:ind w:firstLine="480" w:firstLineChars="200"/>
        <w:rPr>
          <w:sz w:val="24"/>
          <w:szCs w:val="24"/>
        </w:rPr>
      </w:pPr>
      <w:r>
        <w:rPr>
          <w:rFonts w:hint="eastAsia"/>
          <w:sz w:val="24"/>
          <w:szCs w:val="24"/>
        </w:rPr>
        <w:t></w:t>
      </w:r>
      <w:r>
        <w:rPr>
          <w:sz w:val="24"/>
          <w:szCs w:val="24"/>
        </w:rPr>
        <w:tab/>
      </w:r>
      <w:r>
        <w:rPr>
          <w:sz w:val="24"/>
          <w:szCs w:val="24"/>
        </w:rPr>
        <w:t>MS Excel</w:t>
      </w:r>
      <w:r>
        <w:rPr>
          <w:rFonts w:hint="eastAsia"/>
          <w:sz w:val="24"/>
          <w:szCs w:val="24"/>
        </w:rPr>
        <w:t>或</w:t>
      </w:r>
      <w:r>
        <w:rPr>
          <w:sz w:val="24"/>
          <w:szCs w:val="24"/>
        </w:rPr>
        <w:t>MS Project</w:t>
      </w:r>
      <w:r>
        <w:rPr>
          <w:rFonts w:hint="eastAsia"/>
          <w:sz w:val="24"/>
          <w:szCs w:val="24"/>
        </w:rPr>
        <w:t>：工作进度表等</w:t>
      </w:r>
    </w:p>
    <w:p>
      <w:pPr>
        <w:spacing w:line="360" w:lineRule="auto"/>
        <w:ind w:firstLine="480" w:firstLineChars="200"/>
        <w:rPr>
          <w:sz w:val="24"/>
          <w:szCs w:val="24"/>
        </w:rPr>
      </w:pPr>
      <w:r>
        <w:rPr>
          <w:rFonts w:hint="eastAsia"/>
          <w:sz w:val="24"/>
          <w:szCs w:val="24"/>
        </w:rPr>
        <w:t>为求统一，每一交付文件均会预先制作好模板提供使用，项目成员应严格遵守模板的使用，避免自行创造而失去规范。对于属于非交付文件的工作文档，若属通用性的也将制作模板供全体项目成员使用。</w:t>
      </w:r>
    </w:p>
    <w:p>
      <w:pPr>
        <w:spacing w:line="360" w:lineRule="auto"/>
        <w:ind w:firstLine="480" w:firstLineChars="200"/>
        <w:rPr>
          <w:sz w:val="24"/>
          <w:szCs w:val="24"/>
        </w:rPr>
      </w:pPr>
      <w:r>
        <w:rPr>
          <w:rFonts w:hint="eastAsia"/>
          <w:sz w:val="24"/>
          <w:szCs w:val="24"/>
        </w:rPr>
        <w:t>（</w:t>
      </w:r>
      <w:r>
        <w:rPr>
          <w:sz w:val="24"/>
          <w:szCs w:val="24"/>
        </w:rPr>
        <w:t>2</w:t>
      </w:r>
      <w:r>
        <w:rPr>
          <w:rFonts w:hint="eastAsia"/>
          <w:sz w:val="24"/>
          <w:szCs w:val="24"/>
        </w:rPr>
        <w:t>）储存、备份</w:t>
      </w:r>
    </w:p>
    <w:p>
      <w:pPr>
        <w:spacing w:line="360" w:lineRule="auto"/>
        <w:ind w:firstLine="480" w:firstLineChars="200"/>
        <w:rPr>
          <w:sz w:val="24"/>
          <w:szCs w:val="24"/>
        </w:rPr>
      </w:pPr>
      <w:r>
        <w:rPr>
          <w:rFonts w:hint="eastAsia"/>
          <w:sz w:val="24"/>
          <w:szCs w:val="24"/>
        </w:rPr>
        <w:t>所有项目交付文档和工作文档资料将使用文件服务器来进行存储、备份的管理，并遵照统一的文档命名及管理规则。项目技术小组将为每位项目成员依需要配置所需的使用权限，并建立网络使用的配置，让每位成员都能有效的管理制作的文档。</w:t>
      </w:r>
    </w:p>
    <w:p>
      <w:pPr>
        <w:spacing w:line="360" w:lineRule="auto"/>
        <w:ind w:firstLine="480" w:firstLineChars="200"/>
        <w:rPr>
          <w:sz w:val="24"/>
          <w:szCs w:val="24"/>
        </w:rPr>
      </w:pPr>
      <w:r>
        <w:rPr>
          <w:rFonts w:hint="eastAsia"/>
          <w:sz w:val="24"/>
          <w:szCs w:val="24"/>
        </w:rPr>
        <w:t>（</w:t>
      </w:r>
      <w:r>
        <w:rPr>
          <w:sz w:val="24"/>
          <w:szCs w:val="24"/>
        </w:rPr>
        <w:t>3</w:t>
      </w:r>
      <w:r>
        <w:rPr>
          <w:rFonts w:hint="eastAsia"/>
          <w:sz w:val="24"/>
          <w:szCs w:val="24"/>
        </w:rPr>
        <w:t>）移交</w:t>
      </w:r>
    </w:p>
    <w:p>
      <w:pPr>
        <w:spacing w:line="360" w:lineRule="auto"/>
        <w:ind w:firstLine="480" w:firstLineChars="200"/>
        <w:rPr>
          <w:sz w:val="24"/>
          <w:szCs w:val="24"/>
        </w:rPr>
      </w:pPr>
      <w:r>
        <w:rPr>
          <w:rFonts w:hint="eastAsia"/>
          <w:sz w:val="24"/>
          <w:szCs w:val="24"/>
        </w:rPr>
        <w:t>该项目实施结束后，我们将把文件服务器中储存的文档资料以交付文件的形式移交给招标方。</w:t>
      </w:r>
    </w:p>
    <w:p>
      <w:pPr>
        <w:spacing w:line="360" w:lineRule="auto"/>
        <w:ind w:firstLine="480" w:firstLineChars="200"/>
        <w:rPr>
          <w:sz w:val="24"/>
          <w:szCs w:val="24"/>
        </w:rPr>
      </w:pPr>
      <w:bookmarkStart w:id="381" w:name="_Toc189129851"/>
      <w:r>
        <w:rPr>
          <w:rFonts w:hint="eastAsia"/>
          <w:sz w:val="24"/>
          <w:szCs w:val="24"/>
        </w:rPr>
        <w:t>（七）项目评审</w:t>
      </w:r>
      <w:bookmarkEnd w:id="381"/>
    </w:p>
    <w:p>
      <w:pPr>
        <w:spacing w:line="360" w:lineRule="auto"/>
        <w:ind w:firstLine="480" w:firstLineChars="200"/>
        <w:rPr>
          <w:sz w:val="24"/>
          <w:szCs w:val="24"/>
        </w:rPr>
      </w:pPr>
      <w:r>
        <w:rPr>
          <w:rFonts w:hint="eastAsia"/>
          <w:sz w:val="24"/>
          <w:szCs w:val="24"/>
        </w:rPr>
        <w:t>通过采取以下多种不同的方式对于</w:t>
      </w:r>
      <w:r>
        <w:rPr>
          <w:rFonts w:hint="eastAsia"/>
          <w:sz w:val="24"/>
          <w:szCs w:val="24"/>
          <w:lang w:eastAsia="zh-CN"/>
        </w:rPr>
        <w:t>xx交通</w:t>
      </w:r>
      <w:r>
        <w:rPr>
          <w:rFonts w:hint="eastAsia"/>
          <w:sz w:val="24"/>
          <w:szCs w:val="24"/>
        </w:rPr>
        <w:t>增值税发票管理系统的项目成果进行评审：</w:t>
      </w:r>
    </w:p>
    <w:p>
      <w:pPr>
        <w:spacing w:line="360" w:lineRule="auto"/>
        <w:ind w:firstLine="480" w:firstLineChars="200"/>
        <w:rPr>
          <w:sz w:val="24"/>
          <w:szCs w:val="24"/>
        </w:rPr>
      </w:pPr>
      <w:r>
        <w:rPr>
          <w:rFonts w:hint="eastAsia"/>
          <w:sz w:val="24"/>
          <w:szCs w:val="24"/>
        </w:rPr>
        <w:t>（</w:t>
      </w:r>
      <w:r>
        <w:rPr>
          <w:sz w:val="24"/>
          <w:szCs w:val="24"/>
        </w:rPr>
        <w:t>1</w:t>
      </w:r>
      <w:r>
        <w:rPr>
          <w:rFonts w:hint="eastAsia"/>
          <w:sz w:val="24"/>
          <w:szCs w:val="24"/>
        </w:rPr>
        <w:t>）技术评审</w:t>
      </w:r>
    </w:p>
    <w:p>
      <w:pPr>
        <w:spacing w:line="360" w:lineRule="auto"/>
        <w:ind w:firstLine="480" w:firstLineChars="200"/>
        <w:rPr>
          <w:sz w:val="24"/>
          <w:szCs w:val="24"/>
        </w:rPr>
      </w:pPr>
      <w:r>
        <w:rPr>
          <w:rFonts w:hint="eastAsia"/>
          <w:sz w:val="24"/>
          <w:szCs w:val="24"/>
        </w:rPr>
        <w:t>技术评审可分为同行评审和交接评审。技术评审针对的是评估项目实施过程中的所有活动，包括对需求、分析、设计、编码、测试等工作的评审。</w:t>
      </w:r>
    </w:p>
    <w:p>
      <w:pPr>
        <w:spacing w:line="360" w:lineRule="auto"/>
        <w:ind w:firstLine="480" w:firstLineChars="200"/>
        <w:rPr>
          <w:sz w:val="24"/>
          <w:szCs w:val="24"/>
        </w:rPr>
      </w:pPr>
      <w:r>
        <w:rPr>
          <w:rFonts w:hint="eastAsia"/>
          <w:sz w:val="24"/>
          <w:szCs w:val="24"/>
        </w:rPr>
        <w:t>（</w:t>
      </w:r>
      <w:r>
        <w:rPr>
          <w:sz w:val="24"/>
          <w:szCs w:val="24"/>
        </w:rPr>
        <w:t>2</w:t>
      </w:r>
      <w:r>
        <w:rPr>
          <w:rFonts w:hint="eastAsia"/>
          <w:sz w:val="24"/>
          <w:szCs w:val="24"/>
        </w:rPr>
        <w:t>）同行评审</w:t>
      </w:r>
    </w:p>
    <w:p>
      <w:pPr>
        <w:spacing w:line="360" w:lineRule="auto"/>
        <w:ind w:firstLine="480" w:firstLineChars="200"/>
        <w:rPr>
          <w:sz w:val="24"/>
          <w:szCs w:val="24"/>
        </w:rPr>
      </w:pPr>
      <w:r>
        <w:rPr>
          <w:rFonts w:hint="eastAsia"/>
          <w:sz w:val="24"/>
          <w:szCs w:val="24"/>
        </w:rPr>
        <w:t>同行评审的目的是验证项目实施工作是否符合其指定的需求和标准，从而尽早地有效地发现和消除工作中的缺陷，同行评审由同行组成评审组评审工作产品，其中同行是具有相同或相当专业技能和经验的人员。</w:t>
      </w:r>
    </w:p>
    <w:p>
      <w:pPr>
        <w:spacing w:line="360" w:lineRule="auto"/>
        <w:ind w:firstLine="480" w:firstLineChars="200"/>
        <w:rPr>
          <w:sz w:val="24"/>
          <w:szCs w:val="24"/>
        </w:rPr>
      </w:pPr>
      <w:r>
        <w:rPr>
          <w:rFonts w:hint="eastAsia"/>
          <w:sz w:val="24"/>
          <w:szCs w:val="24"/>
        </w:rPr>
        <w:t>下表所示为</w:t>
      </w:r>
      <w:r>
        <w:rPr>
          <w:rFonts w:hint="eastAsia"/>
          <w:sz w:val="24"/>
          <w:szCs w:val="24"/>
          <w:lang w:eastAsia="zh-CN"/>
        </w:rPr>
        <w:t>**信息</w:t>
      </w:r>
      <w:r>
        <w:rPr>
          <w:rFonts w:hint="eastAsia"/>
          <w:sz w:val="24"/>
          <w:szCs w:val="24"/>
        </w:rPr>
        <w:t>执行同行评审时采用的记录单及缺陷描述表。</w:t>
      </w:r>
    </w:p>
    <w:p>
      <w:pPr>
        <w:spacing w:line="360" w:lineRule="auto"/>
        <w:ind w:firstLine="480" w:firstLineChars="200"/>
        <w:rPr>
          <w:sz w:val="24"/>
          <w:szCs w:val="24"/>
        </w:rPr>
      </w:pPr>
      <w:r>
        <w:rPr>
          <w:rFonts w:hint="eastAsia"/>
          <w:sz w:val="24"/>
          <w:szCs w:val="24"/>
        </w:rPr>
        <w:t>同行评审记录单：</w:t>
      </w:r>
    </w:p>
    <w:p>
      <w:pPr>
        <w:spacing w:line="360" w:lineRule="auto"/>
      </w:pPr>
      <w:r>
        <w:drawing>
          <wp:inline distT="0" distB="0" distL="0" distR="0">
            <wp:extent cx="4648200" cy="4427220"/>
            <wp:effectExtent l="0" t="0" r="0" b="0"/>
            <wp:docPr id="4387" name="图片 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 name="图片 43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648200" cy="4427220"/>
                    </a:xfrm>
                    <a:prstGeom prst="rect">
                      <a:avLst/>
                    </a:prstGeom>
                    <a:noFill/>
                    <a:ln>
                      <a:noFill/>
                    </a:ln>
                  </pic:spPr>
                </pic:pic>
              </a:graphicData>
            </a:graphic>
          </wp:inline>
        </w:drawing>
      </w:r>
    </w:p>
    <w:p>
      <w:pPr>
        <w:spacing w:line="360" w:lineRule="auto"/>
        <w:jc w:val="center"/>
      </w:pPr>
      <w:r>
        <w:rPr>
          <w:rFonts w:hint="eastAsia"/>
        </w:rPr>
        <w:t>同行评审记录表</w:t>
      </w:r>
    </w:p>
    <w:p>
      <w:pPr>
        <w:spacing w:line="360" w:lineRule="auto"/>
      </w:pPr>
      <w:r>
        <w:rPr>
          <w:rFonts w:hint="eastAsia"/>
        </w:rPr>
        <w:t>缺陷描述表：</w:t>
      </w:r>
    </w:p>
    <w:p>
      <w:pPr>
        <w:spacing w:line="360" w:lineRule="auto"/>
      </w:pPr>
      <w:r>
        <w:drawing>
          <wp:inline distT="0" distB="0" distL="0" distR="0">
            <wp:extent cx="5280660" cy="883920"/>
            <wp:effectExtent l="0" t="0" r="0" b="0"/>
            <wp:docPr id="4388" name="图片 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 name="图片 438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280660" cy="883920"/>
                    </a:xfrm>
                    <a:prstGeom prst="rect">
                      <a:avLst/>
                    </a:prstGeom>
                    <a:noFill/>
                    <a:ln>
                      <a:noFill/>
                    </a:ln>
                  </pic:spPr>
                </pic:pic>
              </a:graphicData>
            </a:graphic>
          </wp:inline>
        </w:drawing>
      </w:r>
    </w:p>
    <w:p>
      <w:pPr>
        <w:spacing w:line="360" w:lineRule="auto"/>
        <w:jc w:val="center"/>
      </w:pPr>
      <w:r>
        <w:rPr>
          <w:rFonts w:hint="eastAsia"/>
        </w:rPr>
        <w:t>缺陷描述记录表</w:t>
      </w:r>
    </w:p>
    <w:p>
      <w:pPr>
        <w:spacing w:line="360" w:lineRule="auto"/>
        <w:rPr>
          <w:sz w:val="24"/>
          <w:szCs w:val="24"/>
        </w:rPr>
      </w:pPr>
      <w:r>
        <w:rPr>
          <w:rFonts w:hint="eastAsia"/>
          <w:sz w:val="24"/>
          <w:szCs w:val="24"/>
        </w:rPr>
        <w:t>（</w:t>
      </w:r>
      <w:r>
        <w:rPr>
          <w:sz w:val="24"/>
          <w:szCs w:val="24"/>
        </w:rPr>
        <w:t>3</w:t>
      </w:r>
      <w:r>
        <w:rPr>
          <w:rFonts w:hint="eastAsia"/>
          <w:sz w:val="24"/>
          <w:szCs w:val="24"/>
        </w:rPr>
        <w:t>）交接评审</w:t>
      </w:r>
    </w:p>
    <w:p>
      <w:pPr>
        <w:spacing w:line="360" w:lineRule="auto"/>
        <w:ind w:firstLine="480" w:firstLineChars="200"/>
        <w:rPr>
          <w:sz w:val="24"/>
          <w:szCs w:val="24"/>
        </w:rPr>
      </w:pPr>
      <w:r>
        <w:rPr>
          <w:rFonts w:hint="eastAsia"/>
          <w:sz w:val="24"/>
          <w:szCs w:val="24"/>
        </w:rPr>
        <w:t>交接评审的目的是验证项目的工作成果以及交付件是否符合既定的项目期望。</w:t>
      </w:r>
    </w:p>
    <w:p>
      <w:pPr>
        <w:spacing w:line="360" w:lineRule="auto"/>
        <w:ind w:firstLine="480" w:firstLineChars="200"/>
        <w:rPr>
          <w:sz w:val="24"/>
          <w:szCs w:val="24"/>
        </w:rPr>
      </w:pPr>
      <w:r>
        <w:rPr>
          <w:rFonts w:hint="eastAsia"/>
          <w:sz w:val="24"/>
          <w:szCs w:val="24"/>
        </w:rPr>
        <w:t>下表所示为</w:t>
      </w:r>
      <w:r>
        <w:rPr>
          <w:rFonts w:hint="eastAsia"/>
          <w:sz w:val="24"/>
          <w:szCs w:val="24"/>
          <w:lang w:eastAsia="zh-CN"/>
        </w:rPr>
        <w:t>**信息</w:t>
      </w:r>
      <w:r>
        <w:rPr>
          <w:rFonts w:hint="eastAsia"/>
          <w:sz w:val="24"/>
          <w:szCs w:val="24"/>
        </w:rPr>
        <w:t>对项目质量进行跟踪时采用的同行评审执行跟踪表，由专人进行评审问题的确认与维护，确保评审过程有效。</w:t>
      </w:r>
    </w:p>
    <w:p>
      <w:pPr>
        <w:spacing w:line="360" w:lineRule="auto"/>
      </w:pPr>
      <w:r>
        <w:drawing>
          <wp:inline distT="0" distB="0" distL="0" distR="0">
            <wp:extent cx="5143500" cy="1668780"/>
            <wp:effectExtent l="0" t="0" r="0" b="7620"/>
            <wp:docPr id="4389" name="图片 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9" name="图片 438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143500" cy="1668780"/>
                    </a:xfrm>
                    <a:prstGeom prst="rect">
                      <a:avLst/>
                    </a:prstGeom>
                    <a:noFill/>
                    <a:ln>
                      <a:noFill/>
                    </a:ln>
                  </pic:spPr>
                </pic:pic>
              </a:graphicData>
            </a:graphic>
          </wp:inline>
        </w:drawing>
      </w:r>
    </w:p>
    <w:p>
      <w:pPr>
        <w:spacing w:line="360" w:lineRule="auto"/>
        <w:jc w:val="center"/>
      </w:pPr>
      <w:r>
        <w:rPr>
          <w:rFonts w:hint="eastAsia"/>
        </w:rPr>
        <w:t>同行评审追踪表</w:t>
      </w:r>
    </w:p>
    <w:p>
      <w:pPr>
        <w:spacing w:line="360" w:lineRule="auto"/>
      </w:pPr>
    </w:p>
    <w:p>
      <w:pPr>
        <w:pStyle w:val="4"/>
        <w:numPr>
          <w:ilvl w:val="2"/>
          <w:numId w:val="3"/>
        </w:numPr>
        <w:spacing w:before="0" w:after="0" w:line="360" w:lineRule="auto"/>
        <w:ind w:left="0" w:leftChars="0" w:firstLine="402" w:firstLineChars="0"/>
      </w:pPr>
      <w:bookmarkStart w:id="382" w:name="_Toc23374"/>
      <w:r>
        <w:rPr>
          <w:rFonts w:hint="eastAsia"/>
        </w:rPr>
        <w:t>质量保证过程</w:t>
      </w:r>
      <w:bookmarkEnd w:id="382"/>
    </w:p>
    <w:p>
      <w:pPr>
        <w:spacing w:line="360" w:lineRule="auto"/>
        <w:rPr>
          <w:sz w:val="24"/>
          <w:szCs w:val="24"/>
        </w:rPr>
      </w:pPr>
      <w:r>
        <w:rPr>
          <w:rFonts w:hint="eastAsia"/>
          <w:sz w:val="24"/>
          <w:szCs w:val="24"/>
        </w:rPr>
        <w:t>质量保证过程覆盖整个项目实施周期，包括以下章节的活动。工作流程如下图：</w:t>
      </w:r>
    </w:p>
    <w:p>
      <w:pPr>
        <w:spacing w:line="360" w:lineRule="auto"/>
      </w:pPr>
      <w:r>
        <w:object>
          <v:shape id="_x0000_i1031" o:spt="75" type="#_x0000_t75" style="height:386.25pt;width:411pt;" o:ole="t" filled="f" o:preferrelative="t" stroked="f" coordsize="21600,21600">
            <v:path/>
            <v:fill on="f" focussize="0,0"/>
            <v:stroke on="f" joinstyle="miter"/>
            <v:imagedata r:id="rId48" o:title=""/>
            <o:lock v:ext="edit" aspectratio="t"/>
            <w10:wrap type="none"/>
            <w10:anchorlock/>
          </v:shape>
          <o:OLEObject Type="Embed" ProgID="Visio.Drawing.11" ShapeID="_x0000_i1031" DrawAspect="Content" ObjectID="_1468075731" r:id="rId47">
            <o:LockedField>false</o:LockedField>
          </o:OLEObject>
        </w:object>
      </w:r>
    </w:p>
    <w:p>
      <w:pPr>
        <w:spacing w:line="360" w:lineRule="auto"/>
        <w:jc w:val="center"/>
      </w:pPr>
      <w:bookmarkStart w:id="383" w:name="_Toc298169141"/>
      <w:bookmarkStart w:id="384" w:name="_Toc297882120"/>
      <w:r>
        <w:rPr>
          <w:rFonts w:hint="eastAsia"/>
        </w:rPr>
        <w:t>质量保证流程表</w:t>
      </w:r>
    </w:p>
    <w:p>
      <w:pPr>
        <w:spacing w:line="360" w:lineRule="auto"/>
        <w:ind w:firstLine="480" w:firstLineChars="200"/>
        <w:rPr>
          <w:sz w:val="24"/>
          <w:szCs w:val="24"/>
        </w:rPr>
      </w:pPr>
      <w:r>
        <w:rPr>
          <w:rFonts w:hint="eastAsia"/>
          <w:sz w:val="24"/>
          <w:szCs w:val="24"/>
        </w:rPr>
        <w:t>一、质量保证策划</w:t>
      </w:r>
      <w:bookmarkEnd w:id="383"/>
      <w:bookmarkEnd w:id="384"/>
    </w:p>
    <w:p>
      <w:pPr>
        <w:spacing w:line="360" w:lineRule="auto"/>
        <w:ind w:firstLine="480" w:firstLineChars="200"/>
        <w:rPr>
          <w:sz w:val="24"/>
          <w:szCs w:val="24"/>
        </w:rPr>
      </w:pPr>
      <w:r>
        <w:rPr>
          <w:rFonts w:hint="eastAsia"/>
          <w:sz w:val="24"/>
          <w:szCs w:val="24"/>
        </w:rPr>
        <w:t>在项目策划阶段，质量保证员在项目经理的协助下制定项目质量保证计划，并与项目组进行评审。质量保证计划的内容包括：质量保证人员安排、活动计划、审核及评审的软件工作产品、审核标准及规程、提交的文档和报告、提供项目组和其他相关组的反馈方式及频度。</w:t>
      </w:r>
    </w:p>
    <w:p>
      <w:pPr>
        <w:spacing w:line="360" w:lineRule="auto"/>
        <w:ind w:firstLine="480" w:firstLineChars="200"/>
        <w:rPr>
          <w:sz w:val="24"/>
          <w:szCs w:val="24"/>
        </w:rPr>
      </w:pPr>
      <w:r>
        <w:rPr>
          <w:rFonts w:hint="eastAsia"/>
          <w:sz w:val="24"/>
          <w:szCs w:val="24"/>
        </w:rPr>
        <w:t>编制质量保证计划的主要依据是项目计划，因此质量保证计划应随着项目计划的进展和变更进行修订，不断形成新的版本。</w:t>
      </w:r>
      <w:r>
        <w:rPr>
          <w:sz w:val="24"/>
          <w:szCs w:val="24"/>
        </w:rPr>
        <w:t>QA</w:t>
      </w:r>
      <w:r>
        <w:rPr>
          <w:rFonts w:hint="eastAsia"/>
          <w:sz w:val="24"/>
          <w:szCs w:val="24"/>
        </w:rPr>
        <w:t>人员应及时提交《质量保证计划》至</w:t>
      </w:r>
      <w:r>
        <w:rPr>
          <w:sz w:val="24"/>
          <w:szCs w:val="24"/>
        </w:rPr>
        <w:t>QA</w:t>
      </w:r>
      <w:r>
        <w:rPr>
          <w:rFonts w:hint="eastAsia"/>
          <w:sz w:val="24"/>
          <w:szCs w:val="24"/>
        </w:rPr>
        <w:t>经理。</w:t>
      </w:r>
    </w:p>
    <w:p>
      <w:pPr>
        <w:spacing w:line="360" w:lineRule="auto"/>
        <w:ind w:firstLine="480" w:firstLineChars="200"/>
        <w:rPr>
          <w:sz w:val="24"/>
          <w:szCs w:val="24"/>
        </w:rPr>
      </w:pPr>
      <w:r>
        <w:rPr>
          <w:rFonts w:hint="eastAsia"/>
          <w:sz w:val="24"/>
          <w:szCs w:val="24"/>
        </w:rPr>
        <w:t>（一）项目立项批准后，</w:t>
      </w:r>
      <w:r>
        <w:rPr>
          <w:sz w:val="24"/>
          <w:szCs w:val="24"/>
        </w:rPr>
        <w:t>QA</w:t>
      </w:r>
      <w:r>
        <w:rPr>
          <w:rFonts w:hint="eastAsia"/>
          <w:sz w:val="24"/>
          <w:szCs w:val="24"/>
        </w:rPr>
        <w:t>人员根据《项目管理策划报告》编制初步的《质量保证计划》；</w:t>
      </w:r>
    </w:p>
    <w:p>
      <w:pPr>
        <w:spacing w:line="360" w:lineRule="auto"/>
        <w:ind w:firstLine="480" w:firstLineChars="200"/>
        <w:rPr>
          <w:sz w:val="24"/>
          <w:szCs w:val="24"/>
        </w:rPr>
      </w:pPr>
      <w:r>
        <w:rPr>
          <w:rFonts w:hint="eastAsia"/>
          <w:sz w:val="24"/>
          <w:szCs w:val="24"/>
        </w:rPr>
        <w:t>（二）项目计划编制完成后，</w:t>
      </w:r>
      <w:r>
        <w:rPr>
          <w:sz w:val="24"/>
          <w:szCs w:val="24"/>
        </w:rPr>
        <w:t>QA</w:t>
      </w:r>
      <w:r>
        <w:rPr>
          <w:rFonts w:hint="eastAsia"/>
          <w:sz w:val="24"/>
          <w:szCs w:val="24"/>
        </w:rPr>
        <w:t>人员根据项目计划，修订初步《质量保证计划》，明确项目应遵循的过程描述、标准和规程；</w:t>
      </w:r>
    </w:p>
    <w:p>
      <w:pPr>
        <w:spacing w:line="360" w:lineRule="auto"/>
        <w:ind w:firstLine="480" w:firstLineChars="200"/>
        <w:rPr>
          <w:sz w:val="24"/>
          <w:szCs w:val="24"/>
        </w:rPr>
      </w:pPr>
      <w:r>
        <w:rPr>
          <w:rFonts w:hint="eastAsia"/>
          <w:sz w:val="24"/>
          <w:szCs w:val="24"/>
        </w:rPr>
        <w:t>（三）项目经理、受影响的组和个人，使用《质量保证计划同行评审检查表》进行同行评审质量保证计划；</w:t>
      </w:r>
    </w:p>
    <w:p>
      <w:pPr>
        <w:spacing w:line="360" w:lineRule="auto"/>
        <w:ind w:firstLine="480" w:firstLineChars="200"/>
        <w:rPr>
          <w:sz w:val="24"/>
          <w:szCs w:val="24"/>
        </w:rPr>
      </w:pPr>
      <w:r>
        <w:rPr>
          <w:rFonts w:hint="eastAsia"/>
          <w:sz w:val="24"/>
          <w:szCs w:val="24"/>
        </w:rPr>
        <w:t>（四）《质量保证计划》被管理和控制；</w:t>
      </w:r>
    </w:p>
    <w:p>
      <w:pPr>
        <w:spacing w:line="360" w:lineRule="auto"/>
        <w:ind w:firstLine="480" w:firstLineChars="200"/>
        <w:rPr>
          <w:sz w:val="24"/>
          <w:szCs w:val="24"/>
        </w:rPr>
      </w:pPr>
      <w:bookmarkStart w:id="385" w:name="_Toc298169142"/>
      <w:bookmarkStart w:id="386" w:name="_Toc297882121"/>
      <w:r>
        <w:rPr>
          <w:rFonts w:hint="eastAsia"/>
          <w:sz w:val="24"/>
          <w:szCs w:val="24"/>
        </w:rPr>
        <w:t>二、参与项目活动</w:t>
      </w:r>
      <w:bookmarkEnd w:id="385"/>
      <w:bookmarkEnd w:id="386"/>
    </w:p>
    <w:p>
      <w:pPr>
        <w:spacing w:line="360" w:lineRule="auto"/>
        <w:ind w:firstLine="480" w:firstLineChars="200"/>
        <w:rPr>
          <w:sz w:val="24"/>
          <w:szCs w:val="24"/>
        </w:rPr>
      </w:pPr>
      <w:r>
        <w:rPr>
          <w:rFonts w:hint="eastAsia"/>
          <w:sz w:val="24"/>
          <w:szCs w:val="24"/>
        </w:rPr>
        <w:t>（一）项目计划</w:t>
      </w:r>
    </w:p>
    <w:p>
      <w:pPr>
        <w:spacing w:line="360" w:lineRule="auto"/>
        <w:ind w:firstLine="480" w:firstLineChars="200"/>
        <w:rPr>
          <w:sz w:val="24"/>
          <w:szCs w:val="24"/>
        </w:rPr>
      </w:pPr>
      <w:r>
        <w:rPr>
          <w:rFonts w:hint="eastAsia"/>
          <w:sz w:val="24"/>
          <w:szCs w:val="24"/>
        </w:rPr>
        <w:t>质量保证经理参与项目计划、标准和规程的准备及评审，以保证符合组织的质量管理体系的要求、满足客户的需求和标准、项目组遵循的标准、项目计划中描述的其它内容。</w:t>
      </w:r>
    </w:p>
    <w:p>
      <w:pPr>
        <w:spacing w:line="360" w:lineRule="auto"/>
        <w:ind w:firstLine="480" w:firstLineChars="200"/>
        <w:rPr>
          <w:sz w:val="24"/>
          <w:szCs w:val="24"/>
        </w:rPr>
      </w:pPr>
      <w:r>
        <w:rPr>
          <w:rFonts w:hint="eastAsia"/>
          <w:sz w:val="24"/>
          <w:szCs w:val="24"/>
        </w:rPr>
        <w:t>（二）项目活动评审</w:t>
      </w:r>
    </w:p>
    <w:p>
      <w:pPr>
        <w:spacing w:line="360" w:lineRule="auto"/>
        <w:ind w:firstLine="480" w:firstLineChars="200"/>
        <w:rPr>
          <w:sz w:val="24"/>
          <w:szCs w:val="24"/>
        </w:rPr>
      </w:pPr>
      <w:r>
        <w:rPr>
          <w:rFonts w:hint="eastAsia"/>
          <w:sz w:val="24"/>
          <w:szCs w:val="24"/>
        </w:rPr>
        <w:t>项目活动评审的目的是检查项目活动是否符合组织制定的方针、过程及规程的要求。</w:t>
      </w:r>
    </w:p>
    <w:p>
      <w:pPr>
        <w:spacing w:line="360" w:lineRule="auto"/>
        <w:ind w:firstLine="480" w:firstLineChars="200"/>
        <w:rPr>
          <w:sz w:val="24"/>
          <w:szCs w:val="24"/>
        </w:rPr>
      </w:pPr>
      <w:r>
        <w:rPr>
          <w:rFonts w:hint="eastAsia"/>
          <w:sz w:val="24"/>
          <w:szCs w:val="24"/>
        </w:rPr>
        <w:t>质量保证经理参加项目阶段总结会议；</w:t>
      </w:r>
    </w:p>
    <w:p>
      <w:pPr>
        <w:spacing w:line="360" w:lineRule="auto"/>
        <w:ind w:firstLine="480" w:firstLineChars="200"/>
        <w:rPr>
          <w:sz w:val="24"/>
          <w:szCs w:val="24"/>
        </w:rPr>
      </w:pPr>
      <w:r>
        <w:rPr>
          <w:rFonts w:hint="eastAsia"/>
          <w:sz w:val="24"/>
          <w:szCs w:val="24"/>
        </w:rPr>
        <w:t>质量保证经理应为项目实施过程进行质量管理与监督；</w:t>
      </w:r>
    </w:p>
    <w:p>
      <w:pPr>
        <w:spacing w:line="360" w:lineRule="auto"/>
        <w:ind w:firstLine="480" w:firstLineChars="200"/>
        <w:rPr>
          <w:sz w:val="24"/>
          <w:szCs w:val="24"/>
        </w:rPr>
      </w:pPr>
      <w:r>
        <w:rPr>
          <w:rFonts w:hint="eastAsia"/>
          <w:sz w:val="24"/>
          <w:szCs w:val="24"/>
        </w:rPr>
        <w:t>按照过程、规程、标准及需求审核项目实施过程；</w:t>
      </w:r>
    </w:p>
    <w:p>
      <w:pPr>
        <w:spacing w:line="360" w:lineRule="auto"/>
        <w:ind w:firstLine="480" w:firstLineChars="200"/>
        <w:rPr>
          <w:sz w:val="24"/>
          <w:szCs w:val="24"/>
        </w:rPr>
      </w:pPr>
      <w:r>
        <w:rPr>
          <w:rFonts w:hint="eastAsia"/>
          <w:sz w:val="24"/>
          <w:szCs w:val="24"/>
        </w:rPr>
        <w:t>在产品提交给用户前，全面审核工作产品，确保其满足质量要求；</w:t>
      </w:r>
    </w:p>
    <w:p>
      <w:pPr>
        <w:spacing w:line="360" w:lineRule="auto"/>
        <w:ind w:firstLine="480" w:firstLineChars="200"/>
        <w:rPr>
          <w:sz w:val="24"/>
          <w:szCs w:val="24"/>
        </w:rPr>
      </w:pPr>
      <w:r>
        <w:rPr>
          <w:rFonts w:hint="eastAsia"/>
          <w:sz w:val="24"/>
          <w:szCs w:val="24"/>
        </w:rPr>
        <w:t>审核项目实施过程中发现的问题要记录并及时反馈给所有相关人员；</w:t>
      </w:r>
    </w:p>
    <w:p>
      <w:pPr>
        <w:spacing w:line="360" w:lineRule="auto"/>
        <w:ind w:firstLine="480" w:firstLineChars="200"/>
        <w:rPr>
          <w:sz w:val="24"/>
          <w:szCs w:val="24"/>
        </w:rPr>
      </w:pPr>
      <w:r>
        <w:rPr>
          <w:rFonts w:hint="eastAsia"/>
          <w:sz w:val="24"/>
          <w:szCs w:val="24"/>
        </w:rPr>
        <w:t>质量保证经理应对发现的问题进行跟踪，并确保其得到解决。</w:t>
      </w:r>
    </w:p>
    <w:p>
      <w:pPr>
        <w:spacing w:line="360" w:lineRule="auto"/>
        <w:ind w:firstLine="480" w:firstLineChars="200"/>
        <w:rPr>
          <w:sz w:val="24"/>
          <w:szCs w:val="24"/>
        </w:rPr>
      </w:pPr>
      <w:bookmarkStart w:id="387" w:name="_Toc298169143"/>
      <w:bookmarkStart w:id="388" w:name="_Toc297882122"/>
      <w:r>
        <w:rPr>
          <w:rFonts w:hint="eastAsia"/>
          <w:sz w:val="24"/>
          <w:szCs w:val="24"/>
        </w:rPr>
        <w:t>三、客户满意度调查</w:t>
      </w:r>
      <w:bookmarkEnd w:id="387"/>
      <w:bookmarkEnd w:id="388"/>
    </w:p>
    <w:p>
      <w:pPr>
        <w:spacing w:line="360" w:lineRule="auto"/>
        <w:ind w:firstLine="480" w:firstLineChars="200"/>
        <w:rPr>
          <w:sz w:val="24"/>
          <w:szCs w:val="24"/>
        </w:rPr>
      </w:pPr>
      <w:r>
        <w:rPr>
          <w:rFonts w:hint="eastAsia"/>
          <w:sz w:val="24"/>
          <w:szCs w:val="24"/>
        </w:rPr>
        <w:t>客户满意度调查用于了解客户对产品及项目实施过程质量的满意程度。质量保证员负责客户满意度调查。</w:t>
      </w:r>
    </w:p>
    <w:p>
      <w:pPr>
        <w:spacing w:line="360" w:lineRule="auto"/>
        <w:ind w:firstLine="480" w:firstLineChars="200"/>
        <w:rPr>
          <w:sz w:val="24"/>
          <w:szCs w:val="24"/>
        </w:rPr>
      </w:pPr>
      <w:r>
        <w:rPr>
          <w:rFonts w:hint="eastAsia"/>
          <w:sz w:val="24"/>
          <w:szCs w:val="24"/>
        </w:rPr>
        <w:t>质量保证经理在项目策划阶段了解客户对产品的质量需求；</w:t>
      </w:r>
    </w:p>
    <w:p>
      <w:pPr>
        <w:spacing w:line="360" w:lineRule="auto"/>
        <w:ind w:firstLine="480" w:firstLineChars="200"/>
        <w:rPr>
          <w:sz w:val="24"/>
          <w:szCs w:val="24"/>
        </w:rPr>
      </w:pPr>
      <w:r>
        <w:rPr>
          <w:rFonts w:hint="eastAsia"/>
          <w:sz w:val="24"/>
          <w:szCs w:val="24"/>
        </w:rPr>
        <w:t>在软件质量保证计划中制定客户满意度调查活动计划；</w:t>
      </w:r>
    </w:p>
    <w:p>
      <w:pPr>
        <w:spacing w:line="360" w:lineRule="auto"/>
        <w:ind w:firstLine="480" w:firstLineChars="200"/>
        <w:rPr>
          <w:sz w:val="24"/>
          <w:szCs w:val="24"/>
        </w:rPr>
      </w:pPr>
      <w:r>
        <w:rPr>
          <w:rFonts w:hint="eastAsia"/>
          <w:sz w:val="24"/>
          <w:szCs w:val="24"/>
        </w:rPr>
        <w:t>质量保证经理定期同客户举行交流会，并收集客户的反馈信息；</w:t>
      </w:r>
    </w:p>
    <w:p>
      <w:pPr>
        <w:spacing w:line="360" w:lineRule="auto"/>
        <w:ind w:firstLine="480" w:firstLineChars="200"/>
        <w:rPr>
          <w:sz w:val="24"/>
          <w:szCs w:val="24"/>
        </w:rPr>
      </w:pPr>
      <w:r>
        <w:rPr>
          <w:rFonts w:hint="eastAsia"/>
          <w:sz w:val="24"/>
          <w:szCs w:val="24"/>
        </w:rPr>
        <w:t>根据客户的反馈信息，制定改进措施，以提高产品质量并满足客户的需求。</w:t>
      </w:r>
    </w:p>
    <w:p>
      <w:pPr>
        <w:spacing w:line="360" w:lineRule="auto"/>
        <w:ind w:firstLine="480" w:firstLineChars="200"/>
        <w:rPr>
          <w:sz w:val="24"/>
          <w:szCs w:val="24"/>
        </w:rPr>
      </w:pPr>
      <w:bookmarkStart w:id="389" w:name="_Toc298169144"/>
      <w:bookmarkStart w:id="390" w:name="_Toc297882123"/>
      <w:r>
        <w:rPr>
          <w:rFonts w:hint="eastAsia"/>
          <w:sz w:val="24"/>
          <w:szCs w:val="24"/>
        </w:rPr>
        <w:t>四、工具和方法</w:t>
      </w:r>
      <w:bookmarkEnd w:id="389"/>
      <w:bookmarkEnd w:id="390"/>
    </w:p>
    <w:p>
      <w:pPr>
        <w:spacing w:line="360" w:lineRule="auto"/>
        <w:ind w:firstLine="480" w:firstLineChars="200"/>
        <w:rPr>
          <w:sz w:val="24"/>
          <w:szCs w:val="24"/>
        </w:rPr>
      </w:pPr>
      <w:r>
        <w:rPr>
          <w:rFonts w:hint="eastAsia"/>
          <w:sz w:val="24"/>
          <w:szCs w:val="24"/>
          <w:lang w:eastAsia="zh-CN"/>
        </w:rPr>
        <w:t>**信息</w:t>
      </w:r>
      <w:r>
        <w:rPr>
          <w:rFonts w:hint="eastAsia"/>
          <w:sz w:val="24"/>
          <w:szCs w:val="24"/>
        </w:rPr>
        <w:t>目前在质量保证活动中使用的软件项目管理和软件质量保证体系的工程工具和方法如下表所示：</w:t>
      </w:r>
    </w:p>
    <w:tbl>
      <w:tblPr>
        <w:tblStyle w:val="34"/>
        <w:tblW w:w="830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59"/>
        <w:gridCol w:w="2090"/>
        <w:gridCol w:w="2086"/>
        <w:gridCol w:w="206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059" w:type="dxa"/>
            <w:tcBorders>
              <w:top w:val="single" w:color="auto" w:sz="4" w:space="0"/>
              <w:left w:val="single" w:color="auto" w:sz="4" w:space="0"/>
              <w:bottom w:val="single" w:color="auto" w:sz="4" w:space="0"/>
              <w:right w:val="single" w:color="auto" w:sz="4" w:space="0"/>
            </w:tcBorders>
            <w:shd w:val="clear" w:color="auto" w:fill="D9D9D9"/>
          </w:tcPr>
          <w:p>
            <w:pPr>
              <w:spacing w:line="360" w:lineRule="auto"/>
            </w:pPr>
            <w:r>
              <w:rPr>
                <w:rFonts w:hint="eastAsia"/>
              </w:rPr>
              <w:t>类别</w:t>
            </w:r>
          </w:p>
        </w:tc>
        <w:tc>
          <w:tcPr>
            <w:tcW w:w="2090" w:type="dxa"/>
            <w:tcBorders>
              <w:top w:val="single" w:color="auto" w:sz="4" w:space="0"/>
              <w:left w:val="single" w:color="auto" w:sz="4" w:space="0"/>
              <w:bottom w:val="single" w:color="auto" w:sz="4" w:space="0"/>
              <w:right w:val="single" w:color="auto" w:sz="4" w:space="0"/>
            </w:tcBorders>
            <w:shd w:val="clear" w:color="auto" w:fill="D9D9D9"/>
          </w:tcPr>
          <w:p>
            <w:pPr>
              <w:spacing w:line="360" w:lineRule="auto"/>
            </w:pPr>
            <w:r>
              <w:rPr>
                <w:rFonts w:hint="eastAsia"/>
              </w:rPr>
              <w:t>工具名称</w:t>
            </w:r>
          </w:p>
        </w:tc>
        <w:tc>
          <w:tcPr>
            <w:tcW w:w="2086" w:type="dxa"/>
            <w:tcBorders>
              <w:top w:val="single" w:color="auto" w:sz="4" w:space="0"/>
              <w:left w:val="single" w:color="auto" w:sz="4" w:space="0"/>
              <w:bottom w:val="single" w:color="auto" w:sz="4" w:space="0"/>
              <w:right w:val="single" w:color="auto" w:sz="4" w:space="0"/>
            </w:tcBorders>
            <w:shd w:val="clear" w:color="auto" w:fill="D9D9D9"/>
          </w:tcPr>
          <w:p>
            <w:pPr>
              <w:spacing w:line="360" w:lineRule="auto"/>
            </w:pPr>
            <w:r>
              <w:rPr>
                <w:rFonts w:hint="eastAsia"/>
              </w:rPr>
              <w:t>工具来源</w:t>
            </w:r>
          </w:p>
        </w:tc>
        <w:tc>
          <w:tcPr>
            <w:tcW w:w="2067" w:type="dxa"/>
            <w:tcBorders>
              <w:top w:val="single" w:color="auto" w:sz="4" w:space="0"/>
              <w:left w:val="single" w:color="auto" w:sz="4" w:space="0"/>
              <w:bottom w:val="single" w:color="auto" w:sz="4" w:space="0"/>
              <w:right w:val="single" w:color="auto" w:sz="4" w:space="0"/>
            </w:tcBorders>
            <w:shd w:val="clear" w:color="auto" w:fill="D9D9D9"/>
            <w:vAlign w:val="center"/>
          </w:tcPr>
          <w:p>
            <w:pPr>
              <w:spacing w:line="360" w:lineRule="auto"/>
            </w:pPr>
            <w:r>
              <w:rPr>
                <w:rFonts w:hint="eastAsia"/>
              </w:rPr>
              <w:t>用途</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77" w:hRule="atLeast"/>
        </w:trPr>
        <w:tc>
          <w:tcPr>
            <w:tcW w:w="2059" w:type="dxa"/>
            <w:tcBorders>
              <w:top w:val="single" w:color="auto" w:sz="4" w:space="0"/>
              <w:left w:val="single" w:color="auto" w:sz="4" w:space="0"/>
              <w:bottom w:val="single" w:color="auto" w:sz="4" w:space="0"/>
              <w:right w:val="single" w:color="auto" w:sz="4" w:space="0"/>
            </w:tcBorders>
          </w:tcPr>
          <w:p>
            <w:pPr>
              <w:spacing w:line="360" w:lineRule="auto"/>
            </w:pPr>
            <w:r>
              <w:rPr>
                <w:rFonts w:hint="eastAsia"/>
              </w:rPr>
              <w:t>项目计划</w:t>
            </w:r>
          </w:p>
        </w:tc>
        <w:tc>
          <w:tcPr>
            <w:tcW w:w="2090" w:type="dxa"/>
            <w:tcBorders>
              <w:top w:val="single" w:color="auto" w:sz="4" w:space="0"/>
              <w:left w:val="single" w:color="auto" w:sz="4" w:space="0"/>
              <w:bottom w:val="single" w:color="auto" w:sz="4" w:space="0"/>
              <w:right w:val="single" w:color="auto" w:sz="4" w:space="0"/>
            </w:tcBorders>
          </w:tcPr>
          <w:p>
            <w:pPr>
              <w:spacing w:line="360" w:lineRule="auto"/>
            </w:pPr>
            <w:r>
              <w:t>MSProject</w:t>
            </w:r>
          </w:p>
        </w:tc>
        <w:tc>
          <w:tcPr>
            <w:tcW w:w="2086" w:type="dxa"/>
            <w:tcBorders>
              <w:top w:val="single" w:color="auto" w:sz="4" w:space="0"/>
              <w:left w:val="single" w:color="auto" w:sz="4" w:space="0"/>
              <w:bottom w:val="single" w:color="auto" w:sz="4" w:space="0"/>
              <w:right w:val="single" w:color="auto" w:sz="4" w:space="0"/>
            </w:tcBorders>
          </w:tcPr>
          <w:p>
            <w:pPr>
              <w:spacing w:line="360" w:lineRule="auto"/>
            </w:pPr>
            <w:r>
              <w:t>Microsoft</w:t>
            </w:r>
          </w:p>
        </w:tc>
        <w:tc>
          <w:tcPr>
            <w:tcW w:w="2067" w:type="dxa"/>
            <w:tcBorders>
              <w:top w:val="single" w:color="auto" w:sz="4" w:space="0"/>
              <w:left w:val="single" w:color="auto" w:sz="4" w:space="0"/>
              <w:bottom w:val="single" w:color="auto" w:sz="4" w:space="0"/>
              <w:right w:val="single" w:color="auto" w:sz="4" w:space="0"/>
            </w:tcBorders>
          </w:tcPr>
          <w:p>
            <w:pPr>
              <w:spacing w:line="360" w:lineRule="auto"/>
            </w:pPr>
            <w:r>
              <w:rPr>
                <w:rFonts w:hint="eastAsia"/>
              </w:rPr>
              <w:t>计划的</w:t>
            </w:r>
            <w:r>
              <w:t>WBS</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77" w:hRule="atLeast"/>
        </w:trPr>
        <w:tc>
          <w:tcPr>
            <w:tcW w:w="2059" w:type="dxa"/>
            <w:tcBorders>
              <w:top w:val="single" w:color="auto" w:sz="4" w:space="0"/>
              <w:left w:val="single" w:color="auto" w:sz="4" w:space="0"/>
              <w:bottom w:val="single" w:color="auto" w:sz="4" w:space="0"/>
              <w:right w:val="single" w:color="auto" w:sz="4" w:space="0"/>
            </w:tcBorders>
          </w:tcPr>
          <w:p>
            <w:pPr>
              <w:spacing w:line="360" w:lineRule="auto"/>
            </w:pPr>
            <w:r>
              <w:rPr>
                <w:rFonts w:hint="eastAsia"/>
              </w:rPr>
              <w:t>配置管理</w:t>
            </w:r>
          </w:p>
        </w:tc>
        <w:tc>
          <w:tcPr>
            <w:tcW w:w="2090" w:type="dxa"/>
            <w:tcBorders>
              <w:top w:val="single" w:color="auto" w:sz="4" w:space="0"/>
              <w:left w:val="single" w:color="auto" w:sz="4" w:space="0"/>
              <w:bottom w:val="single" w:color="auto" w:sz="4" w:space="0"/>
              <w:right w:val="single" w:color="auto" w:sz="4" w:space="0"/>
            </w:tcBorders>
          </w:tcPr>
          <w:p>
            <w:pPr>
              <w:spacing w:line="360" w:lineRule="auto"/>
            </w:pPr>
            <w:r>
              <w:t>VSS</w:t>
            </w:r>
          </w:p>
        </w:tc>
        <w:tc>
          <w:tcPr>
            <w:tcW w:w="2086" w:type="dxa"/>
            <w:tcBorders>
              <w:top w:val="single" w:color="auto" w:sz="4" w:space="0"/>
              <w:left w:val="single" w:color="auto" w:sz="4" w:space="0"/>
              <w:bottom w:val="single" w:color="auto" w:sz="4" w:space="0"/>
              <w:right w:val="single" w:color="auto" w:sz="4" w:space="0"/>
            </w:tcBorders>
          </w:tcPr>
          <w:p>
            <w:pPr>
              <w:spacing w:line="360" w:lineRule="auto"/>
            </w:pPr>
            <w:r>
              <w:t>Microsoft</w:t>
            </w:r>
            <w:r>
              <w:tab/>
            </w:r>
          </w:p>
        </w:tc>
        <w:tc>
          <w:tcPr>
            <w:tcW w:w="2067" w:type="dxa"/>
            <w:tcBorders>
              <w:top w:val="single" w:color="auto" w:sz="4" w:space="0"/>
              <w:left w:val="single" w:color="auto" w:sz="4" w:space="0"/>
              <w:bottom w:val="single" w:color="auto" w:sz="4" w:space="0"/>
              <w:right w:val="single" w:color="auto" w:sz="4" w:space="0"/>
            </w:tcBorders>
          </w:tcPr>
          <w:p>
            <w:pPr>
              <w:spacing w:line="360" w:lineRule="auto"/>
            </w:pPr>
            <w:r>
              <w:rPr>
                <w:rFonts w:hint="eastAsia"/>
              </w:rPr>
              <w:t>版本管理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059" w:type="dxa"/>
            <w:tcBorders>
              <w:top w:val="single" w:color="auto" w:sz="4" w:space="0"/>
              <w:left w:val="single" w:color="auto" w:sz="4" w:space="0"/>
              <w:bottom w:val="single" w:color="auto" w:sz="4" w:space="0"/>
              <w:right w:val="single" w:color="auto" w:sz="4" w:space="0"/>
            </w:tcBorders>
          </w:tcPr>
          <w:p>
            <w:pPr>
              <w:spacing w:line="360" w:lineRule="auto"/>
            </w:pPr>
            <w:r>
              <w:rPr>
                <w:rFonts w:hint="eastAsia"/>
              </w:rPr>
              <w:t>工作量管理</w:t>
            </w:r>
          </w:p>
        </w:tc>
        <w:tc>
          <w:tcPr>
            <w:tcW w:w="2090" w:type="dxa"/>
            <w:tcBorders>
              <w:top w:val="single" w:color="auto" w:sz="4" w:space="0"/>
              <w:left w:val="single" w:color="auto" w:sz="4" w:space="0"/>
              <w:bottom w:val="single" w:color="auto" w:sz="4" w:space="0"/>
              <w:right w:val="single" w:color="auto" w:sz="4" w:space="0"/>
            </w:tcBorders>
          </w:tcPr>
          <w:p>
            <w:pPr>
              <w:spacing w:line="360" w:lineRule="auto"/>
            </w:pPr>
            <w:r>
              <w:t>Timesheet</w:t>
            </w:r>
          </w:p>
        </w:tc>
        <w:tc>
          <w:tcPr>
            <w:tcW w:w="2086" w:type="dxa"/>
            <w:tcBorders>
              <w:top w:val="single" w:color="auto" w:sz="4" w:space="0"/>
              <w:left w:val="single" w:color="auto" w:sz="4" w:space="0"/>
              <w:bottom w:val="single" w:color="auto" w:sz="4" w:space="0"/>
              <w:right w:val="single" w:color="auto" w:sz="4" w:space="0"/>
            </w:tcBorders>
          </w:tcPr>
          <w:p>
            <w:pPr>
              <w:spacing w:line="360" w:lineRule="auto"/>
            </w:pPr>
            <w:r>
              <w:t>Free</w:t>
            </w:r>
          </w:p>
        </w:tc>
        <w:tc>
          <w:tcPr>
            <w:tcW w:w="2067" w:type="dxa"/>
            <w:tcBorders>
              <w:top w:val="single" w:color="auto" w:sz="4" w:space="0"/>
              <w:left w:val="single" w:color="auto" w:sz="4" w:space="0"/>
              <w:bottom w:val="single" w:color="auto" w:sz="4" w:space="0"/>
              <w:right w:val="single" w:color="auto" w:sz="4" w:space="0"/>
            </w:tcBorders>
          </w:tcPr>
          <w:p>
            <w:pPr>
              <w:spacing w:line="360" w:lineRule="auto"/>
            </w:pPr>
            <w:r>
              <w:rPr>
                <w:rFonts w:hint="eastAsia"/>
              </w:rPr>
              <w:t>工作量管理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059" w:type="dxa"/>
            <w:tcBorders>
              <w:top w:val="single" w:color="auto" w:sz="4" w:space="0"/>
              <w:left w:val="single" w:color="auto" w:sz="4" w:space="0"/>
              <w:bottom w:val="single" w:color="auto" w:sz="4" w:space="0"/>
              <w:right w:val="single" w:color="auto" w:sz="4" w:space="0"/>
            </w:tcBorders>
          </w:tcPr>
          <w:p>
            <w:pPr>
              <w:spacing w:line="360" w:lineRule="auto"/>
            </w:pPr>
            <w:r>
              <w:rPr>
                <w:rFonts w:hint="eastAsia"/>
              </w:rPr>
              <w:t>同行评审</w:t>
            </w:r>
          </w:p>
        </w:tc>
        <w:tc>
          <w:tcPr>
            <w:tcW w:w="2090" w:type="dxa"/>
            <w:tcBorders>
              <w:top w:val="single" w:color="auto" w:sz="4" w:space="0"/>
              <w:left w:val="single" w:color="auto" w:sz="4" w:space="0"/>
              <w:bottom w:val="single" w:color="auto" w:sz="4" w:space="0"/>
              <w:right w:val="single" w:color="auto" w:sz="4" w:space="0"/>
            </w:tcBorders>
          </w:tcPr>
          <w:p>
            <w:pPr>
              <w:spacing w:line="360" w:lineRule="auto"/>
            </w:pPr>
            <w:r>
              <w:t>Worksheet</w:t>
            </w:r>
          </w:p>
        </w:tc>
        <w:tc>
          <w:tcPr>
            <w:tcW w:w="2086" w:type="dxa"/>
            <w:tcBorders>
              <w:top w:val="single" w:color="auto" w:sz="4" w:space="0"/>
              <w:left w:val="single" w:color="auto" w:sz="4" w:space="0"/>
              <w:bottom w:val="single" w:color="auto" w:sz="4" w:space="0"/>
              <w:right w:val="single" w:color="auto" w:sz="4" w:space="0"/>
            </w:tcBorders>
          </w:tcPr>
          <w:p>
            <w:pPr>
              <w:spacing w:line="360" w:lineRule="auto"/>
            </w:pPr>
            <w:r>
              <w:t>Free</w:t>
            </w:r>
          </w:p>
        </w:tc>
        <w:tc>
          <w:tcPr>
            <w:tcW w:w="2067" w:type="dxa"/>
            <w:tcBorders>
              <w:top w:val="single" w:color="auto" w:sz="4" w:space="0"/>
              <w:left w:val="single" w:color="auto" w:sz="4" w:space="0"/>
              <w:bottom w:val="single" w:color="auto" w:sz="4" w:space="0"/>
              <w:right w:val="single" w:color="auto" w:sz="4" w:space="0"/>
            </w:tcBorders>
          </w:tcPr>
          <w:p>
            <w:pPr>
              <w:spacing w:line="360" w:lineRule="auto"/>
            </w:pPr>
            <w:r>
              <w:rPr>
                <w:rFonts w:hint="eastAsia"/>
              </w:rPr>
              <w:t>评审记录</w:t>
            </w:r>
          </w:p>
        </w:tc>
      </w:tr>
    </w:tbl>
    <w:p>
      <w:pPr>
        <w:spacing w:line="360" w:lineRule="auto"/>
      </w:pPr>
      <w:bookmarkStart w:id="391" w:name="_Toc297882124"/>
      <w:bookmarkStart w:id="392" w:name="_Toc298169145"/>
    </w:p>
    <w:p>
      <w:pPr>
        <w:spacing w:line="360" w:lineRule="auto"/>
        <w:ind w:firstLine="480" w:firstLineChars="200"/>
        <w:rPr>
          <w:sz w:val="24"/>
          <w:szCs w:val="24"/>
        </w:rPr>
      </w:pPr>
      <w:r>
        <w:rPr>
          <w:rFonts w:hint="eastAsia"/>
          <w:sz w:val="24"/>
          <w:szCs w:val="24"/>
        </w:rPr>
        <w:t>质量保证过程中我们还将广泛使用</w:t>
      </w:r>
      <w:r>
        <w:rPr>
          <w:rFonts w:hint="eastAsia"/>
          <w:sz w:val="24"/>
          <w:szCs w:val="24"/>
          <w:lang w:eastAsia="zh-CN"/>
        </w:rPr>
        <w:t>**信息</w:t>
      </w:r>
      <w:r>
        <w:rPr>
          <w:rFonts w:hint="eastAsia"/>
          <w:sz w:val="24"/>
          <w:szCs w:val="24"/>
        </w:rPr>
        <w:t>依据多年大型工程实施所建立的一整套工具和方法，如《质量保证检查表》和《质量保证审计报告》等，都对项目质量评估发挥了重要作用。以下为此两类质量保证文书模板片断，在项目实施过程中，我们会依据具体情况来对此类文书进行相关修订。</w:t>
      </w:r>
    </w:p>
    <w:p>
      <w:pPr>
        <w:spacing w:line="360" w:lineRule="auto"/>
      </w:pPr>
      <w:r>
        <w:drawing>
          <wp:inline distT="0" distB="0" distL="0" distR="0">
            <wp:extent cx="5730240" cy="4198620"/>
            <wp:effectExtent l="0" t="0" r="3810" b="0"/>
            <wp:docPr id="4390" name="图片 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 name="图片 439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730240" cy="4198620"/>
                    </a:xfrm>
                    <a:prstGeom prst="rect">
                      <a:avLst/>
                    </a:prstGeom>
                    <a:noFill/>
                    <a:ln>
                      <a:noFill/>
                    </a:ln>
                  </pic:spPr>
                </pic:pic>
              </a:graphicData>
            </a:graphic>
          </wp:inline>
        </w:drawing>
      </w:r>
    </w:p>
    <w:p>
      <w:pPr>
        <w:spacing w:line="360" w:lineRule="auto"/>
        <w:jc w:val="center"/>
      </w:pPr>
      <w:r>
        <w:rPr>
          <w:rFonts w:hint="eastAsia"/>
        </w:rPr>
        <w:t>质量保证审计报告表</w:t>
      </w:r>
    </w:p>
    <w:p>
      <w:pPr>
        <w:spacing w:line="360" w:lineRule="auto"/>
      </w:pPr>
      <w:r>
        <w:drawing>
          <wp:inline distT="0" distB="0" distL="0" distR="0">
            <wp:extent cx="5737860" cy="4038600"/>
            <wp:effectExtent l="0" t="0" r="0" b="0"/>
            <wp:docPr id="4391" name="图片 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 name="图片 439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737860" cy="4038600"/>
                    </a:xfrm>
                    <a:prstGeom prst="rect">
                      <a:avLst/>
                    </a:prstGeom>
                    <a:noFill/>
                    <a:ln>
                      <a:noFill/>
                    </a:ln>
                  </pic:spPr>
                </pic:pic>
              </a:graphicData>
            </a:graphic>
          </wp:inline>
        </w:drawing>
      </w:r>
    </w:p>
    <w:p>
      <w:pPr>
        <w:spacing w:line="360" w:lineRule="auto"/>
        <w:jc w:val="center"/>
      </w:pPr>
      <w:r>
        <w:rPr>
          <w:rFonts w:hint="eastAsia"/>
        </w:rPr>
        <w:t>质量保证检查表</w:t>
      </w:r>
    </w:p>
    <w:p>
      <w:pPr>
        <w:spacing w:line="360" w:lineRule="auto"/>
        <w:rPr>
          <w:sz w:val="24"/>
          <w:szCs w:val="24"/>
        </w:rPr>
      </w:pPr>
      <w:r>
        <w:rPr>
          <w:rFonts w:hint="eastAsia"/>
          <w:sz w:val="24"/>
          <w:szCs w:val="24"/>
        </w:rPr>
        <w:t>五、与客户沟通模式</w:t>
      </w:r>
      <w:bookmarkEnd w:id="391"/>
      <w:bookmarkEnd w:id="392"/>
    </w:p>
    <w:p>
      <w:pPr>
        <w:spacing w:line="360" w:lineRule="auto"/>
        <w:ind w:firstLine="480" w:firstLineChars="200"/>
      </w:pPr>
      <w:r>
        <w:rPr>
          <w:rFonts w:hint="eastAsia"/>
          <w:sz w:val="24"/>
          <w:szCs w:val="24"/>
          <w:lang w:eastAsia="zh-CN"/>
        </w:rPr>
        <w:t>**信息</w:t>
      </w:r>
      <w:r>
        <w:rPr>
          <w:rFonts w:hint="eastAsia"/>
          <w:sz w:val="24"/>
          <w:szCs w:val="24"/>
        </w:rPr>
        <w:t>建立与项目管理模式相匹配的组织结构，如项目经理、质量保证人员、高层管理者等，用户方可以按照计划参加软件项目组的活动，保证双方在项目实施过程中有良好的沟通，保证项目的顺利进行。</w:t>
      </w:r>
    </w:p>
    <w:p>
      <w:pPr>
        <w:pStyle w:val="4"/>
        <w:numPr>
          <w:ilvl w:val="2"/>
          <w:numId w:val="3"/>
        </w:numPr>
        <w:spacing w:before="0" w:after="0" w:line="360" w:lineRule="auto"/>
        <w:ind w:left="0" w:leftChars="0" w:firstLine="402" w:firstLineChars="0"/>
      </w:pPr>
      <w:bookmarkStart w:id="393" w:name="_Toc16971"/>
      <w:r>
        <w:rPr>
          <w:rFonts w:hint="eastAsia"/>
        </w:rPr>
        <w:t>软件质量管理</w:t>
      </w:r>
      <w:bookmarkEnd w:id="393"/>
    </w:p>
    <w:p>
      <w:pPr>
        <w:spacing w:line="360" w:lineRule="auto"/>
        <w:ind w:firstLine="480" w:firstLineChars="200"/>
        <w:rPr>
          <w:sz w:val="24"/>
          <w:szCs w:val="24"/>
        </w:rPr>
      </w:pPr>
      <w:r>
        <w:rPr>
          <w:rFonts w:hint="eastAsia"/>
          <w:sz w:val="24"/>
          <w:szCs w:val="24"/>
        </w:rPr>
        <w:t>软件质量管理是围绕软件产品质量开展的一系列管理过程。它是在项目质量管理完成过程质量管理的基础上，针对用户软件质量目标、软件产品特性，结合软件工程（软件生命周期管理）、需求工程、软件测试等一系列技术，而进一步开展的一系列软件质量规划、质量控制和质量保证活动。</w:t>
      </w:r>
    </w:p>
    <w:p>
      <w:pPr>
        <w:spacing w:line="360" w:lineRule="auto"/>
        <w:ind w:firstLine="480" w:firstLineChars="200"/>
        <w:rPr>
          <w:sz w:val="24"/>
          <w:szCs w:val="24"/>
        </w:rPr>
      </w:pPr>
      <w:r>
        <w:rPr>
          <w:rFonts w:hint="eastAsia"/>
          <w:sz w:val="24"/>
          <w:szCs w:val="24"/>
          <w:lang w:eastAsia="zh-CN"/>
        </w:rPr>
        <w:t>**信息</w:t>
      </w:r>
      <w:r>
        <w:rPr>
          <w:rFonts w:hint="eastAsia"/>
          <w:sz w:val="24"/>
          <w:szCs w:val="24"/>
        </w:rPr>
        <w:t>将遵照国标</w:t>
      </w:r>
      <w:r>
        <w:rPr>
          <w:sz w:val="24"/>
          <w:szCs w:val="24"/>
        </w:rPr>
        <w:t>GB/T 16260</w:t>
      </w:r>
      <w:r>
        <w:rPr>
          <w:rFonts w:hint="eastAsia"/>
          <w:sz w:val="24"/>
          <w:szCs w:val="24"/>
        </w:rPr>
        <w:t>规定的质量模型、度量要求和度量方法，制定软件质量测量计划、建立软件质量测量体系；软件质量测量计划提交客户方确认，针对软件质量测量体系中各项指标，提出各阶段测量方法、工具；在加强内部质量控制的同时，自软件进入用户环境测试环节开始，按软件质量测量计划要求，每月提交软件质量测量报告；对质量测量报告中反映的未达标项目，分析原因并提出具体解决方案、杜绝相同问题反复出现；客户方可以根据项目开展进度，指定强制性监控指标，我方将全部满足强制性指标要求。</w:t>
      </w:r>
    </w:p>
    <w:p>
      <w:pPr>
        <w:spacing w:line="360" w:lineRule="auto"/>
        <w:ind w:firstLine="480" w:firstLineChars="200"/>
        <w:rPr>
          <w:sz w:val="24"/>
          <w:szCs w:val="24"/>
        </w:rPr>
      </w:pPr>
      <w:r>
        <w:rPr>
          <w:rFonts w:hint="eastAsia"/>
          <w:sz w:val="24"/>
          <w:szCs w:val="24"/>
        </w:rPr>
        <w:t>关于软件质量保证的详细内容，将在软件开发方案中详细阐述，在此做概要说明。</w:t>
      </w:r>
    </w:p>
    <w:p>
      <w:pPr>
        <w:spacing w:line="360" w:lineRule="auto"/>
        <w:ind w:firstLine="480" w:firstLineChars="200"/>
        <w:rPr>
          <w:sz w:val="24"/>
          <w:szCs w:val="24"/>
        </w:rPr>
      </w:pPr>
      <w:r>
        <w:rPr>
          <w:rFonts w:hint="eastAsia"/>
          <w:sz w:val="24"/>
          <w:szCs w:val="24"/>
        </w:rPr>
        <w:t>一、软件质量构成及关系</w:t>
      </w:r>
    </w:p>
    <w:p>
      <w:pPr>
        <w:spacing w:line="360" w:lineRule="auto"/>
        <w:ind w:firstLine="480" w:firstLineChars="200"/>
        <w:rPr>
          <w:sz w:val="24"/>
          <w:szCs w:val="24"/>
        </w:rPr>
      </w:pPr>
      <w:r>
        <w:rPr>
          <w:rFonts w:hint="eastAsia"/>
          <w:sz w:val="24"/>
          <w:szCs w:val="24"/>
        </w:rPr>
        <w:t>软件产品质量的最终目标满足用户需要，同时控制在合适的成本和进度范围内。</w:t>
      </w:r>
    </w:p>
    <w:p>
      <w:pPr>
        <w:spacing w:line="360" w:lineRule="auto"/>
        <w:ind w:firstLine="480" w:firstLineChars="200"/>
        <w:rPr>
          <w:sz w:val="24"/>
          <w:szCs w:val="24"/>
        </w:rPr>
      </w:pPr>
      <w:r>
        <w:rPr>
          <w:rFonts w:hint="eastAsia"/>
          <w:sz w:val="24"/>
          <w:szCs w:val="24"/>
        </w:rPr>
        <w:t>内部质量：从软件工程师内部的角度所关注的质量，如系统模型、文档、源代码的质量，是系统内部检查和验证的准则；</w:t>
      </w:r>
    </w:p>
    <w:p>
      <w:pPr>
        <w:spacing w:line="360" w:lineRule="auto"/>
        <w:ind w:firstLine="480" w:firstLineChars="200"/>
        <w:rPr>
          <w:sz w:val="24"/>
          <w:szCs w:val="24"/>
        </w:rPr>
      </w:pPr>
      <w:r>
        <w:rPr>
          <w:rFonts w:hint="eastAsia"/>
          <w:sz w:val="24"/>
          <w:szCs w:val="24"/>
        </w:rPr>
        <w:t>外部质量：从外部的角度所关注的质量，是软件运行时，特别是模拟运行时反应的质量，通常是系统验收确认的准则；</w:t>
      </w:r>
    </w:p>
    <w:p>
      <w:pPr>
        <w:spacing w:line="360" w:lineRule="auto"/>
        <w:ind w:firstLine="480" w:firstLineChars="200"/>
        <w:rPr>
          <w:sz w:val="24"/>
          <w:szCs w:val="24"/>
        </w:rPr>
      </w:pPr>
      <w:r>
        <w:rPr>
          <w:rFonts w:hint="eastAsia"/>
          <w:sz w:val="24"/>
          <w:szCs w:val="24"/>
        </w:rPr>
        <w:t>使用质量：当用户在具体环境下使用软件时所关注的质量，产品在指定环境下被指定用户使用，可以有效率、有效果并满意的达到目标。</w:t>
      </w:r>
    </w:p>
    <w:p>
      <w:pPr>
        <w:spacing w:line="360" w:lineRule="auto"/>
        <w:ind w:firstLine="480" w:firstLineChars="200"/>
        <w:rPr>
          <w:sz w:val="24"/>
          <w:szCs w:val="24"/>
        </w:rPr>
      </w:pPr>
      <w:r>
        <w:rPr>
          <w:rFonts w:hint="eastAsia"/>
          <w:sz w:val="24"/>
          <w:szCs w:val="24"/>
        </w:rPr>
        <w:t>二、软件质量保证的要素</w:t>
      </w:r>
    </w:p>
    <w:p>
      <w:pPr>
        <w:spacing w:line="360" w:lineRule="auto"/>
        <w:ind w:firstLine="480" w:firstLineChars="200"/>
        <w:rPr>
          <w:sz w:val="24"/>
          <w:szCs w:val="24"/>
        </w:rPr>
      </w:pPr>
      <w:r>
        <w:rPr>
          <w:rFonts w:hint="eastAsia"/>
          <w:sz w:val="24"/>
          <w:szCs w:val="24"/>
        </w:rPr>
        <w:t>人、技术、过程是质量管理缺一不可的要素。</w:t>
      </w:r>
    </w:p>
    <w:p>
      <w:pPr>
        <w:spacing w:line="360" w:lineRule="auto"/>
        <w:ind w:firstLine="480" w:firstLineChars="200"/>
        <w:rPr>
          <w:sz w:val="24"/>
          <w:szCs w:val="24"/>
        </w:rPr>
      </w:pPr>
      <w:r>
        <w:rPr>
          <w:rFonts w:hint="eastAsia"/>
          <w:sz w:val="24"/>
          <w:szCs w:val="24"/>
        </w:rPr>
        <w:t>质量形成于产品生产的过程。软件过程管理是我公司质量管理体系的有机组成部分，是先进、成熟，经过实践检验的软件开发过程体系。</w:t>
      </w:r>
    </w:p>
    <w:p>
      <w:pPr>
        <w:spacing w:line="360" w:lineRule="auto"/>
        <w:ind w:firstLine="480" w:firstLineChars="200"/>
        <w:rPr>
          <w:sz w:val="24"/>
          <w:szCs w:val="24"/>
        </w:rPr>
      </w:pPr>
      <w:r>
        <w:rPr>
          <w:rFonts w:hint="eastAsia"/>
          <w:sz w:val="24"/>
          <w:szCs w:val="24"/>
        </w:rPr>
        <w:t>人是过程执行的主体。针对本项目，我公司将倾尽全力，配置优势资源，组织既有大型信息化工程经验，又熟悉税务业务需求、了解系统现状的，业务、技术结构合理，资源丰富的实施团队。</w:t>
      </w:r>
    </w:p>
    <w:p>
      <w:pPr>
        <w:spacing w:line="360" w:lineRule="auto"/>
        <w:ind w:firstLine="480" w:firstLineChars="200"/>
        <w:rPr>
          <w:sz w:val="24"/>
          <w:szCs w:val="24"/>
        </w:rPr>
      </w:pPr>
      <w:r>
        <w:rPr>
          <w:rFonts w:hint="eastAsia"/>
          <w:sz w:val="24"/>
          <w:szCs w:val="24"/>
        </w:rPr>
        <w:t>技术是保障过程质量的重要手段。除了一些软件工程过程管理技术之外，测试技术对软件产品质量提升至关重要。我公司实施了的</w:t>
      </w:r>
      <w:r>
        <w:rPr>
          <w:rFonts w:hint="eastAsia"/>
          <w:sz w:val="24"/>
          <w:szCs w:val="24"/>
          <w:lang w:eastAsia="zh-CN"/>
        </w:rPr>
        <w:t>xx交通</w:t>
      </w:r>
      <w:r>
        <w:rPr>
          <w:rFonts w:hint="eastAsia"/>
          <w:sz w:val="24"/>
          <w:szCs w:val="24"/>
        </w:rPr>
        <w:t>增值税发票管理系统，系统进行了全方位的充分测试，积累了大量宝贵经验，能够保障我公司在短时间内完成</w:t>
      </w:r>
      <w:r>
        <w:rPr>
          <w:rFonts w:hint="eastAsia"/>
          <w:sz w:val="24"/>
          <w:szCs w:val="24"/>
          <w:lang w:eastAsia="zh-CN"/>
        </w:rPr>
        <w:t>xx交通</w:t>
      </w:r>
      <w:r>
        <w:rPr>
          <w:rFonts w:hint="eastAsia"/>
          <w:sz w:val="24"/>
          <w:szCs w:val="24"/>
        </w:rPr>
        <w:t>增值税发票管理系统的开发和测试质量。</w:t>
      </w:r>
    </w:p>
    <w:p>
      <w:pPr>
        <w:spacing w:line="360" w:lineRule="auto"/>
        <w:ind w:firstLine="480" w:firstLineChars="200"/>
        <w:rPr>
          <w:sz w:val="24"/>
          <w:szCs w:val="24"/>
        </w:rPr>
      </w:pPr>
      <w:r>
        <w:rPr>
          <w:rFonts w:hint="eastAsia"/>
          <w:sz w:val="24"/>
          <w:szCs w:val="24"/>
        </w:rPr>
        <w:t>三、软件产品质量和软件生命周期</w:t>
      </w:r>
    </w:p>
    <w:p>
      <w:pPr>
        <w:spacing w:line="360" w:lineRule="auto"/>
        <w:ind w:firstLine="480" w:firstLineChars="200"/>
        <w:rPr>
          <w:sz w:val="24"/>
          <w:szCs w:val="24"/>
        </w:rPr>
      </w:pPr>
      <w:r>
        <w:rPr>
          <w:rFonts w:hint="eastAsia"/>
          <w:sz w:val="24"/>
          <w:szCs w:val="24"/>
        </w:rPr>
        <w:t>对软件内部质量、外部质量和使用质量的关注，在软件生命周期中是变化的，不同阶段有不同的关注点，而相互之间又紧密相连。</w:t>
      </w:r>
    </w:p>
    <w:p>
      <w:pPr>
        <w:spacing w:line="360" w:lineRule="auto"/>
        <w:ind w:firstLine="480" w:firstLineChars="200"/>
        <w:rPr>
          <w:sz w:val="24"/>
          <w:szCs w:val="24"/>
        </w:rPr>
      </w:pPr>
      <w:r>
        <w:rPr>
          <w:rFonts w:hint="eastAsia"/>
          <w:sz w:val="24"/>
          <w:szCs w:val="24"/>
        </w:rPr>
        <w:t>四、软件产品质量模型</w:t>
      </w:r>
    </w:p>
    <w:p>
      <w:pPr>
        <w:spacing w:line="360" w:lineRule="auto"/>
        <w:ind w:firstLine="480" w:firstLineChars="200"/>
        <w:rPr>
          <w:sz w:val="24"/>
          <w:szCs w:val="24"/>
        </w:rPr>
      </w:pPr>
      <w:r>
        <w:rPr>
          <w:rFonts w:hint="eastAsia"/>
          <w:sz w:val="24"/>
          <w:szCs w:val="24"/>
        </w:rPr>
        <w:t>（一）外部和内部质量模型</w:t>
      </w:r>
    </w:p>
    <w:p>
      <w:pPr>
        <w:spacing w:line="360" w:lineRule="auto"/>
      </w:pPr>
      <w:r>
        <w:drawing>
          <wp:inline distT="0" distB="0" distL="0" distR="0">
            <wp:extent cx="4838700" cy="2720340"/>
            <wp:effectExtent l="0" t="0" r="0" b="3810"/>
            <wp:docPr id="4392" name="图片 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 name="图片 439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4838700" cy="2720340"/>
                    </a:xfrm>
                    <a:prstGeom prst="rect">
                      <a:avLst/>
                    </a:prstGeom>
                    <a:noFill/>
                    <a:ln>
                      <a:noFill/>
                    </a:ln>
                  </pic:spPr>
                </pic:pic>
              </a:graphicData>
            </a:graphic>
          </wp:inline>
        </w:drawing>
      </w:r>
    </w:p>
    <w:p>
      <w:pPr>
        <w:spacing w:line="360" w:lineRule="auto"/>
        <w:jc w:val="center"/>
      </w:pPr>
      <w:r>
        <w:rPr>
          <w:rFonts w:hint="eastAsia"/>
        </w:rPr>
        <w:t>内外部质量模型</w:t>
      </w:r>
    </w:p>
    <w:p>
      <w:pPr>
        <w:spacing w:line="360" w:lineRule="auto"/>
      </w:pPr>
      <w:r>
        <w:br w:type="page"/>
      </w:r>
    </w:p>
    <w:p>
      <w:pPr>
        <w:spacing w:line="360" w:lineRule="auto"/>
      </w:pPr>
    </w:p>
    <w:p>
      <w:pPr>
        <w:spacing w:line="360" w:lineRule="auto"/>
      </w:pPr>
      <w:r>
        <w:rPr>
          <w:rFonts w:hint="eastAsia"/>
        </w:rPr>
        <w:t>（二）使用质量模型</w:t>
      </w:r>
    </w:p>
    <w:p>
      <w:pPr>
        <w:spacing w:line="360" w:lineRule="auto"/>
        <w:rPr>
          <w:lang w:val="zh-CN" w:eastAsia="zh-CN"/>
        </w:rPr>
      </w:pPr>
      <w:r>
        <w:drawing>
          <wp:inline distT="0" distB="0" distL="0" distR="0">
            <wp:extent cx="4495800" cy="1737360"/>
            <wp:effectExtent l="0" t="0" r="0" b="0"/>
            <wp:docPr id="4393" name="图片 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 name="图片 439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4495800" cy="1737360"/>
                    </a:xfrm>
                    <a:prstGeom prst="rect">
                      <a:avLst/>
                    </a:prstGeom>
                    <a:noFill/>
                    <a:ln>
                      <a:noFill/>
                    </a:ln>
                  </pic:spPr>
                </pic:pic>
              </a:graphicData>
            </a:graphic>
          </wp:inline>
        </w:drawing>
      </w:r>
    </w:p>
    <w:p>
      <w:pPr>
        <w:spacing w:line="360" w:lineRule="auto"/>
        <w:jc w:val="center"/>
      </w:pPr>
      <w:r>
        <w:rPr>
          <w:rFonts w:hint="eastAsia"/>
        </w:rPr>
        <w:t>使用质量模型</w:t>
      </w:r>
    </w:p>
    <w:p>
      <w:pPr>
        <w:spacing w:line="360" w:lineRule="auto"/>
        <w:rPr>
          <w:sz w:val="24"/>
          <w:szCs w:val="24"/>
        </w:rPr>
      </w:pPr>
      <w:r>
        <w:rPr>
          <w:rFonts w:hint="eastAsia"/>
          <w:sz w:val="24"/>
          <w:szCs w:val="24"/>
        </w:rPr>
        <w:t>五、软件质量评价</w:t>
      </w:r>
    </w:p>
    <w:p>
      <w:pPr>
        <w:spacing w:line="360" w:lineRule="auto"/>
        <w:rPr>
          <w:sz w:val="24"/>
          <w:szCs w:val="24"/>
        </w:rPr>
      </w:pPr>
      <w:r>
        <w:rPr>
          <w:rFonts w:hint="eastAsia"/>
          <w:sz w:val="24"/>
          <w:szCs w:val="24"/>
        </w:rPr>
        <w:t>（一）软件质量评价的角度</w:t>
      </w:r>
    </w:p>
    <w:p>
      <w:pPr>
        <w:spacing w:line="360" w:lineRule="auto"/>
      </w:pPr>
      <w:r>
        <w:object>
          <v:shape id="_x0000_i1032" o:spt="75" type="#_x0000_t75" style="height:277.5pt;width:392.25pt;" o:ole="t" filled="f" o:preferrelative="t" stroked="f" coordsize="21600,21600">
            <v:path/>
            <v:fill on="f" focussize="0,0"/>
            <v:stroke on="f" joinstyle="miter"/>
            <v:imagedata r:id="rId54" o:title=""/>
            <o:lock v:ext="edit" aspectratio="t"/>
            <w10:wrap type="none"/>
            <w10:anchorlock/>
          </v:shape>
          <o:OLEObject Type="Embed" ProgID="Visio.Drawing.11" ShapeID="_x0000_i1032" DrawAspect="Content" ObjectID="_1468075732" r:id="rId53">
            <o:LockedField>false</o:LockedField>
          </o:OLEObject>
        </w:object>
      </w:r>
    </w:p>
    <w:p>
      <w:pPr>
        <w:spacing w:line="360" w:lineRule="auto"/>
        <w:ind w:firstLine="480" w:firstLineChars="200"/>
        <w:rPr>
          <w:sz w:val="24"/>
          <w:szCs w:val="24"/>
        </w:rPr>
      </w:pPr>
      <w:r>
        <w:rPr>
          <w:rFonts w:hint="eastAsia"/>
          <w:sz w:val="24"/>
          <w:szCs w:val="24"/>
        </w:rPr>
        <w:t>软件质量评价与项目质量评价最大的区别在于需要多方角色从多个角度参与质量评价的过程。在以软件产品本身质量为主线加以关注评估的基础上，还需要从使用和过程两个维度加以评价，共同保证软件质量评价的科学性、全面性。</w:t>
      </w:r>
    </w:p>
    <w:p>
      <w:pPr>
        <w:spacing w:line="360" w:lineRule="auto"/>
        <w:ind w:firstLine="480" w:firstLineChars="200"/>
        <w:rPr>
          <w:sz w:val="24"/>
          <w:szCs w:val="24"/>
        </w:rPr>
      </w:pPr>
      <w:r>
        <w:rPr>
          <w:rFonts w:hint="eastAsia"/>
          <w:sz w:val="24"/>
          <w:szCs w:val="24"/>
        </w:rPr>
        <w:t>（二）软件质量评价的过程</w:t>
      </w:r>
    </w:p>
    <w:p>
      <w:pPr>
        <w:spacing w:line="360" w:lineRule="auto"/>
        <w:ind w:firstLine="480" w:firstLineChars="200"/>
        <w:rPr>
          <w:sz w:val="24"/>
          <w:szCs w:val="24"/>
        </w:rPr>
      </w:pPr>
      <w:r>
        <w:rPr>
          <w:rFonts w:hint="eastAsia"/>
          <w:sz w:val="24"/>
          <w:szCs w:val="24"/>
        </w:rPr>
        <w:t>软件质量评价的过程包括：确立评价需求、评价规格说明、评价设计、评价执行、评价结论，共五个步骤。如下图所示：</w:t>
      </w:r>
    </w:p>
    <w:p>
      <w:pPr>
        <w:spacing w:line="360" w:lineRule="auto"/>
      </w:pPr>
      <w:r>
        <w:drawing>
          <wp:inline distT="0" distB="0" distL="0" distR="0">
            <wp:extent cx="5265420" cy="2910840"/>
            <wp:effectExtent l="0" t="0" r="0" b="3810"/>
            <wp:docPr id="4394" name="图片 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 name="图片 439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265420" cy="2910840"/>
                    </a:xfrm>
                    <a:prstGeom prst="rect">
                      <a:avLst/>
                    </a:prstGeom>
                    <a:noFill/>
                    <a:ln>
                      <a:noFill/>
                    </a:ln>
                  </pic:spPr>
                </pic:pic>
              </a:graphicData>
            </a:graphic>
          </wp:inline>
        </w:drawing>
      </w:r>
    </w:p>
    <w:p>
      <w:pPr>
        <w:spacing w:line="360" w:lineRule="auto"/>
        <w:jc w:val="center"/>
      </w:pPr>
      <w:r>
        <w:rPr>
          <w:rFonts w:hint="eastAsia"/>
        </w:rPr>
        <w:t>软件质量评价过程</w:t>
      </w:r>
    </w:p>
    <w:p>
      <w:pPr>
        <w:spacing w:line="360" w:lineRule="auto"/>
        <w:ind w:firstLine="480" w:firstLineChars="200"/>
        <w:rPr>
          <w:sz w:val="24"/>
          <w:szCs w:val="24"/>
        </w:rPr>
      </w:pPr>
      <w:r>
        <w:rPr>
          <w:rFonts w:hint="eastAsia"/>
          <w:sz w:val="24"/>
          <w:szCs w:val="24"/>
        </w:rPr>
        <w:t>（三）评价指标和级别</w:t>
      </w:r>
    </w:p>
    <w:p>
      <w:pPr>
        <w:spacing w:line="360" w:lineRule="auto"/>
        <w:ind w:firstLine="480" w:firstLineChars="200"/>
        <w:rPr>
          <w:sz w:val="24"/>
          <w:szCs w:val="24"/>
        </w:rPr>
      </w:pPr>
      <w:r>
        <w:rPr>
          <w:rFonts w:hint="eastAsia"/>
          <w:sz w:val="24"/>
          <w:szCs w:val="24"/>
        </w:rPr>
        <w:t>依据软件产品质量模型，软件产品质量评价的指标和级别示意如下：</w:t>
      </w:r>
    </w:p>
    <w:tbl>
      <w:tblPr>
        <w:tblStyle w:val="34"/>
        <w:tblW w:w="8360" w:type="dxa"/>
        <w:tblInd w:w="98" w:type="dxa"/>
        <w:tblLayout w:type="fixed"/>
        <w:tblCellMar>
          <w:top w:w="0" w:type="dxa"/>
          <w:left w:w="108" w:type="dxa"/>
          <w:bottom w:w="0" w:type="dxa"/>
          <w:right w:w="108" w:type="dxa"/>
        </w:tblCellMar>
      </w:tblPr>
      <w:tblGrid>
        <w:gridCol w:w="1380"/>
        <w:gridCol w:w="1940"/>
        <w:gridCol w:w="1840"/>
        <w:gridCol w:w="1780"/>
        <w:gridCol w:w="1420"/>
      </w:tblGrid>
      <w:tr>
        <w:tblPrEx>
          <w:tblLayout w:type="fixed"/>
          <w:tblCellMar>
            <w:top w:w="0" w:type="dxa"/>
            <w:left w:w="108" w:type="dxa"/>
            <w:bottom w:w="0" w:type="dxa"/>
            <w:right w:w="108" w:type="dxa"/>
          </w:tblCellMar>
        </w:tblPrEx>
        <w:trPr>
          <w:trHeight w:val="285" w:hRule="atLeast"/>
        </w:trPr>
        <w:tc>
          <w:tcPr>
            <w:tcW w:w="1380" w:type="dxa"/>
            <w:tcBorders>
              <w:top w:val="single" w:color="auto" w:sz="8" w:space="0"/>
              <w:left w:val="single" w:color="auto" w:sz="8" w:space="0"/>
              <w:bottom w:val="single" w:color="auto" w:sz="4" w:space="0"/>
              <w:right w:val="single" w:color="auto" w:sz="4" w:space="0"/>
            </w:tcBorders>
            <w:shd w:val="clear" w:color="auto" w:fill="D9D9D9"/>
            <w:vAlign w:val="center"/>
          </w:tcPr>
          <w:p>
            <w:pPr>
              <w:spacing w:line="360" w:lineRule="auto"/>
            </w:pPr>
            <w:r>
              <w:rPr>
                <w:rFonts w:hint="eastAsia"/>
              </w:rPr>
              <w:t>　</w:t>
            </w:r>
          </w:p>
        </w:tc>
        <w:tc>
          <w:tcPr>
            <w:tcW w:w="1940" w:type="dxa"/>
            <w:tcBorders>
              <w:top w:val="single" w:color="auto" w:sz="8" w:space="0"/>
              <w:left w:val="nil"/>
              <w:bottom w:val="single" w:color="auto" w:sz="4" w:space="0"/>
              <w:right w:val="single" w:color="auto" w:sz="4" w:space="0"/>
            </w:tcBorders>
            <w:shd w:val="clear" w:color="auto" w:fill="D9D9D9"/>
            <w:vAlign w:val="center"/>
          </w:tcPr>
          <w:p>
            <w:pPr>
              <w:spacing w:line="360" w:lineRule="auto"/>
            </w:pPr>
            <w:r>
              <w:rPr>
                <w:rFonts w:hint="eastAsia"/>
              </w:rPr>
              <w:t>Level D</w:t>
            </w:r>
          </w:p>
        </w:tc>
        <w:tc>
          <w:tcPr>
            <w:tcW w:w="1840" w:type="dxa"/>
            <w:tcBorders>
              <w:top w:val="single" w:color="auto" w:sz="8" w:space="0"/>
              <w:left w:val="nil"/>
              <w:bottom w:val="single" w:color="auto" w:sz="4" w:space="0"/>
              <w:right w:val="single" w:color="auto" w:sz="4" w:space="0"/>
            </w:tcBorders>
            <w:shd w:val="clear" w:color="auto" w:fill="D9D9D9"/>
            <w:vAlign w:val="center"/>
          </w:tcPr>
          <w:p>
            <w:pPr>
              <w:spacing w:line="360" w:lineRule="auto"/>
            </w:pPr>
            <w:r>
              <w:rPr>
                <w:rFonts w:hint="eastAsia"/>
              </w:rPr>
              <w:t>Level C</w:t>
            </w:r>
          </w:p>
        </w:tc>
        <w:tc>
          <w:tcPr>
            <w:tcW w:w="1780" w:type="dxa"/>
            <w:tcBorders>
              <w:top w:val="single" w:color="auto" w:sz="8" w:space="0"/>
              <w:left w:val="nil"/>
              <w:bottom w:val="single" w:color="auto" w:sz="4" w:space="0"/>
              <w:right w:val="single" w:color="auto" w:sz="4" w:space="0"/>
            </w:tcBorders>
            <w:shd w:val="clear" w:color="auto" w:fill="D9D9D9"/>
            <w:vAlign w:val="center"/>
          </w:tcPr>
          <w:p>
            <w:pPr>
              <w:spacing w:line="360" w:lineRule="auto"/>
            </w:pPr>
            <w:r>
              <w:rPr>
                <w:rFonts w:hint="eastAsia"/>
              </w:rPr>
              <w:t>Level B</w:t>
            </w:r>
          </w:p>
        </w:tc>
        <w:tc>
          <w:tcPr>
            <w:tcW w:w="1420" w:type="dxa"/>
            <w:tcBorders>
              <w:top w:val="single" w:color="auto" w:sz="8" w:space="0"/>
              <w:left w:val="nil"/>
              <w:bottom w:val="single" w:color="auto" w:sz="4" w:space="0"/>
              <w:right w:val="single" w:color="auto" w:sz="8" w:space="0"/>
            </w:tcBorders>
            <w:shd w:val="clear" w:color="auto" w:fill="D9D9D9"/>
            <w:vAlign w:val="center"/>
          </w:tcPr>
          <w:p>
            <w:pPr>
              <w:spacing w:line="360" w:lineRule="auto"/>
            </w:pPr>
            <w:r>
              <w:rPr>
                <w:rFonts w:hint="eastAsia"/>
              </w:rPr>
              <w:t>Level A</w:t>
            </w:r>
          </w:p>
        </w:tc>
      </w:tr>
      <w:tr>
        <w:tblPrEx>
          <w:tblLayout w:type="fixed"/>
          <w:tblCellMar>
            <w:top w:w="0" w:type="dxa"/>
            <w:left w:w="108" w:type="dxa"/>
            <w:bottom w:w="0" w:type="dxa"/>
            <w:right w:w="108" w:type="dxa"/>
          </w:tblCellMar>
        </w:tblPrEx>
        <w:trPr>
          <w:trHeight w:val="570" w:hRule="atLeast"/>
        </w:trPr>
        <w:tc>
          <w:tcPr>
            <w:tcW w:w="1380" w:type="dxa"/>
            <w:tcBorders>
              <w:top w:val="nil"/>
              <w:left w:val="single" w:color="auto" w:sz="8" w:space="0"/>
              <w:bottom w:val="single" w:color="auto" w:sz="4" w:space="0"/>
              <w:right w:val="single" w:color="auto" w:sz="4" w:space="0"/>
            </w:tcBorders>
            <w:vAlign w:val="center"/>
          </w:tcPr>
          <w:p>
            <w:pPr>
              <w:spacing w:line="360" w:lineRule="auto"/>
            </w:pPr>
            <w:r>
              <w:rPr>
                <w:rFonts w:hint="eastAsia"/>
              </w:rPr>
              <w:t>功能性</w:t>
            </w:r>
          </w:p>
        </w:tc>
        <w:tc>
          <w:tcPr>
            <w:tcW w:w="1940" w:type="dxa"/>
            <w:tcBorders>
              <w:top w:val="nil"/>
              <w:left w:val="nil"/>
              <w:bottom w:val="single" w:color="auto" w:sz="4" w:space="0"/>
              <w:right w:val="single" w:color="auto" w:sz="4" w:space="0"/>
            </w:tcBorders>
            <w:vAlign w:val="center"/>
          </w:tcPr>
          <w:p>
            <w:pPr>
              <w:spacing w:line="360" w:lineRule="auto"/>
            </w:pPr>
            <w:r>
              <w:rPr>
                <w:rFonts w:hint="eastAsia"/>
              </w:rPr>
              <w:t>功能测试或黑盒测试</w:t>
            </w:r>
          </w:p>
        </w:tc>
        <w:tc>
          <w:tcPr>
            <w:tcW w:w="1840" w:type="dxa"/>
            <w:tcBorders>
              <w:top w:val="nil"/>
              <w:left w:val="nil"/>
              <w:bottom w:val="single" w:color="auto" w:sz="4" w:space="0"/>
              <w:right w:val="single" w:color="auto" w:sz="4" w:space="0"/>
            </w:tcBorders>
            <w:vAlign w:val="center"/>
          </w:tcPr>
          <w:p>
            <w:pPr>
              <w:spacing w:line="360" w:lineRule="auto"/>
            </w:pPr>
            <w:r>
              <w:rPr>
                <w:rFonts w:hint="eastAsia"/>
              </w:rPr>
              <w:t>开发文档评审</w:t>
            </w:r>
          </w:p>
        </w:tc>
        <w:tc>
          <w:tcPr>
            <w:tcW w:w="1780" w:type="dxa"/>
            <w:tcBorders>
              <w:top w:val="nil"/>
              <w:left w:val="nil"/>
              <w:bottom w:val="single" w:color="auto" w:sz="4" w:space="0"/>
              <w:right w:val="single" w:color="auto" w:sz="4" w:space="0"/>
            </w:tcBorders>
            <w:vAlign w:val="center"/>
          </w:tcPr>
          <w:p>
            <w:pPr>
              <w:spacing w:line="360" w:lineRule="auto"/>
            </w:pPr>
            <w:r>
              <w:rPr>
                <w:rFonts w:hint="eastAsia"/>
              </w:rPr>
              <w:t>测试覆盖准则进行单元测试</w:t>
            </w:r>
          </w:p>
        </w:tc>
        <w:tc>
          <w:tcPr>
            <w:tcW w:w="1420" w:type="dxa"/>
            <w:tcBorders>
              <w:top w:val="nil"/>
              <w:left w:val="nil"/>
              <w:bottom w:val="single" w:color="auto" w:sz="4" w:space="0"/>
              <w:right w:val="single" w:color="auto" w:sz="8" w:space="0"/>
            </w:tcBorders>
            <w:vAlign w:val="center"/>
          </w:tcPr>
          <w:p>
            <w:pPr>
              <w:spacing w:line="360" w:lineRule="auto"/>
            </w:pPr>
            <w:r>
              <w:rPr>
                <w:rFonts w:hint="eastAsia"/>
              </w:rPr>
              <w:t>形式化验正</w:t>
            </w:r>
          </w:p>
        </w:tc>
      </w:tr>
      <w:tr>
        <w:tblPrEx>
          <w:tblLayout w:type="fixed"/>
          <w:tblCellMar>
            <w:top w:w="0" w:type="dxa"/>
            <w:left w:w="108" w:type="dxa"/>
            <w:bottom w:w="0" w:type="dxa"/>
            <w:right w:w="108" w:type="dxa"/>
          </w:tblCellMar>
        </w:tblPrEx>
        <w:trPr>
          <w:trHeight w:val="855" w:hRule="atLeast"/>
        </w:trPr>
        <w:tc>
          <w:tcPr>
            <w:tcW w:w="1380" w:type="dxa"/>
            <w:tcBorders>
              <w:top w:val="nil"/>
              <w:left w:val="single" w:color="auto" w:sz="8" w:space="0"/>
              <w:bottom w:val="single" w:color="auto" w:sz="4" w:space="0"/>
              <w:right w:val="single" w:color="auto" w:sz="4" w:space="0"/>
            </w:tcBorders>
            <w:vAlign w:val="center"/>
          </w:tcPr>
          <w:p>
            <w:pPr>
              <w:spacing w:line="360" w:lineRule="auto"/>
            </w:pPr>
            <w:r>
              <w:rPr>
                <w:rFonts w:hint="eastAsia"/>
              </w:rPr>
              <w:t>可靠性</w:t>
            </w:r>
          </w:p>
        </w:tc>
        <w:tc>
          <w:tcPr>
            <w:tcW w:w="1940" w:type="dxa"/>
            <w:tcBorders>
              <w:top w:val="nil"/>
              <w:left w:val="nil"/>
              <w:bottom w:val="single" w:color="auto" w:sz="4" w:space="0"/>
              <w:right w:val="single" w:color="auto" w:sz="4" w:space="0"/>
            </w:tcBorders>
            <w:vAlign w:val="center"/>
          </w:tcPr>
          <w:p>
            <w:pPr>
              <w:spacing w:line="360" w:lineRule="auto"/>
            </w:pPr>
            <w:r>
              <w:rPr>
                <w:rFonts w:hint="eastAsia"/>
              </w:rPr>
              <w:t>具体的编程语言工具进行确认</w:t>
            </w:r>
          </w:p>
        </w:tc>
        <w:tc>
          <w:tcPr>
            <w:tcW w:w="1840" w:type="dxa"/>
            <w:tcBorders>
              <w:top w:val="nil"/>
              <w:left w:val="nil"/>
              <w:bottom w:val="single" w:color="auto" w:sz="4" w:space="0"/>
              <w:right w:val="single" w:color="auto" w:sz="4" w:space="0"/>
            </w:tcBorders>
            <w:vAlign w:val="center"/>
          </w:tcPr>
          <w:p>
            <w:pPr>
              <w:spacing w:line="360" w:lineRule="auto"/>
            </w:pPr>
            <w:r>
              <w:rPr>
                <w:rFonts w:hint="eastAsia"/>
              </w:rPr>
              <w:t>在软件设计和编码时进行容错分析</w:t>
            </w:r>
          </w:p>
        </w:tc>
        <w:tc>
          <w:tcPr>
            <w:tcW w:w="1780" w:type="dxa"/>
            <w:tcBorders>
              <w:top w:val="nil"/>
              <w:left w:val="nil"/>
              <w:bottom w:val="single" w:color="auto" w:sz="4" w:space="0"/>
              <w:right w:val="single" w:color="auto" w:sz="4" w:space="0"/>
            </w:tcBorders>
            <w:vAlign w:val="center"/>
          </w:tcPr>
          <w:p>
            <w:pPr>
              <w:spacing w:line="360" w:lineRule="auto"/>
            </w:pPr>
            <w:r>
              <w:rPr>
                <w:rFonts w:hint="eastAsia"/>
              </w:rPr>
              <w:t>可靠性增长建模</w:t>
            </w:r>
          </w:p>
        </w:tc>
        <w:tc>
          <w:tcPr>
            <w:tcW w:w="1420" w:type="dxa"/>
            <w:tcBorders>
              <w:top w:val="nil"/>
              <w:left w:val="nil"/>
              <w:bottom w:val="single" w:color="auto" w:sz="4" w:space="0"/>
              <w:right w:val="single" w:color="auto" w:sz="8" w:space="0"/>
            </w:tcBorders>
            <w:vAlign w:val="center"/>
          </w:tcPr>
          <w:p>
            <w:pPr>
              <w:spacing w:line="360" w:lineRule="auto"/>
            </w:pPr>
            <w:r>
              <w:rPr>
                <w:rFonts w:hint="eastAsia"/>
              </w:rPr>
              <w:t>形式化验正</w:t>
            </w:r>
          </w:p>
        </w:tc>
      </w:tr>
      <w:tr>
        <w:tblPrEx>
          <w:tblLayout w:type="fixed"/>
          <w:tblCellMar>
            <w:top w:w="0" w:type="dxa"/>
            <w:left w:w="108" w:type="dxa"/>
            <w:bottom w:w="0" w:type="dxa"/>
            <w:right w:w="108" w:type="dxa"/>
          </w:tblCellMar>
        </w:tblPrEx>
        <w:trPr>
          <w:trHeight w:val="570" w:hRule="atLeast"/>
        </w:trPr>
        <w:tc>
          <w:tcPr>
            <w:tcW w:w="1380" w:type="dxa"/>
            <w:tcBorders>
              <w:top w:val="nil"/>
              <w:left w:val="single" w:color="auto" w:sz="8" w:space="0"/>
              <w:bottom w:val="single" w:color="auto" w:sz="4" w:space="0"/>
              <w:right w:val="single" w:color="auto" w:sz="4" w:space="0"/>
            </w:tcBorders>
            <w:vAlign w:val="center"/>
          </w:tcPr>
          <w:p>
            <w:pPr>
              <w:spacing w:line="360" w:lineRule="auto"/>
            </w:pPr>
            <w:r>
              <w:rPr>
                <w:rFonts w:hint="eastAsia"/>
              </w:rPr>
              <w:t>易用性</w:t>
            </w:r>
          </w:p>
        </w:tc>
        <w:tc>
          <w:tcPr>
            <w:tcW w:w="1940" w:type="dxa"/>
            <w:tcBorders>
              <w:top w:val="nil"/>
              <w:left w:val="nil"/>
              <w:bottom w:val="single" w:color="auto" w:sz="4" w:space="0"/>
              <w:right w:val="single" w:color="auto" w:sz="4" w:space="0"/>
            </w:tcBorders>
            <w:vAlign w:val="center"/>
          </w:tcPr>
          <w:p>
            <w:pPr>
              <w:spacing w:line="360" w:lineRule="auto"/>
            </w:pPr>
            <w:r>
              <w:rPr>
                <w:rFonts w:hint="eastAsia"/>
              </w:rPr>
              <w:t>用户接口和文档评审</w:t>
            </w:r>
          </w:p>
        </w:tc>
        <w:tc>
          <w:tcPr>
            <w:tcW w:w="1840" w:type="dxa"/>
            <w:tcBorders>
              <w:top w:val="nil"/>
              <w:left w:val="nil"/>
              <w:bottom w:val="single" w:color="auto" w:sz="4" w:space="0"/>
              <w:right w:val="single" w:color="auto" w:sz="4" w:space="0"/>
            </w:tcBorders>
            <w:vAlign w:val="center"/>
          </w:tcPr>
          <w:p>
            <w:pPr>
              <w:spacing w:line="360" w:lineRule="auto"/>
            </w:pPr>
            <w:r>
              <w:rPr>
                <w:rFonts w:hint="eastAsia"/>
              </w:rPr>
              <w:t>确认与接口标准的符合性</w:t>
            </w:r>
          </w:p>
        </w:tc>
        <w:tc>
          <w:tcPr>
            <w:tcW w:w="1780" w:type="dxa"/>
            <w:tcBorders>
              <w:top w:val="nil"/>
              <w:left w:val="nil"/>
              <w:bottom w:val="single" w:color="auto" w:sz="4" w:space="0"/>
              <w:right w:val="single" w:color="auto" w:sz="4" w:space="0"/>
            </w:tcBorders>
            <w:vAlign w:val="center"/>
          </w:tcPr>
          <w:p>
            <w:pPr>
              <w:spacing w:line="360" w:lineRule="auto"/>
            </w:pPr>
            <w:r>
              <w:rPr>
                <w:rFonts w:hint="eastAsia"/>
              </w:rPr>
              <w:t>真实用户进行测试</w:t>
            </w:r>
          </w:p>
        </w:tc>
        <w:tc>
          <w:tcPr>
            <w:tcW w:w="1420" w:type="dxa"/>
            <w:tcBorders>
              <w:top w:val="nil"/>
              <w:left w:val="nil"/>
              <w:bottom w:val="single" w:color="auto" w:sz="4" w:space="0"/>
              <w:right w:val="single" w:color="auto" w:sz="8" w:space="0"/>
            </w:tcBorders>
            <w:vAlign w:val="center"/>
          </w:tcPr>
          <w:p>
            <w:pPr>
              <w:spacing w:line="360" w:lineRule="auto"/>
            </w:pPr>
            <w:r>
              <w:rPr>
                <w:rFonts w:hint="eastAsia"/>
              </w:rPr>
              <w:t>用户智能模型</w:t>
            </w:r>
          </w:p>
        </w:tc>
      </w:tr>
      <w:tr>
        <w:tblPrEx>
          <w:tblLayout w:type="fixed"/>
          <w:tblCellMar>
            <w:top w:w="0" w:type="dxa"/>
            <w:left w:w="108" w:type="dxa"/>
            <w:bottom w:w="0" w:type="dxa"/>
            <w:right w:w="108" w:type="dxa"/>
          </w:tblCellMar>
        </w:tblPrEx>
        <w:trPr>
          <w:trHeight w:val="570" w:hRule="atLeast"/>
        </w:trPr>
        <w:tc>
          <w:tcPr>
            <w:tcW w:w="1380" w:type="dxa"/>
            <w:tcBorders>
              <w:top w:val="nil"/>
              <w:left w:val="single" w:color="auto" w:sz="8" w:space="0"/>
              <w:bottom w:val="single" w:color="auto" w:sz="4" w:space="0"/>
              <w:right w:val="single" w:color="auto" w:sz="4" w:space="0"/>
            </w:tcBorders>
            <w:vAlign w:val="center"/>
          </w:tcPr>
          <w:p>
            <w:pPr>
              <w:spacing w:line="360" w:lineRule="auto"/>
            </w:pPr>
            <w:r>
              <w:rPr>
                <w:rFonts w:hint="eastAsia"/>
              </w:rPr>
              <w:t>效率</w:t>
            </w:r>
          </w:p>
        </w:tc>
        <w:tc>
          <w:tcPr>
            <w:tcW w:w="1940" w:type="dxa"/>
            <w:tcBorders>
              <w:top w:val="nil"/>
              <w:left w:val="nil"/>
              <w:bottom w:val="single" w:color="auto" w:sz="4" w:space="0"/>
              <w:right w:val="single" w:color="auto" w:sz="4" w:space="0"/>
            </w:tcBorders>
            <w:vAlign w:val="center"/>
          </w:tcPr>
          <w:p>
            <w:pPr>
              <w:spacing w:line="360" w:lineRule="auto"/>
            </w:pPr>
            <w:r>
              <w:rPr>
                <w:rFonts w:hint="eastAsia"/>
              </w:rPr>
              <w:t>执行时间度量</w:t>
            </w:r>
          </w:p>
        </w:tc>
        <w:tc>
          <w:tcPr>
            <w:tcW w:w="1840" w:type="dxa"/>
            <w:tcBorders>
              <w:top w:val="nil"/>
              <w:left w:val="nil"/>
              <w:bottom w:val="single" w:color="auto" w:sz="4" w:space="0"/>
              <w:right w:val="single" w:color="auto" w:sz="4" w:space="0"/>
            </w:tcBorders>
            <w:vAlign w:val="center"/>
          </w:tcPr>
          <w:p>
            <w:pPr>
              <w:spacing w:line="360" w:lineRule="auto"/>
            </w:pPr>
            <w:r>
              <w:rPr>
                <w:rFonts w:hint="eastAsia"/>
              </w:rPr>
              <w:t>基准测试</w:t>
            </w:r>
          </w:p>
        </w:tc>
        <w:tc>
          <w:tcPr>
            <w:tcW w:w="1780" w:type="dxa"/>
            <w:tcBorders>
              <w:top w:val="nil"/>
              <w:left w:val="nil"/>
              <w:bottom w:val="single" w:color="auto" w:sz="4" w:space="0"/>
              <w:right w:val="single" w:color="auto" w:sz="4" w:space="0"/>
            </w:tcBorders>
            <w:vAlign w:val="center"/>
          </w:tcPr>
          <w:p>
            <w:pPr>
              <w:spacing w:line="360" w:lineRule="auto"/>
            </w:pPr>
            <w:r>
              <w:rPr>
                <w:rFonts w:hint="eastAsia"/>
              </w:rPr>
              <w:t>分析设计以确定算法的复杂性</w:t>
            </w:r>
          </w:p>
        </w:tc>
        <w:tc>
          <w:tcPr>
            <w:tcW w:w="1420" w:type="dxa"/>
            <w:tcBorders>
              <w:top w:val="nil"/>
              <w:left w:val="nil"/>
              <w:bottom w:val="single" w:color="auto" w:sz="4" w:space="0"/>
              <w:right w:val="single" w:color="auto" w:sz="8" w:space="0"/>
            </w:tcBorders>
            <w:vAlign w:val="center"/>
          </w:tcPr>
          <w:p>
            <w:pPr>
              <w:spacing w:line="360" w:lineRule="auto"/>
            </w:pPr>
            <w:r>
              <w:rPr>
                <w:rFonts w:hint="eastAsia"/>
              </w:rPr>
              <w:t>性能检验分析</w:t>
            </w:r>
          </w:p>
        </w:tc>
      </w:tr>
      <w:tr>
        <w:tblPrEx>
          <w:tblLayout w:type="fixed"/>
          <w:tblCellMar>
            <w:top w:w="0" w:type="dxa"/>
            <w:left w:w="108" w:type="dxa"/>
            <w:bottom w:w="0" w:type="dxa"/>
            <w:right w:w="108" w:type="dxa"/>
          </w:tblCellMar>
        </w:tblPrEx>
        <w:trPr>
          <w:trHeight w:val="855" w:hRule="atLeast"/>
        </w:trPr>
        <w:tc>
          <w:tcPr>
            <w:tcW w:w="1380" w:type="dxa"/>
            <w:tcBorders>
              <w:top w:val="nil"/>
              <w:left w:val="single" w:color="auto" w:sz="8" w:space="0"/>
              <w:bottom w:val="single" w:color="auto" w:sz="4" w:space="0"/>
              <w:right w:val="single" w:color="auto" w:sz="4" w:space="0"/>
            </w:tcBorders>
            <w:vAlign w:val="center"/>
          </w:tcPr>
          <w:p>
            <w:pPr>
              <w:spacing w:line="360" w:lineRule="auto"/>
            </w:pPr>
            <w:r>
              <w:rPr>
                <w:rFonts w:hint="eastAsia"/>
              </w:rPr>
              <w:t>可维护性</w:t>
            </w:r>
          </w:p>
        </w:tc>
        <w:tc>
          <w:tcPr>
            <w:tcW w:w="1940" w:type="dxa"/>
            <w:tcBorders>
              <w:top w:val="nil"/>
              <w:left w:val="nil"/>
              <w:bottom w:val="single" w:color="auto" w:sz="4" w:space="0"/>
              <w:right w:val="single" w:color="auto" w:sz="4" w:space="0"/>
            </w:tcBorders>
            <w:vAlign w:val="center"/>
          </w:tcPr>
          <w:p>
            <w:pPr>
              <w:spacing w:line="360" w:lineRule="auto"/>
            </w:pPr>
            <w:r>
              <w:rPr>
                <w:rFonts w:hint="eastAsia"/>
              </w:rPr>
              <w:t>开发文档检查</w:t>
            </w:r>
          </w:p>
        </w:tc>
        <w:tc>
          <w:tcPr>
            <w:tcW w:w="1840" w:type="dxa"/>
            <w:tcBorders>
              <w:top w:val="nil"/>
              <w:left w:val="nil"/>
              <w:bottom w:val="single" w:color="auto" w:sz="4" w:space="0"/>
              <w:right w:val="single" w:color="auto" w:sz="4" w:space="0"/>
            </w:tcBorders>
            <w:vAlign w:val="center"/>
          </w:tcPr>
          <w:p>
            <w:pPr>
              <w:spacing w:line="360" w:lineRule="auto"/>
            </w:pPr>
            <w:r>
              <w:rPr>
                <w:rFonts w:hint="eastAsia"/>
              </w:rPr>
              <w:t>静态分析</w:t>
            </w:r>
          </w:p>
        </w:tc>
        <w:tc>
          <w:tcPr>
            <w:tcW w:w="1780" w:type="dxa"/>
            <w:tcBorders>
              <w:top w:val="nil"/>
              <w:left w:val="nil"/>
              <w:bottom w:val="single" w:color="auto" w:sz="4" w:space="0"/>
              <w:right w:val="single" w:color="auto" w:sz="4" w:space="0"/>
            </w:tcBorders>
            <w:vAlign w:val="center"/>
          </w:tcPr>
          <w:p>
            <w:pPr>
              <w:spacing w:line="360" w:lineRule="auto"/>
            </w:pPr>
            <w:r>
              <w:rPr>
                <w:rFonts w:hint="eastAsia"/>
              </w:rPr>
              <w:t>开发过程分析</w:t>
            </w:r>
          </w:p>
        </w:tc>
        <w:tc>
          <w:tcPr>
            <w:tcW w:w="1420" w:type="dxa"/>
            <w:tcBorders>
              <w:top w:val="nil"/>
              <w:left w:val="nil"/>
              <w:bottom w:val="single" w:color="auto" w:sz="4" w:space="0"/>
              <w:right w:val="single" w:color="auto" w:sz="8" w:space="0"/>
            </w:tcBorders>
            <w:vAlign w:val="center"/>
          </w:tcPr>
          <w:p>
            <w:pPr>
              <w:spacing w:line="360" w:lineRule="auto"/>
            </w:pPr>
            <w:r>
              <w:rPr>
                <w:rFonts w:hint="eastAsia"/>
              </w:rPr>
              <w:t>开发文档元素间可跟踪性分析</w:t>
            </w:r>
          </w:p>
        </w:tc>
      </w:tr>
      <w:tr>
        <w:tblPrEx>
          <w:tblLayout w:type="fixed"/>
          <w:tblCellMar>
            <w:top w:w="0" w:type="dxa"/>
            <w:left w:w="108" w:type="dxa"/>
            <w:bottom w:w="0" w:type="dxa"/>
            <w:right w:w="108" w:type="dxa"/>
          </w:tblCellMar>
        </w:tblPrEx>
        <w:trPr>
          <w:trHeight w:val="585" w:hRule="atLeast"/>
        </w:trPr>
        <w:tc>
          <w:tcPr>
            <w:tcW w:w="1380" w:type="dxa"/>
            <w:tcBorders>
              <w:top w:val="nil"/>
              <w:left w:val="single" w:color="auto" w:sz="8" w:space="0"/>
              <w:bottom w:val="single" w:color="auto" w:sz="8" w:space="0"/>
              <w:right w:val="single" w:color="auto" w:sz="4" w:space="0"/>
            </w:tcBorders>
            <w:vAlign w:val="center"/>
          </w:tcPr>
          <w:p>
            <w:pPr>
              <w:spacing w:line="360" w:lineRule="auto"/>
            </w:pPr>
            <w:r>
              <w:rPr>
                <w:rFonts w:hint="eastAsia"/>
              </w:rPr>
              <w:t>可移植性</w:t>
            </w:r>
          </w:p>
        </w:tc>
        <w:tc>
          <w:tcPr>
            <w:tcW w:w="1940" w:type="dxa"/>
            <w:tcBorders>
              <w:top w:val="nil"/>
              <w:left w:val="nil"/>
              <w:bottom w:val="single" w:color="auto" w:sz="8" w:space="0"/>
              <w:right w:val="single" w:color="auto" w:sz="4" w:space="0"/>
            </w:tcBorders>
            <w:vAlign w:val="center"/>
          </w:tcPr>
          <w:p>
            <w:pPr>
              <w:spacing w:line="360" w:lineRule="auto"/>
            </w:pPr>
            <w:r>
              <w:rPr>
                <w:rFonts w:hint="eastAsia"/>
              </w:rPr>
              <w:t>软件安装规程分析</w:t>
            </w:r>
          </w:p>
        </w:tc>
        <w:tc>
          <w:tcPr>
            <w:tcW w:w="1840" w:type="dxa"/>
            <w:tcBorders>
              <w:top w:val="nil"/>
              <w:left w:val="nil"/>
              <w:bottom w:val="single" w:color="auto" w:sz="8" w:space="0"/>
              <w:right w:val="single" w:color="auto" w:sz="4" w:space="0"/>
            </w:tcBorders>
            <w:vAlign w:val="center"/>
          </w:tcPr>
          <w:p>
            <w:pPr>
              <w:spacing w:line="360" w:lineRule="auto"/>
            </w:pPr>
            <w:r>
              <w:rPr>
                <w:rFonts w:hint="eastAsia"/>
              </w:rPr>
              <w:t>编程规范符合性分析</w:t>
            </w:r>
          </w:p>
        </w:tc>
        <w:tc>
          <w:tcPr>
            <w:tcW w:w="1780" w:type="dxa"/>
            <w:tcBorders>
              <w:top w:val="nil"/>
              <w:left w:val="nil"/>
              <w:bottom w:val="single" w:color="auto" w:sz="8" w:space="0"/>
              <w:right w:val="single" w:color="auto" w:sz="4" w:space="0"/>
            </w:tcBorders>
            <w:vAlign w:val="center"/>
          </w:tcPr>
          <w:p>
            <w:pPr>
              <w:spacing w:line="360" w:lineRule="auto"/>
            </w:pPr>
            <w:r>
              <w:rPr>
                <w:rFonts w:hint="eastAsia"/>
              </w:rPr>
              <w:t>环境约束评价</w:t>
            </w:r>
          </w:p>
        </w:tc>
        <w:tc>
          <w:tcPr>
            <w:tcW w:w="1420" w:type="dxa"/>
            <w:tcBorders>
              <w:top w:val="nil"/>
              <w:left w:val="nil"/>
              <w:bottom w:val="single" w:color="auto" w:sz="8" w:space="0"/>
              <w:right w:val="single" w:color="auto" w:sz="8" w:space="0"/>
            </w:tcBorders>
            <w:vAlign w:val="center"/>
          </w:tcPr>
          <w:p>
            <w:pPr>
              <w:spacing w:line="360" w:lineRule="auto"/>
            </w:pPr>
            <w:r>
              <w:rPr>
                <w:rFonts w:hint="eastAsia"/>
              </w:rPr>
              <w:t>软件程序设计评价</w:t>
            </w:r>
          </w:p>
        </w:tc>
      </w:tr>
    </w:tbl>
    <w:p>
      <w:pPr>
        <w:spacing w:line="360" w:lineRule="auto"/>
        <w:ind w:firstLine="420" w:firstLineChars="200"/>
      </w:pPr>
    </w:p>
    <w:p>
      <w:pPr>
        <w:spacing w:line="360" w:lineRule="auto"/>
        <w:ind w:firstLine="480" w:firstLineChars="200"/>
        <w:rPr>
          <w:sz w:val="24"/>
          <w:szCs w:val="24"/>
        </w:rPr>
      </w:pPr>
      <w:r>
        <w:rPr>
          <w:rFonts w:hint="eastAsia"/>
          <w:sz w:val="24"/>
          <w:szCs w:val="24"/>
        </w:rPr>
        <w:t>六、软件质量保证措施</w:t>
      </w:r>
    </w:p>
    <w:p>
      <w:pPr>
        <w:spacing w:line="360" w:lineRule="auto"/>
        <w:ind w:firstLine="480" w:firstLineChars="200"/>
      </w:pPr>
      <w:r>
        <w:rPr>
          <w:rFonts w:hint="eastAsia"/>
          <w:sz w:val="24"/>
          <w:szCs w:val="24"/>
        </w:rPr>
        <w:t>软件质量保证措施包括对项目资源的保障，对质量管理过程的保障和对产品质量的技术保障。</w:t>
      </w:r>
    </w:p>
    <w:p>
      <w:pPr>
        <w:spacing w:line="360" w:lineRule="auto"/>
        <w:ind w:firstLine="480" w:firstLineChars="200"/>
        <w:rPr>
          <w:sz w:val="24"/>
          <w:szCs w:val="24"/>
        </w:rPr>
      </w:pPr>
      <w:r>
        <w:rPr>
          <w:rFonts w:hint="eastAsia"/>
          <w:sz w:val="24"/>
          <w:szCs w:val="24"/>
        </w:rPr>
        <w:t>（一）对软件产品的测试</w:t>
      </w:r>
    </w:p>
    <w:p>
      <w:pPr>
        <w:spacing w:line="360" w:lineRule="auto"/>
        <w:ind w:firstLine="480" w:firstLineChars="200"/>
        <w:rPr>
          <w:sz w:val="24"/>
          <w:szCs w:val="24"/>
        </w:rPr>
      </w:pPr>
      <w:r>
        <w:rPr>
          <w:rFonts w:hint="eastAsia"/>
          <w:sz w:val="24"/>
          <w:szCs w:val="24"/>
        </w:rPr>
        <w:t>软件测试是对软件产品质量保证最重要的措施之一。测试是评价检查质量目标实现的重要手段，软件质量评价过程与测试活动的关系如下图所示：</w:t>
      </w:r>
    </w:p>
    <w:p>
      <w:pPr>
        <w:spacing w:line="360" w:lineRule="auto"/>
      </w:pPr>
      <w:r>
        <w:drawing>
          <wp:inline distT="0" distB="0" distL="0" distR="0">
            <wp:extent cx="4960620" cy="2705100"/>
            <wp:effectExtent l="0" t="0" r="0" b="0"/>
            <wp:docPr id="4395" name="图片 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 name="图片 439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4960620" cy="2705100"/>
                    </a:xfrm>
                    <a:prstGeom prst="rect">
                      <a:avLst/>
                    </a:prstGeom>
                    <a:noFill/>
                    <a:ln>
                      <a:noFill/>
                    </a:ln>
                  </pic:spPr>
                </pic:pic>
              </a:graphicData>
            </a:graphic>
          </wp:inline>
        </w:drawing>
      </w:r>
    </w:p>
    <w:p>
      <w:pPr>
        <w:spacing w:line="360" w:lineRule="auto"/>
        <w:jc w:val="center"/>
      </w:pPr>
      <w:r>
        <w:rPr>
          <w:rFonts w:hint="eastAsia"/>
        </w:rPr>
        <w:t>评价过程与测试的关系</w:t>
      </w:r>
    </w:p>
    <w:p>
      <w:pPr>
        <w:spacing w:line="360" w:lineRule="auto"/>
        <w:ind w:firstLine="480" w:firstLineChars="200"/>
        <w:rPr>
          <w:sz w:val="24"/>
          <w:szCs w:val="24"/>
        </w:rPr>
      </w:pPr>
      <w:r>
        <w:rPr>
          <w:rFonts w:hint="eastAsia"/>
          <w:sz w:val="24"/>
          <w:szCs w:val="24"/>
        </w:rPr>
        <w:t>（二）对软件产品生产过程的审计</w:t>
      </w:r>
    </w:p>
    <w:p>
      <w:pPr>
        <w:spacing w:line="360" w:lineRule="auto"/>
        <w:ind w:firstLine="480" w:firstLineChars="200"/>
        <w:rPr>
          <w:sz w:val="24"/>
          <w:szCs w:val="24"/>
        </w:rPr>
      </w:pPr>
      <w:r>
        <w:rPr>
          <w:rFonts w:hint="eastAsia"/>
          <w:sz w:val="24"/>
          <w:szCs w:val="24"/>
        </w:rPr>
        <w:t>项目质量经理将检查软件产品确实已经得到评审，确保评审报告的结论和问题已经得以解决。对软件生产过程进行审计，以过程审计报告的形式提供给相关管理者。</w:t>
      </w:r>
    </w:p>
    <w:p>
      <w:pPr>
        <w:spacing w:line="360" w:lineRule="auto"/>
        <w:ind w:firstLine="480" w:firstLineChars="200"/>
        <w:rPr>
          <w:sz w:val="24"/>
          <w:szCs w:val="24"/>
        </w:rPr>
      </w:pPr>
      <w:r>
        <w:rPr>
          <w:rFonts w:hint="eastAsia"/>
          <w:sz w:val="24"/>
          <w:szCs w:val="24"/>
        </w:rPr>
        <w:t>（</w:t>
      </w:r>
      <w:r>
        <w:rPr>
          <w:sz w:val="24"/>
          <w:szCs w:val="24"/>
        </w:rPr>
        <w:t>1</w:t>
      </w:r>
      <w:r>
        <w:rPr>
          <w:rFonts w:hint="eastAsia"/>
          <w:sz w:val="24"/>
          <w:szCs w:val="24"/>
        </w:rPr>
        <w:t>）审计项目计划和监控过程</w:t>
      </w:r>
    </w:p>
    <w:p>
      <w:pPr>
        <w:spacing w:line="360" w:lineRule="auto"/>
        <w:ind w:firstLine="480" w:firstLineChars="200"/>
        <w:rPr>
          <w:sz w:val="24"/>
          <w:szCs w:val="24"/>
        </w:rPr>
      </w:pPr>
      <w:r>
        <w:rPr>
          <w:rFonts w:hint="eastAsia"/>
          <w:sz w:val="24"/>
          <w:szCs w:val="24"/>
        </w:rPr>
        <w:t>项目计划和监控要求项目经理编制出各种软件开发、计算机软件配置项测试和系统测试、软件安装和软件交付的计划。对项目开发的文档，质量经理应当帮助项目标识出适当的指南，标准或数据项描述，并帮助项目对这些指南、标准、进行裁减，以满足项目的要求。</w:t>
      </w:r>
    </w:p>
    <w:p>
      <w:pPr>
        <w:spacing w:line="360" w:lineRule="auto"/>
        <w:ind w:firstLine="480" w:firstLineChars="200"/>
        <w:rPr>
          <w:sz w:val="24"/>
          <w:szCs w:val="24"/>
        </w:rPr>
      </w:pPr>
      <w:r>
        <w:rPr>
          <w:rFonts w:hint="eastAsia"/>
          <w:sz w:val="24"/>
          <w:szCs w:val="24"/>
        </w:rPr>
        <w:t>质量经理应当对项目执行的程序或项目计划中所描述的相关软件活动进行评价。为确保这些活动按照计划得到执行，质量经理应当对那些定义软件活动的过程进行审计。</w:t>
      </w:r>
    </w:p>
    <w:p>
      <w:pPr>
        <w:spacing w:line="360" w:lineRule="auto"/>
        <w:ind w:firstLine="480" w:firstLineChars="200"/>
        <w:rPr>
          <w:sz w:val="24"/>
          <w:szCs w:val="24"/>
        </w:rPr>
      </w:pPr>
      <w:r>
        <w:rPr>
          <w:rFonts w:hint="eastAsia"/>
          <w:sz w:val="24"/>
          <w:szCs w:val="24"/>
        </w:rPr>
        <w:t>（</w:t>
      </w:r>
      <w:r>
        <w:rPr>
          <w:sz w:val="24"/>
          <w:szCs w:val="24"/>
        </w:rPr>
        <w:t>2</w:t>
      </w:r>
      <w:r>
        <w:rPr>
          <w:rFonts w:hint="eastAsia"/>
          <w:sz w:val="24"/>
          <w:szCs w:val="24"/>
        </w:rPr>
        <w:t>）审计软件需求管理过程</w:t>
      </w:r>
    </w:p>
    <w:p>
      <w:pPr>
        <w:spacing w:line="360" w:lineRule="auto"/>
        <w:ind w:firstLine="480" w:firstLineChars="200"/>
        <w:rPr>
          <w:sz w:val="24"/>
          <w:szCs w:val="24"/>
        </w:rPr>
      </w:pPr>
      <w:r>
        <w:rPr>
          <w:rFonts w:hint="eastAsia"/>
          <w:sz w:val="24"/>
          <w:szCs w:val="24"/>
        </w:rPr>
        <w:t>软件需求分析的目的是规划出软件的需求基线，编制需求基线文档，并对需求基线进行管理；对软件需求的澄清、更正或变更请求做出应答；对各种请求的影响进行分析；修订软件需求规格书；并对软件需求分析和变更过程进行管理。</w:t>
      </w:r>
    </w:p>
    <w:p>
      <w:pPr>
        <w:spacing w:line="360" w:lineRule="auto"/>
        <w:ind w:firstLine="480" w:firstLineChars="200"/>
        <w:rPr>
          <w:sz w:val="24"/>
          <w:szCs w:val="24"/>
        </w:rPr>
      </w:pPr>
      <w:r>
        <w:rPr>
          <w:rFonts w:hint="eastAsia"/>
          <w:sz w:val="24"/>
          <w:szCs w:val="24"/>
        </w:rPr>
        <w:t>在软件需求分析过程中，质量经理应当完成以下工作：</w:t>
      </w:r>
    </w:p>
    <w:p>
      <w:pPr>
        <w:spacing w:line="360" w:lineRule="auto"/>
        <w:ind w:firstLine="480" w:firstLineChars="200"/>
        <w:rPr>
          <w:sz w:val="24"/>
          <w:szCs w:val="24"/>
        </w:rPr>
      </w:pPr>
      <w:r>
        <w:rPr>
          <w:sz w:val="24"/>
          <w:szCs w:val="24"/>
        </w:rPr>
        <w:t>a.</w:t>
      </w:r>
      <w:r>
        <w:rPr>
          <w:rFonts w:hint="eastAsia"/>
          <w:sz w:val="24"/>
          <w:szCs w:val="24"/>
        </w:rPr>
        <w:t>确保软件需求定义和分析过程，以及相关的需求评审，是按照相关的标准和项目指定的过程进行的；</w:t>
      </w:r>
    </w:p>
    <w:p>
      <w:pPr>
        <w:spacing w:line="360" w:lineRule="auto"/>
        <w:ind w:firstLine="480" w:firstLineChars="200"/>
        <w:rPr>
          <w:sz w:val="24"/>
          <w:szCs w:val="24"/>
        </w:rPr>
      </w:pPr>
      <w:r>
        <w:rPr>
          <w:sz w:val="24"/>
          <w:szCs w:val="24"/>
        </w:rPr>
        <w:t>b.</w:t>
      </w:r>
      <w:r>
        <w:rPr>
          <w:rFonts w:hint="eastAsia"/>
          <w:sz w:val="24"/>
          <w:szCs w:val="24"/>
        </w:rPr>
        <w:t>确保在软件需求分析评审发现的问题，按照相关的标准和过程予以解决；</w:t>
      </w:r>
    </w:p>
    <w:p>
      <w:pPr>
        <w:spacing w:line="360" w:lineRule="auto"/>
        <w:ind w:firstLine="480" w:firstLineChars="200"/>
        <w:rPr>
          <w:sz w:val="24"/>
          <w:szCs w:val="24"/>
        </w:rPr>
      </w:pPr>
      <w:r>
        <w:rPr>
          <w:sz w:val="24"/>
          <w:szCs w:val="24"/>
        </w:rPr>
        <w:t>c.</w:t>
      </w:r>
      <w:r>
        <w:rPr>
          <w:rFonts w:hint="eastAsia"/>
          <w:sz w:val="24"/>
          <w:szCs w:val="24"/>
        </w:rPr>
        <w:t>对需求分析过程审计并提交审计报告给项目经理。项目经理对审计中的不符合项进行改进。</w:t>
      </w:r>
    </w:p>
    <w:p>
      <w:pPr>
        <w:spacing w:line="360" w:lineRule="auto"/>
        <w:ind w:firstLine="480" w:firstLineChars="200"/>
        <w:rPr>
          <w:sz w:val="24"/>
          <w:szCs w:val="24"/>
        </w:rPr>
      </w:pPr>
      <w:r>
        <w:rPr>
          <w:rFonts w:hint="eastAsia"/>
          <w:sz w:val="24"/>
          <w:szCs w:val="24"/>
        </w:rPr>
        <w:t>（</w:t>
      </w:r>
      <w:r>
        <w:rPr>
          <w:sz w:val="24"/>
          <w:szCs w:val="24"/>
        </w:rPr>
        <w:t>3</w:t>
      </w:r>
      <w:r>
        <w:rPr>
          <w:rFonts w:hint="eastAsia"/>
          <w:sz w:val="24"/>
          <w:szCs w:val="24"/>
        </w:rPr>
        <w:t>）审计设计过程</w:t>
      </w:r>
    </w:p>
    <w:p>
      <w:pPr>
        <w:spacing w:line="360" w:lineRule="auto"/>
        <w:ind w:firstLine="480" w:firstLineChars="200"/>
        <w:rPr>
          <w:sz w:val="24"/>
          <w:szCs w:val="24"/>
        </w:rPr>
      </w:pPr>
      <w:r>
        <w:rPr>
          <w:rFonts w:hint="eastAsia"/>
          <w:sz w:val="24"/>
          <w:szCs w:val="24"/>
        </w:rPr>
        <w:t>设计活动确定软件的整个结构。根据前一阶段标识的软件需求，将软件分解成许多功能块，然后定义每一功能块的各个功能以及这些功能块之间的关系。</w:t>
      </w:r>
    </w:p>
    <w:p>
      <w:pPr>
        <w:spacing w:line="360" w:lineRule="auto"/>
        <w:ind w:firstLine="480" w:firstLineChars="200"/>
        <w:rPr>
          <w:sz w:val="24"/>
          <w:szCs w:val="24"/>
        </w:rPr>
      </w:pPr>
      <w:r>
        <w:rPr>
          <w:rFonts w:hint="eastAsia"/>
          <w:sz w:val="24"/>
          <w:szCs w:val="24"/>
        </w:rPr>
        <w:t>详细设计的目标是从逻辑上定义软件应当如何满足已分配的需求。详细设计应该详细到这样的程度，使得其他工程师，而不是原始设计者完成计算机编程。</w:t>
      </w:r>
    </w:p>
    <w:p>
      <w:pPr>
        <w:spacing w:line="360" w:lineRule="auto"/>
        <w:ind w:firstLine="480" w:firstLineChars="200"/>
        <w:rPr>
          <w:sz w:val="24"/>
          <w:szCs w:val="24"/>
        </w:rPr>
      </w:pPr>
      <w:r>
        <w:rPr>
          <w:rFonts w:hint="eastAsia"/>
          <w:sz w:val="24"/>
          <w:szCs w:val="24"/>
        </w:rPr>
        <w:t>在软件设计阶段，质量经理应当完成以下工作：</w:t>
      </w:r>
    </w:p>
    <w:p>
      <w:pPr>
        <w:spacing w:line="360" w:lineRule="auto"/>
        <w:ind w:firstLine="480" w:firstLineChars="200"/>
        <w:rPr>
          <w:sz w:val="24"/>
          <w:szCs w:val="24"/>
        </w:rPr>
      </w:pPr>
      <w:r>
        <w:rPr>
          <w:sz w:val="24"/>
          <w:szCs w:val="24"/>
        </w:rPr>
        <w:t>a.</w:t>
      </w:r>
      <w:r>
        <w:rPr>
          <w:rFonts w:hint="eastAsia"/>
          <w:sz w:val="24"/>
          <w:szCs w:val="24"/>
        </w:rPr>
        <w:t>确保软件设计过程，以及相关的设计评审，按照相关的标准和过程进行；</w:t>
      </w:r>
    </w:p>
    <w:p>
      <w:pPr>
        <w:spacing w:line="360" w:lineRule="auto"/>
        <w:ind w:firstLine="480" w:firstLineChars="200"/>
        <w:rPr>
          <w:sz w:val="24"/>
          <w:szCs w:val="24"/>
        </w:rPr>
      </w:pPr>
      <w:r>
        <w:rPr>
          <w:sz w:val="24"/>
          <w:szCs w:val="24"/>
        </w:rPr>
        <w:t>b.</w:t>
      </w:r>
      <w:r>
        <w:rPr>
          <w:rFonts w:hint="eastAsia"/>
          <w:sz w:val="24"/>
          <w:szCs w:val="24"/>
        </w:rPr>
        <w:t>确保软件设计评审，对评审发现的问题进行跟踪；</w:t>
      </w:r>
    </w:p>
    <w:p>
      <w:pPr>
        <w:spacing w:line="360" w:lineRule="auto"/>
        <w:ind w:firstLine="480" w:firstLineChars="200"/>
        <w:rPr>
          <w:sz w:val="24"/>
          <w:szCs w:val="24"/>
        </w:rPr>
      </w:pPr>
      <w:r>
        <w:rPr>
          <w:sz w:val="24"/>
          <w:szCs w:val="24"/>
        </w:rPr>
        <w:t>c.</w:t>
      </w:r>
      <w:r>
        <w:rPr>
          <w:rFonts w:hint="eastAsia"/>
          <w:sz w:val="24"/>
          <w:szCs w:val="24"/>
        </w:rPr>
        <w:t>质量经理对软件设计过程进行审计，并提交审计报告给项目经理。项目经理对审计中的不符合项进行改进。</w:t>
      </w:r>
    </w:p>
    <w:p>
      <w:pPr>
        <w:spacing w:line="360" w:lineRule="auto"/>
        <w:ind w:firstLine="480" w:firstLineChars="200"/>
        <w:rPr>
          <w:sz w:val="24"/>
          <w:szCs w:val="24"/>
        </w:rPr>
      </w:pPr>
      <w:r>
        <w:rPr>
          <w:rFonts w:hint="eastAsia"/>
          <w:sz w:val="24"/>
          <w:szCs w:val="24"/>
        </w:rPr>
        <w:t>（</w:t>
      </w:r>
      <w:r>
        <w:rPr>
          <w:sz w:val="24"/>
          <w:szCs w:val="24"/>
        </w:rPr>
        <w:t>4</w:t>
      </w:r>
      <w:r>
        <w:rPr>
          <w:rFonts w:hint="eastAsia"/>
          <w:sz w:val="24"/>
          <w:szCs w:val="24"/>
        </w:rPr>
        <w:t>）审计软件实现和单元测试过程</w:t>
      </w:r>
    </w:p>
    <w:p>
      <w:pPr>
        <w:spacing w:line="360" w:lineRule="auto"/>
        <w:ind w:firstLine="480" w:firstLineChars="200"/>
        <w:rPr>
          <w:sz w:val="24"/>
          <w:szCs w:val="24"/>
        </w:rPr>
      </w:pPr>
      <w:r>
        <w:rPr>
          <w:rFonts w:hint="eastAsia"/>
          <w:sz w:val="24"/>
          <w:szCs w:val="24"/>
        </w:rPr>
        <w:t>软件实现或编码指的是在软件开发周期中实施软件设计的软件过程点。这个过程也包括软件代码的单元测试。</w:t>
      </w:r>
    </w:p>
    <w:p>
      <w:pPr>
        <w:spacing w:line="360" w:lineRule="auto"/>
        <w:ind w:firstLine="480" w:firstLineChars="200"/>
        <w:rPr>
          <w:sz w:val="24"/>
          <w:szCs w:val="24"/>
        </w:rPr>
      </w:pPr>
      <w:r>
        <w:rPr>
          <w:rFonts w:hint="eastAsia"/>
          <w:sz w:val="24"/>
          <w:szCs w:val="24"/>
        </w:rPr>
        <w:t>在编码和单元测试过程中，质量经理应当完成以下工作：</w:t>
      </w:r>
    </w:p>
    <w:p>
      <w:pPr>
        <w:spacing w:line="360" w:lineRule="auto"/>
        <w:ind w:firstLine="480" w:firstLineChars="200"/>
        <w:rPr>
          <w:sz w:val="24"/>
          <w:szCs w:val="24"/>
        </w:rPr>
      </w:pPr>
      <w:r>
        <w:rPr>
          <w:sz w:val="24"/>
          <w:szCs w:val="24"/>
        </w:rPr>
        <w:t>a.</w:t>
      </w:r>
      <w:r>
        <w:rPr>
          <w:rFonts w:hint="eastAsia"/>
          <w:sz w:val="24"/>
          <w:szCs w:val="24"/>
        </w:rPr>
        <w:t>确保项目贯彻实施《软件实现》程序文件，相关的代码评审，以及软件单元测试时，完全与项目指定的和项目的软件开发计划中描述的标准和过程一致；</w:t>
      </w:r>
    </w:p>
    <w:p>
      <w:pPr>
        <w:spacing w:line="360" w:lineRule="auto"/>
        <w:ind w:firstLine="480" w:firstLineChars="200"/>
        <w:rPr>
          <w:sz w:val="24"/>
          <w:szCs w:val="24"/>
        </w:rPr>
      </w:pPr>
      <w:r>
        <w:rPr>
          <w:sz w:val="24"/>
          <w:szCs w:val="24"/>
        </w:rPr>
        <w:t>b.</w:t>
      </w:r>
      <w:r>
        <w:rPr>
          <w:rFonts w:hint="eastAsia"/>
          <w:sz w:val="24"/>
          <w:szCs w:val="24"/>
        </w:rPr>
        <w:t>对过程文档进行跟踪；</w:t>
      </w:r>
    </w:p>
    <w:p>
      <w:pPr>
        <w:spacing w:line="360" w:lineRule="auto"/>
        <w:ind w:firstLine="480" w:firstLineChars="200"/>
        <w:rPr>
          <w:sz w:val="24"/>
          <w:szCs w:val="24"/>
        </w:rPr>
      </w:pPr>
      <w:r>
        <w:rPr>
          <w:sz w:val="24"/>
          <w:szCs w:val="24"/>
        </w:rPr>
        <w:t>c.</w:t>
      </w:r>
      <w:r>
        <w:rPr>
          <w:rFonts w:hint="eastAsia"/>
          <w:sz w:val="24"/>
          <w:szCs w:val="24"/>
        </w:rPr>
        <w:t>质量经理对编码与单元测试过程审计，并提交审计报告给项目经理。项目经理对审计中的不符合项进行改进。</w:t>
      </w:r>
    </w:p>
    <w:p>
      <w:pPr>
        <w:spacing w:line="360" w:lineRule="auto"/>
        <w:ind w:firstLine="480" w:firstLineChars="200"/>
        <w:rPr>
          <w:sz w:val="24"/>
          <w:szCs w:val="24"/>
        </w:rPr>
      </w:pPr>
      <w:r>
        <w:rPr>
          <w:rFonts w:hint="eastAsia"/>
          <w:sz w:val="24"/>
          <w:szCs w:val="24"/>
        </w:rPr>
        <w:t>（</w:t>
      </w:r>
      <w:r>
        <w:rPr>
          <w:sz w:val="24"/>
          <w:szCs w:val="24"/>
        </w:rPr>
        <w:t>5</w:t>
      </w:r>
      <w:r>
        <w:rPr>
          <w:rFonts w:hint="eastAsia"/>
          <w:sz w:val="24"/>
          <w:szCs w:val="24"/>
        </w:rPr>
        <w:t>）审计集成测试与系统测试过程</w:t>
      </w:r>
    </w:p>
    <w:p>
      <w:pPr>
        <w:spacing w:line="360" w:lineRule="auto"/>
        <w:ind w:firstLine="480" w:firstLineChars="200"/>
        <w:rPr>
          <w:sz w:val="24"/>
          <w:szCs w:val="24"/>
        </w:rPr>
      </w:pPr>
      <w:r>
        <w:rPr>
          <w:rFonts w:hint="eastAsia"/>
          <w:sz w:val="24"/>
          <w:szCs w:val="24"/>
        </w:rPr>
        <w:t>在软件开发生命周期的集成测试阶段，测试的焦点已从单个软件组件的正确性转移到组件与组件之间接口的正确性操作，转移到整个系统的信息流，以及系统要求的满足程度。</w:t>
      </w:r>
    </w:p>
    <w:p>
      <w:pPr>
        <w:spacing w:line="360" w:lineRule="auto"/>
        <w:ind w:firstLine="480" w:firstLineChars="200"/>
        <w:rPr>
          <w:sz w:val="24"/>
          <w:szCs w:val="24"/>
        </w:rPr>
      </w:pPr>
      <w:r>
        <w:rPr>
          <w:rFonts w:hint="eastAsia"/>
          <w:sz w:val="24"/>
          <w:szCs w:val="24"/>
        </w:rPr>
        <w:t>在集成测试和系统测试阶段，质量经理应完成以下工作：</w:t>
      </w:r>
    </w:p>
    <w:p>
      <w:pPr>
        <w:spacing w:line="360" w:lineRule="auto"/>
        <w:ind w:firstLine="480" w:firstLineChars="200"/>
        <w:rPr>
          <w:sz w:val="24"/>
          <w:szCs w:val="24"/>
        </w:rPr>
      </w:pPr>
      <w:r>
        <w:rPr>
          <w:sz w:val="24"/>
          <w:szCs w:val="24"/>
        </w:rPr>
        <w:t>a.</w:t>
      </w:r>
      <w:r>
        <w:rPr>
          <w:rFonts w:hint="eastAsia"/>
          <w:sz w:val="24"/>
          <w:szCs w:val="24"/>
        </w:rPr>
        <w:t>确保软件测试活动已得到标识，测试环境已得到定义，并设计了测试策略。质量经理应当验证软件集成过程，软件集成测试活动和软件系统测试活动一直在按照项目计划、软件设计、测试计划以及规定的软件标准和过程得到贯彻执行；</w:t>
      </w:r>
    </w:p>
    <w:p>
      <w:pPr>
        <w:spacing w:line="360" w:lineRule="auto"/>
        <w:ind w:firstLine="480" w:firstLineChars="200"/>
        <w:rPr>
          <w:sz w:val="24"/>
          <w:szCs w:val="24"/>
        </w:rPr>
      </w:pPr>
      <w:r>
        <w:rPr>
          <w:sz w:val="24"/>
          <w:szCs w:val="24"/>
        </w:rPr>
        <w:t>b.</w:t>
      </w:r>
      <w:r>
        <w:rPr>
          <w:rFonts w:hint="eastAsia"/>
          <w:sz w:val="24"/>
          <w:szCs w:val="24"/>
        </w:rPr>
        <w:t>确保对每个执行软件集成测试或软件系统测试的代码的任何控制权改变，一直都是规定的软件标准和过程；</w:t>
      </w:r>
    </w:p>
    <w:p>
      <w:pPr>
        <w:spacing w:line="360" w:lineRule="auto"/>
        <w:ind w:firstLine="480" w:firstLineChars="200"/>
        <w:rPr>
          <w:sz w:val="24"/>
          <w:szCs w:val="24"/>
        </w:rPr>
      </w:pPr>
      <w:r>
        <w:rPr>
          <w:sz w:val="24"/>
          <w:szCs w:val="24"/>
        </w:rPr>
        <w:t>c.</w:t>
      </w:r>
      <w:r>
        <w:rPr>
          <w:rFonts w:hint="eastAsia"/>
          <w:sz w:val="24"/>
          <w:szCs w:val="24"/>
        </w:rPr>
        <w:t>质量经理应确保集成测试与系统测试按照软件测试程序文件进行；</w:t>
      </w:r>
    </w:p>
    <w:p>
      <w:pPr>
        <w:spacing w:line="360" w:lineRule="auto"/>
        <w:ind w:firstLine="480" w:firstLineChars="200"/>
        <w:rPr>
          <w:sz w:val="24"/>
          <w:szCs w:val="24"/>
        </w:rPr>
      </w:pPr>
      <w:r>
        <w:rPr>
          <w:sz w:val="24"/>
          <w:szCs w:val="24"/>
        </w:rPr>
        <w:t>d.</w:t>
      </w:r>
      <w:r>
        <w:rPr>
          <w:rFonts w:hint="eastAsia"/>
          <w:sz w:val="24"/>
          <w:szCs w:val="24"/>
        </w:rPr>
        <w:t>软件集成测试、软件系统测试和更改活动过程的结果的基础上，对软件单元设计、代码、测试进行了修改；</w:t>
      </w:r>
    </w:p>
    <w:p>
      <w:pPr>
        <w:spacing w:line="360" w:lineRule="auto"/>
        <w:ind w:firstLine="480" w:firstLineChars="200"/>
        <w:rPr>
          <w:sz w:val="24"/>
          <w:szCs w:val="24"/>
        </w:rPr>
      </w:pPr>
      <w:r>
        <w:rPr>
          <w:sz w:val="24"/>
          <w:szCs w:val="24"/>
        </w:rPr>
        <w:t>e.</w:t>
      </w:r>
      <w:r>
        <w:rPr>
          <w:rFonts w:hint="eastAsia"/>
          <w:sz w:val="24"/>
          <w:szCs w:val="24"/>
        </w:rPr>
        <w:t>确保软件系统测试生成的测试结果，可以用来判断确定软件的性能参数；</w:t>
      </w:r>
    </w:p>
    <w:p>
      <w:pPr>
        <w:spacing w:line="360" w:lineRule="auto"/>
        <w:ind w:firstLine="480" w:firstLineChars="200"/>
        <w:rPr>
          <w:sz w:val="24"/>
          <w:szCs w:val="24"/>
        </w:rPr>
      </w:pPr>
      <w:r>
        <w:rPr>
          <w:sz w:val="24"/>
          <w:szCs w:val="24"/>
        </w:rPr>
        <w:t>f.</w:t>
      </w:r>
      <w:r>
        <w:rPr>
          <w:rFonts w:hint="eastAsia"/>
          <w:sz w:val="24"/>
          <w:szCs w:val="24"/>
        </w:rPr>
        <w:t>确保进行测试和报告测试结果的责任，已经分配给特定的组织单元；</w:t>
      </w:r>
    </w:p>
    <w:p>
      <w:pPr>
        <w:spacing w:line="360" w:lineRule="auto"/>
        <w:ind w:firstLine="480" w:firstLineChars="200"/>
        <w:rPr>
          <w:sz w:val="24"/>
          <w:szCs w:val="24"/>
        </w:rPr>
      </w:pPr>
      <w:r>
        <w:rPr>
          <w:sz w:val="24"/>
          <w:szCs w:val="24"/>
        </w:rPr>
        <w:t>g.</w:t>
      </w:r>
      <w:r>
        <w:rPr>
          <w:rFonts w:hint="eastAsia"/>
          <w:sz w:val="24"/>
          <w:szCs w:val="24"/>
        </w:rPr>
        <w:t>对软件测试计划和软件测试描述与需求和标准的符合性进行评审；</w:t>
      </w:r>
    </w:p>
    <w:p>
      <w:pPr>
        <w:spacing w:line="360" w:lineRule="auto"/>
        <w:ind w:firstLine="480" w:firstLineChars="200"/>
        <w:rPr>
          <w:sz w:val="24"/>
          <w:szCs w:val="24"/>
        </w:rPr>
      </w:pPr>
      <w:r>
        <w:rPr>
          <w:sz w:val="24"/>
          <w:szCs w:val="24"/>
        </w:rPr>
        <w:t>h.</w:t>
      </w:r>
      <w:r>
        <w:rPr>
          <w:rFonts w:hint="eastAsia"/>
          <w:sz w:val="24"/>
          <w:szCs w:val="24"/>
        </w:rPr>
        <w:t>确保软件得到测试；</w:t>
      </w:r>
    </w:p>
    <w:p>
      <w:pPr>
        <w:spacing w:line="360" w:lineRule="auto"/>
        <w:ind w:firstLine="480" w:firstLineChars="200"/>
        <w:rPr>
          <w:sz w:val="24"/>
          <w:szCs w:val="24"/>
        </w:rPr>
      </w:pPr>
      <w:r>
        <w:rPr>
          <w:sz w:val="24"/>
          <w:szCs w:val="24"/>
        </w:rPr>
        <w:t>i.</w:t>
      </w:r>
      <w:r>
        <w:rPr>
          <w:rFonts w:hint="eastAsia"/>
          <w:sz w:val="24"/>
          <w:szCs w:val="24"/>
        </w:rPr>
        <w:t>监控测试活动，提供测试过程证据，确认测试结果合格。</w:t>
      </w:r>
    </w:p>
    <w:p>
      <w:pPr>
        <w:spacing w:line="360" w:lineRule="auto"/>
        <w:ind w:firstLine="480" w:firstLineChars="200"/>
        <w:rPr>
          <w:sz w:val="24"/>
          <w:szCs w:val="24"/>
        </w:rPr>
      </w:pPr>
      <w:r>
        <w:rPr>
          <w:rFonts w:hint="eastAsia"/>
          <w:sz w:val="24"/>
          <w:szCs w:val="24"/>
        </w:rPr>
        <w:t>质量经理对集成测试与系统测试过程进行审计，提交审计报告给项目经理。项目经理对审计中的不符合项进行改进。</w:t>
      </w:r>
    </w:p>
    <w:p>
      <w:pPr>
        <w:spacing w:line="360" w:lineRule="auto"/>
        <w:ind w:firstLine="480" w:firstLineChars="200"/>
        <w:rPr>
          <w:sz w:val="24"/>
          <w:szCs w:val="24"/>
        </w:rPr>
      </w:pPr>
      <w:r>
        <w:rPr>
          <w:rFonts w:hint="eastAsia"/>
          <w:sz w:val="24"/>
          <w:szCs w:val="24"/>
        </w:rPr>
        <w:t>（</w:t>
      </w:r>
      <w:r>
        <w:rPr>
          <w:sz w:val="24"/>
          <w:szCs w:val="24"/>
        </w:rPr>
        <w:t>6</w:t>
      </w:r>
      <w:r>
        <w:rPr>
          <w:rFonts w:hint="eastAsia"/>
          <w:sz w:val="24"/>
          <w:szCs w:val="24"/>
        </w:rPr>
        <w:t>）审计验收交付物</w:t>
      </w:r>
    </w:p>
    <w:p>
      <w:pPr>
        <w:spacing w:line="360" w:lineRule="auto"/>
        <w:ind w:firstLine="480" w:firstLineChars="200"/>
        <w:rPr>
          <w:sz w:val="24"/>
          <w:szCs w:val="24"/>
        </w:rPr>
      </w:pPr>
      <w:r>
        <w:rPr>
          <w:rFonts w:hint="eastAsia"/>
          <w:sz w:val="24"/>
          <w:szCs w:val="24"/>
        </w:rPr>
        <w:t>质量经理应当对交付物的准备活动进行审计，以确保结束项产品的功能审计和物理审计的程序或项目需求一直都得到满足。在某种情况下，如果项目没有满足合同的要求或标准，则容许质量经理禁止某些项目的交付，例如文档、代码或系统。</w:t>
      </w:r>
    </w:p>
    <w:p>
      <w:pPr>
        <w:spacing w:line="360" w:lineRule="auto"/>
        <w:ind w:firstLine="480" w:firstLineChars="200"/>
        <w:rPr>
          <w:sz w:val="24"/>
          <w:szCs w:val="24"/>
        </w:rPr>
      </w:pPr>
      <w:r>
        <w:rPr>
          <w:rFonts w:hint="eastAsia"/>
          <w:sz w:val="24"/>
          <w:szCs w:val="24"/>
        </w:rPr>
        <w:t>质量经理对于交付物的审计，提交审计报告给项目经理。项目经理对审计中的不符合项进行改进。</w:t>
      </w:r>
    </w:p>
    <w:p>
      <w:pPr>
        <w:spacing w:line="360" w:lineRule="auto"/>
        <w:ind w:firstLine="480" w:firstLineChars="200"/>
        <w:rPr>
          <w:sz w:val="24"/>
          <w:szCs w:val="24"/>
        </w:rPr>
      </w:pPr>
      <w:r>
        <w:rPr>
          <w:rFonts w:hint="eastAsia"/>
          <w:sz w:val="24"/>
          <w:szCs w:val="24"/>
        </w:rPr>
        <w:t>（</w:t>
      </w:r>
      <w:r>
        <w:rPr>
          <w:sz w:val="24"/>
          <w:szCs w:val="24"/>
        </w:rPr>
        <w:t>7</w:t>
      </w:r>
      <w:r>
        <w:rPr>
          <w:rFonts w:hint="eastAsia"/>
          <w:sz w:val="24"/>
          <w:szCs w:val="24"/>
        </w:rPr>
        <w:t>）审计配置管理过程和变更活动</w:t>
      </w:r>
    </w:p>
    <w:p>
      <w:pPr>
        <w:spacing w:line="360" w:lineRule="auto"/>
        <w:ind w:firstLine="480" w:firstLineChars="200"/>
        <w:rPr>
          <w:sz w:val="24"/>
          <w:szCs w:val="24"/>
        </w:rPr>
      </w:pPr>
      <w:r>
        <w:rPr>
          <w:rFonts w:hint="eastAsia"/>
          <w:sz w:val="24"/>
          <w:szCs w:val="24"/>
        </w:rPr>
        <w:t>按照软件配置管理程序文件要求审计和审计配置管理过程和变更活动。</w:t>
      </w:r>
    </w:p>
    <w:p>
      <w:pPr>
        <w:spacing w:line="360" w:lineRule="auto"/>
        <w:ind w:firstLine="480" w:firstLineChars="200"/>
        <w:rPr>
          <w:sz w:val="24"/>
          <w:szCs w:val="24"/>
        </w:rPr>
      </w:pPr>
      <w:r>
        <w:rPr>
          <w:rFonts w:hint="eastAsia"/>
          <w:sz w:val="24"/>
          <w:szCs w:val="24"/>
        </w:rPr>
        <w:t>质量经理应当审计以下内容：</w:t>
      </w:r>
    </w:p>
    <w:p>
      <w:pPr>
        <w:spacing w:line="360" w:lineRule="auto"/>
        <w:ind w:firstLine="480" w:firstLineChars="200"/>
        <w:rPr>
          <w:sz w:val="24"/>
          <w:szCs w:val="24"/>
        </w:rPr>
      </w:pPr>
      <w:r>
        <w:rPr>
          <w:sz w:val="24"/>
          <w:szCs w:val="24"/>
        </w:rPr>
        <w:t>a.</w:t>
      </w:r>
      <w:r>
        <w:rPr>
          <w:rFonts w:hint="eastAsia"/>
          <w:sz w:val="24"/>
          <w:szCs w:val="24"/>
        </w:rPr>
        <w:t>确保已经为文档、代码和计算机数据的配置标识、制定了编写标题、命名、描述变更状态的标准；</w:t>
      </w:r>
    </w:p>
    <w:p>
      <w:pPr>
        <w:spacing w:line="360" w:lineRule="auto"/>
        <w:ind w:firstLine="480" w:firstLineChars="200"/>
        <w:rPr>
          <w:sz w:val="24"/>
          <w:szCs w:val="24"/>
        </w:rPr>
      </w:pPr>
      <w:r>
        <w:rPr>
          <w:sz w:val="24"/>
          <w:szCs w:val="24"/>
        </w:rPr>
        <w:t>b.</w:t>
      </w:r>
      <w:r>
        <w:rPr>
          <w:rFonts w:hint="eastAsia"/>
          <w:sz w:val="24"/>
          <w:szCs w:val="24"/>
        </w:rPr>
        <w:t>确保对基线（包括文档、代码、和计算机数据）的变更管理，已按照规定的过程进行了标识、评审、实现和合成；</w:t>
      </w:r>
    </w:p>
    <w:p>
      <w:pPr>
        <w:spacing w:line="360" w:lineRule="auto"/>
        <w:ind w:firstLine="480" w:firstLineChars="200"/>
        <w:rPr>
          <w:sz w:val="24"/>
          <w:szCs w:val="24"/>
        </w:rPr>
      </w:pPr>
      <w:r>
        <w:rPr>
          <w:sz w:val="24"/>
          <w:szCs w:val="24"/>
        </w:rPr>
        <w:t>c.</w:t>
      </w:r>
      <w:r>
        <w:rPr>
          <w:rFonts w:hint="eastAsia"/>
          <w:sz w:val="24"/>
          <w:szCs w:val="24"/>
        </w:rPr>
        <w:t>确保对基线文档和软件的变更和配置控制，一直按照在《软件配置管理计划》（</w:t>
      </w:r>
      <w:r>
        <w:rPr>
          <w:sz w:val="24"/>
          <w:szCs w:val="24"/>
        </w:rPr>
        <w:t>SCMP</w:t>
      </w:r>
      <w:r>
        <w:rPr>
          <w:rFonts w:hint="eastAsia"/>
          <w:sz w:val="24"/>
          <w:szCs w:val="24"/>
        </w:rPr>
        <w:t>）中描述的配置管理要求对之进行管理；</w:t>
      </w:r>
    </w:p>
    <w:p>
      <w:pPr>
        <w:spacing w:line="360" w:lineRule="auto"/>
        <w:ind w:firstLine="480" w:firstLineChars="200"/>
        <w:rPr>
          <w:sz w:val="24"/>
          <w:szCs w:val="24"/>
        </w:rPr>
      </w:pPr>
      <w:r>
        <w:rPr>
          <w:sz w:val="24"/>
          <w:szCs w:val="24"/>
        </w:rPr>
        <w:t>d.</w:t>
      </w:r>
      <w:r>
        <w:rPr>
          <w:rFonts w:hint="eastAsia"/>
          <w:sz w:val="24"/>
          <w:szCs w:val="24"/>
        </w:rPr>
        <w:t>确保在规定的时间内，按照规定的准备过程，准备了项目的配置状态汇总报告，并且报告的项目状态，与软件产品和文档的配置管理有关；</w:t>
      </w:r>
    </w:p>
    <w:p>
      <w:pPr>
        <w:spacing w:line="360" w:lineRule="auto"/>
        <w:ind w:firstLine="480" w:firstLineChars="200"/>
        <w:rPr>
          <w:sz w:val="24"/>
          <w:szCs w:val="24"/>
        </w:rPr>
      </w:pPr>
      <w:r>
        <w:rPr>
          <w:sz w:val="24"/>
          <w:szCs w:val="24"/>
        </w:rPr>
        <w:t>e.</w:t>
      </w:r>
      <w:r>
        <w:rPr>
          <w:rFonts w:hint="eastAsia"/>
          <w:sz w:val="24"/>
          <w:szCs w:val="24"/>
        </w:rPr>
        <w:t>确保指定参与配置审计的人员与软件配置管理计划相符合；</w:t>
      </w:r>
    </w:p>
    <w:p>
      <w:pPr>
        <w:spacing w:line="360" w:lineRule="auto"/>
        <w:ind w:firstLine="480" w:firstLineChars="200"/>
        <w:rPr>
          <w:sz w:val="24"/>
          <w:szCs w:val="24"/>
        </w:rPr>
      </w:pPr>
      <w:r>
        <w:rPr>
          <w:sz w:val="24"/>
          <w:szCs w:val="24"/>
        </w:rPr>
        <w:t>f.</w:t>
      </w:r>
      <w:r>
        <w:rPr>
          <w:rFonts w:hint="eastAsia"/>
          <w:sz w:val="24"/>
          <w:szCs w:val="24"/>
        </w:rPr>
        <w:t>在文档控制方面，应确保项目组成员使用的是唯一的、经过批准的且是最新的文档，文档的发布过程应使得项目组收到的文档是完全正确的；</w:t>
      </w:r>
    </w:p>
    <w:p>
      <w:pPr>
        <w:spacing w:line="360" w:lineRule="auto"/>
        <w:ind w:firstLine="480" w:firstLineChars="200"/>
        <w:rPr>
          <w:sz w:val="24"/>
          <w:szCs w:val="24"/>
        </w:rPr>
      </w:pPr>
      <w:r>
        <w:rPr>
          <w:sz w:val="24"/>
          <w:szCs w:val="24"/>
        </w:rPr>
        <w:t>g.</w:t>
      </w:r>
      <w:r>
        <w:rPr>
          <w:rFonts w:hint="eastAsia"/>
          <w:sz w:val="24"/>
          <w:szCs w:val="24"/>
        </w:rPr>
        <w:t>为了对更改活动过程的有效性做出估计，质量经理应周期性地对更改活动，以及更改活动结果进行审计；</w:t>
      </w:r>
    </w:p>
    <w:p>
      <w:pPr>
        <w:spacing w:line="360" w:lineRule="auto"/>
        <w:ind w:firstLine="480" w:firstLineChars="200"/>
        <w:rPr>
          <w:sz w:val="24"/>
          <w:szCs w:val="24"/>
        </w:rPr>
      </w:pPr>
      <w:r>
        <w:rPr>
          <w:sz w:val="24"/>
          <w:szCs w:val="24"/>
        </w:rPr>
        <w:t>h.</w:t>
      </w:r>
      <w:r>
        <w:rPr>
          <w:rFonts w:hint="eastAsia"/>
          <w:sz w:val="24"/>
          <w:szCs w:val="24"/>
        </w:rPr>
        <w:t>对所有报告的问题进行周期分析，识别出可以暴露通常问题的区域，对问题的分析应包括：原因研究、影响的重要性、发生的频度和预防措施；</w:t>
      </w:r>
    </w:p>
    <w:p>
      <w:pPr>
        <w:spacing w:line="360" w:lineRule="auto"/>
        <w:ind w:firstLine="480" w:firstLineChars="200"/>
        <w:rPr>
          <w:sz w:val="24"/>
          <w:szCs w:val="24"/>
        </w:rPr>
      </w:pPr>
      <w:r>
        <w:rPr>
          <w:rFonts w:hint="eastAsia"/>
          <w:sz w:val="24"/>
          <w:szCs w:val="24"/>
        </w:rPr>
        <w:t>质量经理对更改活动的过程进行审计，提交审计报告给项目经理。项目经理对审计中的不符合项进行改进。</w:t>
      </w:r>
    </w:p>
    <w:p>
      <w:pPr>
        <w:pStyle w:val="2"/>
        <w:pageBreakBefore/>
        <w:numPr>
          <w:ilvl w:val="0"/>
          <w:numId w:val="3"/>
        </w:numPr>
        <w:spacing w:before="0" w:after="0" w:line="360" w:lineRule="auto"/>
        <w:ind w:left="0" w:leftChars="0" w:firstLine="402" w:firstLineChars="0"/>
      </w:pPr>
      <w:r>
        <w:rPr>
          <w:rFonts w:hint="eastAsia"/>
        </w:rPr>
        <w:t xml:space="preserve"> </w:t>
      </w:r>
      <w:bookmarkStart w:id="394" w:name="_Toc7062"/>
      <w:r>
        <w:rPr>
          <w:rFonts w:hint="eastAsia"/>
        </w:rPr>
        <w:t>项目实施人员安排</w:t>
      </w:r>
      <w:bookmarkEnd w:id="394"/>
    </w:p>
    <w:p>
      <w:pPr>
        <w:pStyle w:val="3"/>
        <w:numPr>
          <w:ilvl w:val="1"/>
          <w:numId w:val="3"/>
        </w:numPr>
        <w:spacing w:before="0" w:after="0" w:line="360" w:lineRule="auto"/>
        <w:ind w:left="0" w:leftChars="0" w:firstLine="402" w:firstLineChars="0"/>
      </w:pPr>
      <w:bookmarkStart w:id="395" w:name="_Toc3807"/>
      <w:r>
        <w:rPr>
          <w:rFonts w:hint="eastAsia"/>
        </w:rPr>
        <w:t>项目团队组织架构</w:t>
      </w:r>
      <w:bookmarkEnd w:id="395"/>
    </w:p>
    <w:p>
      <w:pPr>
        <w:spacing w:line="360" w:lineRule="auto"/>
        <w:rPr>
          <w:sz w:val="24"/>
          <w:szCs w:val="24"/>
        </w:rPr>
      </w:pPr>
      <w:r>
        <w:rPr>
          <w:rFonts w:hint="eastAsia"/>
          <w:sz w:val="24"/>
          <w:szCs w:val="24"/>
        </w:rPr>
        <w:t>本项目组织机构如下图所示，其中阴影部分为</w:t>
      </w:r>
      <w:r>
        <w:rPr>
          <w:rFonts w:hint="eastAsia"/>
          <w:sz w:val="24"/>
          <w:szCs w:val="24"/>
          <w:lang w:eastAsia="zh-CN"/>
        </w:rPr>
        <w:t>**信息</w:t>
      </w:r>
      <w:r>
        <w:rPr>
          <w:rFonts w:hint="eastAsia"/>
          <w:sz w:val="24"/>
          <w:szCs w:val="24"/>
        </w:rPr>
        <w:t>将为本项目建立的管理组织。</w:t>
      </w:r>
    </w:p>
    <w:p>
      <w:pPr>
        <w:spacing w:line="360" w:lineRule="auto"/>
      </w:pPr>
    </w:p>
    <w:p>
      <w:pPr>
        <w:spacing w:line="360" w:lineRule="auto"/>
      </w:pPr>
      <w:r>
        <w:object>
          <v:shape id="_x0000_i1033" o:spt="75" type="#_x0000_t75" style="height:301.5pt;width:372pt;" o:ole="t" filled="f" o:preferrelative="t" stroked="f" coordsize="21600,21600">
            <v:path/>
            <v:fill on="f" focussize="0,0"/>
            <v:stroke on="f" joinstyle="miter"/>
            <v:imagedata r:id="rId58" o:title=""/>
            <o:lock v:ext="edit" aspectratio="t"/>
            <w10:wrap type="none"/>
            <w10:anchorlock/>
          </v:shape>
          <o:OLEObject Type="Embed" ProgID="Visio.Drawing.11" ShapeID="_x0000_i1033" DrawAspect="Content" ObjectID="_1468075733" r:id="rId57">
            <o:LockedField>false</o:LockedField>
          </o:OLEObject>
        </w:object>
      </w:r>
    </w:p>
    <w:p>
      <w:pPr>
        <w:spacing w:line="360" w:lineRule="auto"/>
        <w:ind w:firstLine="420" w:firstLineChars="200"/>
      </w:pPr>
      <w:r>
        <w:tab/>
      </w:r>
      <w:r>
        <w:tab/>
      </w:r>
      <w:r>
        <w:tab/>
      </w:r>
      <w:r>
        <w:tab/>
      </w:r>
      <w:r>
        <w:tab/>
      </w:r>
      <w:r>
        <w:rPr>
          <w:rFonts w:hint="eastAsia"/>
        </w:rPr>
        <w:t>本项目管理组织机构</w:t>
      </w:r>
    </w:p>
    <w:p>
      <w:pPr>
        <w:spacing w:line="360" w:lineRule="auto"/>
        <w:ind w:firstLine="480" w:firstLineChars="200"/>
        <w:rPr>
          <w:sz w:val="24"/>
          <w:szCs w:val="24"/>
        </w:rPr>
      </w:pPr>
      <w:r>
        <w:rPr>
          <w:rFonts w:hint="eastAsia"/>
          <w:sz w:val="24"/>
          <w:szCs w:val="24"/>
        </w:rPr>
        <w:t>该工程组织体系由项目领导机构作为最高领导单位，负责监控整个工程的进度、为重大的工程执行问题做出决策。</w:t>
      </w:r>
    </w:p>
    <w:p>
      <w:pPr>
        <w:spacing w:line="360" w:lineRule="auto"/>
        <w:ind w:firstLine="480" w:firstLineChars="200"/>
        <w:rPr>
          <w:rFonts w:hint="eastAsia"/>
          <w:sz w:val="24"/>
          <w:szCs w:val="24"/>
        </w:rPr>
      </w:pPr>
      <w:r>
        <w:rPr>
          <w:rFonts w:hint="eastAsia"/>
          <w:sz w:val="24"/>
          <w:szCs w:val="24"/>
        </w:rPr>
        <w:t>项目的实际运作由联合项目管理组负责。</w:t>
      </w:r>
      <w:r>
        <w:rPr>
          <w:rFonts w:hint="eastAsia"/>
          <w:sz w:val="24"/>
          <w:szCs w:val="24"/>
          <w:lang w:eastAsia="zh-CN"/>
        </w:rPr>
        <w:t>**信息</w:t>
      </w:r>
      <w:r>
        <w:rPr>
          <w:rFonts w:hint="eastAsia"/>
          <w:sz w:val="24"/>
          <w:szCs w:val="24"/>
        </w:rPr>
        <w:t>将选派有相关经验的经理级管理人员主导联合项目管理组的有效运作。在联合项目管理组之下，设有各个项目执行小组，针对设计、开发、测试、实施、技术支持、质保等领域开展具体任务。</w:t>
      </w:r>
    </w:p>
    <w:p>
      <w:pPr>
        <w:spacing w:line="360" w:lineRule="auto"/>
        <w:ind w:firstLine="480" w:firstLineChars="200"/>
        <w:rPr>
          <w:sz w:val="24"/>
          <w:szCs w:val="24"/>
        </w:rPr>
      </w:pPr>
      <w:r>
        <w:rPr>
          <w:rFonts w:hint="eastAsia"/>
          <w:sz w:val="24"/>
          <w:szCs w:val="24"/>
        </w:rPr>
        <w:t>上述为本项目建立的组织结构是</w:t>
      </w:r>
      <w:r>
        <w:rPr>
          <w:rFonts w:hint="eastAsia"/>
          <w:sz w:val="24"/>
          <w:szCs w:val="24"/>
          <w:lang w:val="en-US" w:eastAsia="zh-CN"/>
        </w:rPr>
        <w:t>**</w:t>
      </w:r>
      <w:r>
        <w:rPr>
          <w:rFonts w:hint="eastAsia"/>
          <w:sz w:val="24"/>
          <w:szCs w:val="24"/>
        </w:rPr>
        <w:t>信息在多个大型工程项目采用过，并被验证为行之有效的工程组织体系，将为本项目的顺利实施提供有力的组织保障。在组织机构体系中采用项目经理负责制，项目经理在项目领导机构的统一指挥下，对各项目组进行调度、控制，同时明确各职能组的职责及组间关系，以保证项目组织协调运作，顺利完成项目实施任务。</w:t>
      </w:r>
    </w:p>
    <w:p>
      <w:pPr>
        <w:spacing w:line="360" w:lineRule="auto"/>
        <w:ind w:firstLine="480" w:firstLineChars="200"/>
      </w:pPr>
      <w:r>
        <w:rPr>
          <w:rFonts w:hint="eastAsia"/>
          <w:sz w:val="24"/>
          <w:szCs w:val="24"/>
        </w:rPr>
        <w:t>下表描述了与项目组织结构相对应的小组和职责。</w:t>
      </w:r>
    </w:p>
    <w:tbl>
      <w:tblPr>
        <w:tblStyle w:val="34"/>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0"/>
        <w:gridCol w:w="5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510" w:type="dxa"/>
            <w:tcBorders>
              <w:top w:val="single" w:color="auto" w:sz="4" w:space="0"/>
              <w:left w:val="single" w:color="auto" w:sz="4" w:space="0"/>
              <w:bottom w:val="single" w:color="auto" w:sz="4" w:space="0"/>
              <w:right w:val="single" w:color="auto" w:sz="4" w:space="0"/>
            </w:tcBorders>
            <w:shd w:val="clear" w:color="auto" w:fill="D9D9D9"/>
            <w:vAlign w:val="center"/>
          </w:tcPr>
          <w:p>
            <w:pPr>
              <w:spacing w:line="360" w:lineRule="auto"/>
            </w:pPr>
            <w:r>
              <w:rPr>
                <w:rFonts w:hint="eastAsia"/>
              </w:rPr>
              <w:t>项目小组</w:t>
            </w:r>
          </w:p>
        </w:tc>
        <w:tc>
          <w:tcPr>
            <w:tcW w:w="5792" w:type="dxa"/>
            <w:tcBorders>
              <w:top w:val="single" w:color="auto" w:sz="4" w:space="0"/>
              <w:left w:val="single" w:color="auto" w:sz="4" w:space="0"/>
              <w:bottom w:val="single" w:color="auto" w:sz="4" w:space="0"/>
              <w:right w:val="single" w:color="auto" w:sz="4" w:space="0"/>
            </w:tcBorders>
            <w:shd w:val="clear" w:color="auto" w:fill="D9D9D9"/>
            <w:vAlign w:val="center"/>
          </w:tcPr>
          <w:p>
            <w:pPr>
              <w:spacing w:line="360" w:lineRule="auto"/>
            </w:pPr>
            <w:r>
              <w:rPr>
                <w:rFonts w:hint="eastAsia"/>
              </w:rPr>
              <w:t>组成与职责简述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0"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pPr>
            <w:r>
              <w:rPr>
                <w:rFonts w:hint="eastAsia"/>
              </w:rPr>
              <w:t>项目领导机构</w:t>
            </w:r>
          </w:p>
        </w:tc>
        <w:tc>
          <w:tcPr>
            <w:tcW w:w="5792"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pPr>
            <w:r>
              <w:rPr>
                <w:rFonts w:hint="eastAsia"/>
              </w:rPr>
              <w:t>项目领导机构由</w:t>
            </w:r>
            <w:r>
              <w:rPr>
                <w:rFonts w:hint="eastAsia"/>
                <w:lang w:eastAsia="zh-CN"/>
              </w:rPr>
              <w:t>**信息</w:t>
            </w:r>
            <w:r>
              <w:rPr>
                <w:rFonts w:hint="eastAsia"/>
              </w:rPr>
              <w:t>高层领导和招标方、监理商等单位共同组成，</w:t>
            </w:r>
            <w:r>
              <w:rPr>
                <w:rFonts w:hint="eastAsia"/>
                <w:lang w:eastAsia="zh-CN"/>
              </w:rPr>
              <w:t>**信息</w:t>
            </w:r>
            <w:r>
              <w:rPr>
                <w:rFonts w:hint="eastAsia"/>
              </w:rPr>
              <w:t>由公司副总经理出任项目领导机构成员。项目领导机构主要负责以下事项：</w:t>
            </w:r>
          </w:p>
          <w:p>
            <w:pPr>
              <w:spacing w:line="360" w:lineRule="auto"/>
            </w:pPr>
            <w:r>
              <w:t xml:space="preserve">1. </w:t>
            </w:r>
            <w:r>
              <w:rPr>
                <w:rFonts w:hint="eastAsia"/>
              </w:rPr>
              <w:t>负责整个项目实施的统一领导；</w:t>
            </w:r>
          </w:p>
          <w:p>
            <w:pPr>
              <w:spacing w:line="360" w:lineRule="auto"/>
            </w:pPr>
            <w:r>
              <w:t xml:space="preserve">2. </w:t>
            </w:r>
            <w:r>
              <w:rPr>
                <w:rFonts w:hint="eastAsia"/>
              </w:rPr>
              <w:t>进行必要的沟通与协调，提供人力物力资源；</w:t>
            </w:r>
          </w:p>
          <w:p>
            <w:pPr>
              <w:spacing w:line="360" w:lineRule="auto"/>
            </w:pPr>
            <w:r>
              <w:t xml:space="preserve">3. </w:t>
            </w:r>
            <w:r>
              <w:rPr>
                <w:rFonts w:hint="eastAsia"/>
              </w:rPr>
              <w:t>定期于项目关键节点处召开会议，对整个项目进度和执行状态进行评估；</w:t>
            </w:r>
          </w:p>
          <w:p>
            <w:pPr>
              <w:spacing w:line="360" w:lineRule="auto"/>
            </w:pPr>
            <w:r>
              <w:t xml:space="preserve">4. </w:t>
            </w:r>
            <w:r>
              <w:rPr>
                <w:rFonts w:hint="eastAsia"/>
              </w:rPr>
              <w:t>共同研究、讨论和决策影响项目进程的重大事项，做出重大决策等。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0"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pPr>
            <w:r>
              <w:rPr>
                <w:rFonts w:hint="eastAsia"/>
              </w:rPr>
              <w:t>监理方</w:t>
            </w:r>
          </w:p>
        </w:tc>
        <w:tc>
          <w:tcPr>
            <w:tcW w:w="5792"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pPr>
            <w:r>
              <w:rPr>
                <w:rFonts w:hint="eastAsia"/>
              </w:rPr>
              <w:t>从第三方角度对项目进度和交付成果质量进行审核和评估。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0"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pPr>
            <w:r>
              <w:rPr>
                <w:rFonts w:hint="eastAsia"/>
              </w:rPr>
              <w:t>联合项目管理组</w:t>
            </w:r>
          </w:p>
        </w:tc>
        <w:tc>
          <w:tcPr>
            <w:tcW w:w="5792"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pPr>
            <w:r>
              <w:rPr>
                <w:rFonts w:hint="eastAsia"/>
              </w:rPr>
              <w:t>由</w:t>
            </w:r>
            <w:r>
              <w:rPr>
                <w:rFonts w:hint="eastAsia"/>
                <w:lang w:eastAsia="zh-CN"/>
              </w:rPr>
              <w:t>**信息</w:t>
            </w:r>
            <w:r>
              <w:rPr>
                <w:rFonts w:hint="eastAsia"/>
              </w:rPr>
              <w:t>选派的项目总监和项目经理组成，主要职责为：</w:t>
            </w:r>
          </w:p>
          <w:p>
            <w:pPr>
              <w:spacing w:line="360" w:lineRule="auto"/>
            </w:pPr>
            <w:r>
              <w:t xml:space="preserve">1. </w:t>
            </w:r>
            <w:r>
              <w:rPr>
                <w:rFonts w:hint="eastAsia"/>
              </w:rPr>
              <w:t>负责项目实施过程的管理控制，具体职责包括：负责领导项目实施工作，对项目进行计划、组织、协调和实施工作，控制和监督安装部署进程；</w:t>
            </w:r>
          </w:p>
          <w:p>
            <w:pPr>
              <w:spacing w:line="360" w:lineRule="auto"/>
            </w:pPr>
            <w:r>
              <w:t xml:space="preserve">2. </w:t>
            </w:r>
            <w:r>
              <w:rPr>
                <w:rFonts w:hint="eastAsia"/>
              </w:rPr>
              <w:t>协调项目各参与方开展工作，主持工程协调及技术讨论会，并向项目领导组负责汇报工作进展情况。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0"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pPr>
            <w:r>
              <w:rPr>
                <w:rFonts w:hint="eastAsia"/>
              </w:rPr>
              <w:t>架构设计组</w:t>
            </w:r>
          </w:p>
        </w:tc>
        <w:tc>
          <w:tcPr>
            <w:tcW w:w="5792"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pPr>
            <w:r>
              <w:rPr>
                <w:rFonts w:hint="eastAsia"/>
              </w:rPr>
              <w:t>由系统总架构师和系统分析师组成，主要职责为：</w:t>
            </w:r>
          </w:p>
          <w:p>
            <w:pPr>
              <w:spacing w:line="360" w:lineRule="auto"/>
            </w:pPr>
            <w:r>
              <w:t xml:space="preserve">1. </w:t>
            </w:r>
            <w:r>
              <w:rPr>
                <w:rFonts w:hint="eastAsia"/>
              </w:rPr>
              <w:t>负责全部技术方案的制定和实施，制定整体系统设计方案和实施方案等；</w:t>
            </w:r>
          </w:p>
          <w:p>
            <w:pPr>
              <w:spacing w:line="360" w:lineRule="auto"/>
            </w:pPr>
            <w:r>
              <w:t xml:space="preserve">2. </w:t>
            </w:r>
            <w:r>
              <w:rPr>
                <w:rFonts w:hint="eastAsia"/>
              </w:rPr>
              <w:t>负责总体把握和编制项目的业务、技术和应用架构；</w:t>
            </w:r>
          </w:p>
          <w:p>
            <w:pPr>
              <w:spacing w:line="360" w:lineRule="auto"/>
            </w:pPr>
            <w:r>
              <w:t xml:space="preserve">   3. </w:t>
            </w:r>
            <w:r>
              <w:rPr>
                <w:rFonts w:hint="eastAsia"/>
              </w:rPr>
              <w:t>负责系统的设计和分析，完成系统需求分析、概要设计和详细设计等。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0"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pPr>
            <w:r>
              <w:rPr>
                <w:rFonts w:hint="eastAsia"/>
              </w:rPr>
              <w:t>软件开发组</w:t>
            </w:r>
          </w:p>
        </w:tc>
        <w:tc>
          <w:tcPr>
            <w:tcW w:w="5792"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pPr>
            <w:r>
              <w:rPr>
                <w:rFonts w:hint="eastAsia"/>
              </w:rPr>
              <w:t>软件开发组由</w:t>
            </w:r>
            <w:r>
              <w:rPr>
                <w:rFonts w:hint="eastAsia"/>
                <w:lang w:eastAsia="zh-CN"/>
              </w:rPr>
              <w:t>**信息</w:t>
            </w:r>
            <w:r>
              <w:rPr>
                <w:rFonts w:hint="eastAsia"/>
              </w:rPr>
              <w:t>软件开发人员、数据库开发人员等组成，主要职责为：根据系统概要设计和详细设计要求，实施软件开发。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0"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pPr>
            <w:r>
              <w:rPr>
                <w:rFonts w:hint="eastAsia"/>
              </w:rPr>
              <w:t>测试组</w:t>
            </w:r>
          </w:p>
        </w:tc>
        <w:tc>
          <w:tcPr>
            <w:tcW w:w="5792"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pPr>
            <w:r>
              <w:rPr>
                <w:rFonts w:hint="eastAsia"/>
              </w:rPr>
              <w:t>由</w:t>
            </w:r>
            <w:r>
              <w:rPr>
                <w:rFonts w:hint="eastAsia"/>
                <w:lang w:eastAsia="zh-CN"/>
              </w:rPr>
              <w:t>**信息</w:t>
            </w:r>
            <w:r>
              <w:rPr>
                <w:rFonts w:hint="eastAsia"/>
              </w:rPr>
              <w:t>的软件测试人员组成。负责系统软件的实验室测试与招标人测试环境测试，负责制定测试计划、测试方案、测试用例、测试数据等，完成系统的功能测试、压力测试、安全测试、模拟灾备与恢复等测试，保证软件顺利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0"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pPr>
            <w:r>
              <w:rPr>
                <w:rFonts w:hint="eastAsia"/>
              </w:rPr>
              <w:t>工程实施组</w:t>
            </w:r>
          </w:p>
        </w:tc>
        <w:tc>
          <w:tcPr>
            <w:tcW w:w="5792"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pPr>
            <w:r>
              <w:rPr>
                <w:rFonts w:hint="eastAsia"/>
              </w:rPr>
              <w:t>由项目实施工程人员组成，负责制定系统实施方案，完成项目实施中的环境准备、软件安装、配置与调试，以及数据迁移等工作。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0"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pPr>
            <w:r>
              <w:rPr>
                <w:rFonts w:hint="eastAsia"/>
              </w:rPr>
              <w:t>高级技术支持组</w:t>
            </w:r>
          </w:p>
        </w:tc>
        <w:tc>
          <w:tcPr>
            <w:tcW w:w="5792"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pPr>
            <w:r>
              <w:rPr>
                <w:rFonts w:hint="eastAsia"/>
              </w:rPr>
              <w:t>由</w:t>
            </w:r>
            <w:r>
              <w:rPr>
                <w:rFonts w:hint="eastAsia"/>
                <w:lang w:eastAsia="zh-CN"/>
              </w:rPr>
              <w:t>**信息xx交通</w:t>
            </w:r>
            <w:r>
              <w:rPr>
                <w:rFonts w:hint="eastAsia"/>
              </w:rPr>
              <w:t>增值税发票管理系统技术支持人员组成，主要职责负责对工程中出现的疑难问题提供技术支持工作。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0"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pPr>
            <w:r>
              <w:rPr>
                <w:rFonts w:hint="eastAsia"/>
              </w:rPr>
              <w:t>质量保证组</w:t>
            </w:r>
          </w:p>
        </w:tc>
        <w:tc>
          <w:tcPr>
            <w:tcW w:w="5792"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pPr>
            <w:r>
              <w:rPr>
                <w:rFonts w:hint="eastAsia"/>
              </w:rPr>
              <w:t>由</w:t>
            </w:r>
            <w:r>
              <w:rPr>
                <w:rFonts w:hint="eastAsia"/>
                <w:lang w:eastAsia="zh-CN"/>
              </w:rPr>
              <w:t>**信息</w:t>
            </w:r>
            <w:r>
              <w:rPr>
                <w:rFonts w:hint="eastAsia"/>
              </w:rPr>
              <w:t>具有质量认证证书且具有丰富的项目质量管理经验的质量专员组成，主要职责为：</w:t>
            </w:r>
          </w:p>
          <w:p>
            <w:pPr>
              <w:spacing w:line="360" w:lineRule="auto"/>
            </w:pPr>
            <w:r>
              <w:t xml:space="preserve">1. </w:t>
            </w:r>
            <w:r>
              <w:rPr>
                <w:rFonts w:hint="eastAsia"/>
              </w:rPr>
              <w:t>负责依据</w:t>
            </w:r>
            <w:r>
              <w:t>ISO9001</w:t>
            </w:r>
            <w:r>
              <w:rPr>
                <w:rFonts w:hint="eastAsia"/>
              </w:rPr>
              <w:t>质量管理体系，对项目实施的各个环节进行质量监督。</w:t>
            </w:r>
          </w:p>
          <w:p>
            <w:pPr>
              <w:spacing w:line="360" w:lineRule="auto"/>
            </w:pPr>
            <w:r>
              <w:t xml:space="preserve">2. </w:t>
            </w:r>
            <w:r>
              <w:rPr>
                <w:rFonts w:hint="eastAsia"/>
              </w:rPr>
              <w:t>负责项目</w:t>
            </w:r>
            <w:r>
              <w:t>QA</w:t>
            </w:r>
            <w:r>
              <w:rPr>
                <w:rFonts w:hint="eastAsia"/>
              </w:rPr>
              <w:t>方案的制定，项目测试、集成测试方案的制定。</w:t>
            </w:r>
          </w:p>
        </w:tc>
      </w:tr>
    </w:tbl>
    <w:p>
      <w:pPr>
        <w:spacing w:line="360" w:lineRule="auto"/>
      </w:pPr>
    </w:p>
    <w:p>
      <w:pPr>
        <w:spacing w:line="360" w:lineRule="auto"/>
      </w:pPr>
    </w:p>
    <w:p>
      <w:pPr>
        <w:pStyle w:val="3"/>
        <w:numPr>
          <w:ilvl w:val="1"/>
          <w:numId w:val="3"/>
        </w:numPr>
        <w:ind w:left="0" w:leftChars="0" w:firstLine="402" w:firstLineChars="0"/>
      </w:pPr>
      <w:bookmarkStart w:id="396" w:name="_Toc31156"/>
      <w:r>
        <w:rPr>
          <w:rFonts w:hint="eastAsia"/>
        </w:rPr>
        <w:t>本项目人员构成</w:t>
      </w:r>
      <w:bookmarkEnd w:id="396"/>
    </w:p>
    <w:p>
      <w:pPr>
        <w:spacing w:line="360" w:lineRule="auto"/>
        <w:ind w:firstLine="420" w:firstLineChars="200"/>
        <w:rPr>
          <w:rFonts w:hint="eastAsia"/>
        </w:rPr>
      </w:pPr>
    </w:p>
    <w:p>
      <w:pPr>
        <w:spacing w:line="360" w:lineRule="auto"/>
        <w:ind w:firstLine="420" w:firstLineChars="200"/>
        <w:rPr>
          <w:rFonts w:hint="eastAsia" w:eastAsiaTheme="minorEastAsia"/>
          <w:lang w:val="en-US" w:eastAsia="zh-CN"/>
        </w:rPr>
      </w:pPr>
      <w:r>
        <w:rPr>
          <w:rFonts w:hint="eastAsia"/>
          <w:lang w:val="en-US" w:eastAsia="zh-CN"/>
        </w:rPr>
        <w:t>项目组主要成员</w:t>
      </w:r>
    </w:p>
    <w:tbl>
      <w:tblPr>
        <w:tblStyle w:val="34"/>
        <w:tblW w:w="8085" w:type="dxa"/>
        <w:tblInd w:w="91" w:type="dxa"/>
        <w:tblLayout w:type="fixed"/>
        <w:tblCellMar>
          <w:top w:w="0" w:type="dxa"/>
          <w:left w:w="108" w:type="dxa"/>
          <w:bottom w:w="0" w:type="dxa"/>
          <w:right w:w="108" w:type="dxa"/>
        </w:tblCellMar>
      </w:tblPr>
      <w:tblGrid>
        <w:gridCol w:w="435"/>
        <w:gridCol w:w="1050"/>
        <w:gridCol w:w="630"/>
        <w:gridCol w:w="495"/>
        <w:gridCol w:w="705"/>
        <w:gridCol w:w="780"/>
        <w:gridCol w:w="1485"/>
        <w:gridCol w:w="1065"/>
        <w:gridCol w:w="1440"/>
      </w:tblGrid>
      <w:tr>
        <w:tblPrEx>
          <w:tblLayout w:type="fixed"/>
          <w:tblCellMar>
            <w:top w:w="0" w:type="dxa"/>
            <w:left w:w="108" w:type="dxa"/>
            <w:bottom w:w="0" w:type="dxa"/>
            <w:right w:w="108" w:type="dxa"/>
          </w:tblCellMar>
        </w:tblPrEx>
        <w:trPr>
          <w:trHeight w:val="776" w:hRule="atLeast"/>
          <w:tblHeader/>
        </w:trPr>
        <w:tc>
          <w:tcPr>
            <w:tcW w:w="435" w:type="dxa"/>
            <w:tcBorders>
              <w:top w:val="double" w:color="auto" w:sz="6" w:space="0"/>
              <w:left w:val="double" w:color="auto" w:sz="6" w:space="0"/>
              <w:bottom w:val="single" w:color="auto" w:sz="4" w:space="0"/>
              <w:right w:val="single" w:color="auto" w:sz="4" w:space="0"/>
            </w:tcBorders>
            <w:shd w:val="clear" w:color="000000" w:fill="FFFFFF"/>
            <w:vAlign w:val="center"/>
          </w:tcPr>
          <w:p>
            <w:pPr>
              <w:spacing w:line="360" w:lineRule="auto"/>
            </w:pPr>
            <w:r>
              <w:rPr>
                <w:rFonts w:hint="eastAsia"/>
              </w:rPr>
              <w:t>序号</w:t>
            </w:r>
          </w:p>
        </w:tc>
        <w:tc>
          <w:tcPr>
            <w:tcW w:w="1050" w:type="dxa"/>
            <w:tcBorders>
              <w:top w:val="double" w:color="auto" w:sz="6" w:space="0"/>
              <w:left w:val="nil"/>
              <w:bottom w:val="single" w:color="auto" w:sz="4" w:space="0"/>
              <w:right w:val="single" w:color="auto" w:sz="4" w:space="0"/>
            </w:tcBorders>
            <w:shd w:val="clear" w:color="000000" w:fill="FFFFFF"/>
            <w:vAlign w:val="center"/>
          </w:tcPr>
          <w:p>
            <w:pPr>
              <w:spacing w:line="360" w:lineRule="auto"/>
            </w:pPr>
            <w:r>
              <w:rPr>
                <w:rFonts w:hint="eastAsia"/>
              </w:rPr>
              <w:t>姓名</w:t>
            </w:r>
          </w:p>
        </w:tc>
        <w:tc>
          <w:tcPr>
            <w:tcW w:w="630" w:type="dxa"/>
            <w:tcBorders>
              <w:top w:val="double" w:color="auto" w:sz="6" w:space="0"/>
              <w:left w:val="nil"/>
              <w:bottom w:val="single" w:color="auto" w:sz="4" w:space="0"/>
              <w:right w:val="single" w:color="auto" w:sz="4" w:space="0"/>
            </w:tcBorders>
            <w:shd w:val="clear" w:color="000000" w:fill="FFFFFF"/>
            <w:vAlign w:val="center"/>
          </w:tcPr>
          <w:p>
            <w:pPr>
              <w:spacing w:line="360" w:lineRule="auto"/>
            </w:pPr>
            <w:r>
              <w:rPr>
                <w:rFonts w:hint="eastAsia"/>
              </w:rPr>
              <w:t>性别</w:t>
            </w:r>
          </w:p>
        </w:tc>
        <w:tc>
          <w:tcPr>
            <w:tcW w:w="495" w:type="dxa"/>
            <w:tcBorders>
              <w:top w:val="double" w:color="auto" w:sz="6" w:space="0"/>
              <w:left w:val="nil"/>
              <w:bottom w:val="single" w:color="auto" w:sz="4" w:space="0"/>
              <w:right w:val="single" w:color="auto" w:sz="4" w:space="0"/>
            </w:tcBorders>
            <w:shd w:val="clear" w:color="000000" w:fill="FFFFFF"/>
            <w:vAlign w:val="center"/>
          </w:tcPr>
          <w:p>
            <w:pPr>
              <w:spacing w:line="360" w:lineRule="auto"/>
            </w:pPr>
            <w:r>
              <w:rPr>
                <w:rFonts w:hint="eastAsia"/>
              </w:rPr>
              <w:t>年龄</w:t>
            </w:r>
          </w:p>
        </w:tc>
        <w:tc>
          <w:tcPr>
            <w:tcW w:w="705" w:type="dxa"/>
            <w:tcBorders>
              <w:top w:val="double" w:color="auto" w:sz="6" w:space="0"/>
              <w:left w:val="nil"/>
              <w:bottom w:val="single" w:color="auto" w:sz="4" w:space="0"/>
              <w:right w:val="single" w:color="auto" w:sz="4" w:space="0"/>
            </w:tcBorders>
            <w:shd w:val="clear" w:color="000000" w:fill="FFFFFF"/>
            <w:vAlign w:val="center"/>
          </w:tcPr>
          <w:p>
            <w:pPr>
              <w:spacing w:line="360" w:lineRule="auto"/>
            </w:pPr>
            <w:r>
              <w:rPr>
                <w:rFonts w:hint="eastAsia"/>
              </w:rPr>
              <w:t>工作年限</w:t>
            </w:r>
          </w:p>
        </w:tc>
        <w:tc>
          <w:tcPr>
            <w:tcW w:w="780" w:type="dxa"/>
            <w:tcBorders>
              <w:top w:val="double" w:color="auto" w:sz="6" w:space="0"/>
              <w:left w:val="nil"/>
              <w:bottom w:val="single" w:color="auto" w:sz="4" w:space="0"/>
              <w:right w:val="single" w:color="auto" w:sz="4" w:space="0"/>
            </w:tcBorders>
            <w:shd w:val="clear" w:color="000000" w:fill="FFFFFF"/>
            <w:vAlign w:val="center"/>
          </w:tcPr>
          <w:p>
            <w:pPr>
              <w:spacing w:line="360" w:lineRule="auto"/>
            </w:pPr>
            <w:r>
              <w:rPr>
                <w:rFonts w:hint="eastAsia"/>
              </w:rPr>
              <w:t>学历</w:t>
            </w:r>
          </w:p>
        </w:tc>
        <w:tc>
          <w:tcPr>
            <w:tcW w:w="1485" w:type="dxa"/>
            <w:tcBorders>
              <w:top w:val="double" w:color="auto" w:sz="6" w:space="0"/>
              <w:left w:val="nil"/>
              <w:bottom w:val="single" w:color="auto" w:sz="4" w:space="0"/>
              <w:right w:val="single" w:color="auto" w:sz="4" w:space="0"/>
            </w:tcBorders>
            <w:shd w:val="clear" w:color="000000" w:fill="FFFFFF"/>
            <w:vAlign w:val="center"/>
          </w:tcPr>
          <w:p>
            <w:pPr>
              <w:spacing w:line="360" w:lineRule="auto"/>
            </w:pPr>
            <w:r>
              <w:rPr>
                <w:rFonts w:hint="eastAsia"/>
              </w:rPr>
              <w:t>毕业院校</w:t>
            </w:r>
          </w:p>
        </w:tc>
        <w:tc>
          <w:tcPr>
            <w:tcW w:w="1065" w:type="dxa"/>
            <w:tcBorders>
              <w:top w:val="double" w:color="auto" w:sz="6" w:space="0"/>
              <w:left w:val="nil"/>
              <w:bottom w:val="single" w:color="auto" w:sz="4" w:space="0"/>
              <w:right w:val="single" w:color="auto" w:sz="4" w:space="0"/>
            </w:tcBorders>
            <w:shd w:val="clear" w:color="000000" w:fill="FFFFFF"/>
            <w:vAlign w:val="center"/>
          </w:tcPr>
          <w:p>
            <w:pPr>
              <w:spacing w:line="360" w:lineRule="auto"/>
            </w:pPr>
            <w:r>
              <w:rPr>
                <w:rFonts w:hint="eastAsia"/>
              </w:rPr>
              <w:t>公司</w:t>
            </w:r>
          </w:p>
          <w:p>
            <w:pPr>
              <w:spacing w:line="360" w:lineRule="auto"/>
            </w:pPr>
            <w:r>
              <w:rPr>
                <w:rFonts w:hint="eastAsia"/>
              </w:rPr>
              <w:t>职务</w:t>
            </w:r>
          </w:p>
        </w:tc>
        <w:tc>
          <w:tcPr>
            <w:tcW w:w="1440" w:type="dxa"/>
            <w:tcBorders>
              <w:top w:val="double" w:color="auto" w:sz="6" w:space="0"/>
              <w:left w:val="nil"/>
              <w:bottom w:val="single" w:color="auto" w:sz="4" w:space="0"/>
              <w:right w:val="single" w:color="auto" w:sz="4" w:space="0"/>
            </w:tcBorders>
            <w:shd w:val="clear" w:color="000000" w:fill="FFFFFF"/>
            <w:vAlign w:val="center"/>
          </w:tcPr>
          <w:p>
            <w:pPr>
              <w:spacing w:line="360" w:lineRule="auto"/>
            </w:pPr>
            <w:r>
              <w:rPr>
                <w:rFonts w:hint="eastAsia"/>
              </w:rPr>
              <w:t>本项目中的职务</w:t>
            </w:r>
          </w:p>
        </w:tc>
      </w:tr>
      <w:tr>
        <w:tblPrEx>
          <w:tblLayout w:type="fixed"/>
          <w:tblCellMar>
            <w:top w:w="0" w:type="dxa"/>
            <w:left w:w="108" w:type="dxa"/>
            <w:bottom w:w="0" w:type="dxa"/>
            <w:right w:w="108" w:type="dxa"/>
          </w:tblCellMar>
        </w:tblPrEx>
        <w:trPr>
          <w:trHeight w:val="611" w:hRule="atLeast"/>
        </w:trPr>
        <w:tc>
          <w:tcPr>
            <w:tcW w:w="435" w:type="dxa"/>
            <w:tcBorders>
              <w:top w:val="nil"/>
              <w:left w:val="double" w:color="auto" w:sz="6" w:space="0"/>
              <w:bottom w:val="nil"/>
              <w:right w:val="single" w:color="auto" w:sz="4" w:space="0"/>
            </w:tcBorders>
            <w:shd w:val="clear" w:color="auto" w:fill="auto"/>
            <w:vAlign w:val="center"/>
          </w:tcPr>
          <w:p>
            <w:pPr>
              <w:spacing w:line="360" w:lineRule="auto"/>
            </w:pPr>
            <w:r>
              <w:rPr>
                <w:rFonts w:hint="eastAsia"/>
              </w:rPr>
              <w:t>1</w:t>
            </w:r>
          </w:p>
        </w:tc>
        <w:tc>
          <w:tcPr>
            <w:tcW w:w="1050" w:type="dxa"/>
            <w:tcBorders>
              <w:top w:val="nil"/>
              <w:left w:val="nil"/>
              <w:bottom w:val="nil"/>
              <w:right w:val="single" w:color="auto" w:sz="4" w:space="0"/>
            </w:tcBorders>
            <w:shd w:val="clear" w:color="auto" w:fill="auto"/>
            <w:vAlign w:val="center"/>
          </w:tcPr>
          <w:p>
            <w:pPr>
              <w:spacing w:line="360" w:lineRule="auto"/>
            </w:pPr>
          </w:p>
        </w:tc>
        <w:tc>
          <w:tcPr>
            <w:tcW w:w="630" w:type="dxa"/>
            <w:tcBorders>
              <w:top w:val="nil"/>
              <w:left w:val="nil"/>
              <w:bottom w:val="nil"/>
              <w:right w:val="single" w:color="auto" w:sz="4" w:space="0"/>
            </w:tcBorders>
            <w:shd w:val="clear" w:color="auto" w:fill="auto"/>
            <w:vAlign w:val="center"/>
          </w:tcPr>
          <w:p>
            <w:pPr>
              <w:spacing w:line="360" w:lineRule="auto"/>
            </w:pPr>
          </w:p>
        </w:tc>
        <w:tc>
          <w:tcPr>
            <w:tcW w:w="49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0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8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48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06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44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r>
      <w:tr>
        <w:tblPrEx>
          <w:tblLayout w:type="fixed"/>
          <w:tblCellMar>
            <w:top w:w="0" w:type="dxa"/>
            <w:left w:w="108" w:type="dxa"/>
            <w:bottom w:w="0" w:type="dxa"/>
            <w:right w:w="108" w:type="dxa"/>
          </w:tblCellMar>
        </w:tblPrEx>
        <w:trPr>
          <w:trHeight w:val="561" w:hRule="atLeast"/>
        </w:trPr>
        <w:tc>
          <w:tcPr>
            <w:tcW w:w="435" w:type="dxa"/>
            <w:tcBorders>
              <w:top w:val="nil"/>
              <w:left w:val="double" w:color="auto" w:sz="6" w:space="0"/>
              <w:bottom w:val="nil"/>
              <w:right w:val="single" w:color="auto" w:sz="4" w:space="0"/>
            </w:tcBorders>
            <w:shd w:val="clear" w:color="auto" w:fill="auto"/>
            <w:vAlign w:val="center"/>
          </w:tcPr>
          <w:p>
            <w:pPr>
              <w:spacing w:line="360" w:lineRule="auto"/>
              <w:rPr>
                <w:rFonts w:hint="eastAsia" w:eastAsiaTheme="minorEastAsia"/>
                <w:lang w:val="en-US" w:eastAsia="zh-CN"/>
              </w:rPr>
            </w:pPr>
            <w:r>
              <w:rPr>
                <w:rFonts w:hint="eastAsia"/>
                <w:lang w:val="en-US" w:eastAsia="zh-CN"/>
              </w:rPr>
              <w:t>2</w:t>
            </w:r>
          </w:p>
        </w:tc>
        <w:tc>
          <w:tcPr>
            <w:tcW w:w="1050" w:type="dxa"/>
            <w:tcBorders>
              <w:top w:val="nil"/>
              <w:left w:val="nil"/>
              <w:bottom w:val="nil"/>
              <w:right w:val="single" w:color="auto" w:sz="4" w:space="0"/>
            </w:tcBorders>
            <w:shd w:val="clear" w:color="auto" w:fill="auto"/>
            <w:vAlign w:val="center"/>
          </w:tcPr>
          <w:p>
            <w:pPr>
              <w:spacing w:line="360" w:lineRule="auto"/>
              <w:rPr>
                <w:rFonts w:hint="eastAsia"/>
              </w:rPr>
            </w:pPr>
          </w:p>
        </w:tc>
        <w:tc>
          <w:tcPr>
            <w:tcW w:w="630" w:type="dxa"/>
            <w:tcBorders>
              <w:top w:val="nil"/>
              <w:left w:val="nil"/>
              <w:bottom w:val="nil"/>
              <w:right w:val="single" w:color="auto" w:sz="4" w:space="0"/>
            </w:tcBorders>
            <w:shd w:val="clear" w:color="auto" w:fill="auto"/>
            <w:vAlign w:val="center"/>
          </w:tcPr>
          <w:p>
            <w:pPr>
              <w:spacing w:line="360" w:lineRule="auto"/>
              <w:rPr>
                <w:rFonts w:hint="eastAsia"/>
              </w:rPr>
            </w:pPr>
          </w:p>
        </w:tc>
        <w:tc>
          <w:tcPr>
            <w:tcW w:w="49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0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8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48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06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440" w:type="dxa"/>
            <w:tcBorders>
              <w:top w:val="nil"/>
              <w:left w:val="nil"/>
              <w:bottom w:val="nil"/>
              <w:right w:val="single" w:color="auto" w:sz="4" w:space="0"/>
            </w:tcBorders>
            <w:shd w:val="clear" w:color="auto" w:fill="auto"/>
            <w:vAlign w:val="center"/>
          </w:tcPr>
          <w:p>
            <w:pPr>
              <w:spacing w:line="360" w:lineRule="auto"/>
              <w:rPr>
                <w:rFonts w:hint="eastAsia"/>
              </w:rPr>
            </w:pPr>
          </w:p>
        </w:tc>
      </w:tr>
      <w:tr>
        <w:tblPrEx>
          <w:tblLayout w:type="fixed"/>
          <w:tblCellMar>
            <w:top w:w="0" w:type="dxa"/>
            <w:left w:w="108" w:type="dxa"/>
            <w:bottom w:w="0" w:type="dxa"/>
            <w:right w:w="108" w:type="dxa"/>
          </w:tblCellMar>
        </w:tblPrEx>
        <w:trPr>
          <w:trHeight w:val="516" w:hRule="atLeast"/>
        </w:trPr>
        <w:tc>
          <w:tcPr>
            <w:tcW w:w="435" w:type="dxa"/>
            <w:tcBorders>
              <w:top w:val="nil"/>
              <w:left w:val="double" w:color="auto" w:sz="6" w:space="0"/>
              <w:bottom w:val="nil"/>
              <w:right w:val="single" w:color="auto" w:sz="4" w:space="0"/>
            </w:tcBorders>
            <w:shd w:val="clear" w:color="auto" w:fill="auto"/>
            <w:vAlign w:val="center"/>
          </w:tcPr>
          <w:p>
            <w:pPr>
              <w:spacing w:line="360" w:lineRule="auto"/>
              <w:rPr>
                <w:rFonts w:hint="eastAsia" w:eastAsiaTheme="minorEastAsia"/>
                <w:lang w:val="en-US" w:eastAsia="zh-CN"/>
              </w:rPr>
            </w:pPr>
            <w:r>
              <w:rPr>
                <w:rFonts w:hint="eastAsia"/>
                <w:lang w:val="en-US" w:eastAsia="zh-CN"/>
              </w:rPr>
              <w:t>3</w:t>
            </w:r>
          </w:p>
        </w:tc>
        <w:tc>
          <w:tcPr>
            <w:tcW w:w="1050" w:type="dxa"/>
            <w:tcBorders>
              <w:top w:val="nil"/>
              <w:left w:val="nil"/>
              <w:bottom w:val="nil"/>
              <w:right w:val="single" w:color="auto" w:sz="4" w:space="0"/>
            </w:tcBorders>
            <w:shd w:val="clear" w:color="auto" w:fill="auto"/>
            <w:vAlign w:val="center"/>
          </w:tcPr>
          <w:p>
            <w:pPr>
              <w:spacing w:line="360" w:lineRule="auto"/>
              <w:rPr>
                <w:rFonts w:hint="eastAsia"/>
              </w:rPr>
            </w:pPr>
          </w:p>
        </w:tc>
        <w:tc>
          <w:tcPr>
            <w:tcW w:w="630" w:type="dxa"/>
            <w:tcBorders>
              <w:top w:val="nil"/>
              <w:left w:val="nil"/>
              <w:bottom w:val="nil"/>
              <w:right w:val="single" w:color="auto" w:sz="4" w:space="0"/>
            </w:tcBorders>
            <w:shd w:val="clear" w:color="auto" w:fill="auto"/>
            <w:vAlign w:val="center"/>
          </w:tcPr>
          <w:p>
            <w:pPr>
              <w:spacing w:line="360" w:lineRule="auto"/>
              <w:rPr>
                <w:rFonts w:hint="eastAsia"/>
              </w:rPr>
            </w:pPr>
          </w:p>
        </w:tc>
        <w:tc>
          <w:tcPr>
            <w:tcW w:w="49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0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8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485" w:type="dxa"/>
            <w:tcBorders>
              <w:top w:val="nil"/>
              <w:left w:val="nil"/>
              <w:bottom w:val="nil"/>
              <w:right w:val="single" w:color="auto" w:sz="4" w:space="0"/>
            </w:tcBorders>
            <w:shd w:val="clear" w:color="auto" w:fill="auto"/>
            <w:vAlign w:val="center"/>
          </w:tcPr>
          <w:p>
            <w:pPr>
              <w:spacing w:line="360" w:lineRule="auto"/>
              <w:rPr>
                <w:rFonts w:hint="eastAsia"/>
              </w:rPr>
            </w:pPr>
          </w:p>
        </w:tc>
        <w:tc>
          <w:tcPr>
            <w:tcW w:w="106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440" w:type="dxa"/>
            <w:tcBorders>
              <w:top w:val="nil"/>
              <w:left w:val="nil"/>
              <w:bottom w:val="nil"/>
              <w:right w:val="single" w:color="auto" w:sz="4" w:space="0"/>
            </w:tcBorders>
            <w:shd w:val="clear" w:color="auto" w:fill="auto"/>
            <w:vAlign w:val="center"/>
          </w:tcPr>
          <w:p>
            <w:pPr>
              <w:spacing w:line="360" w:lineRule="auto"/>
              <w:rPr>
                <w:rFonts w:hint="eastAsia"/>
              </w:rPr>
            </w:pPr>
          </w:p>
        </w:tc>
      </w:tr>
      <w:tr>
        <w:tblPrEx>
          <w:tblLayout w:type="fixed"/>
          <w:tblCellMar>
            <w:top w:w="0" w:type="dxa"/>
            <w:left w:w="108" w:type="dxa"/>
            <w:bottom w:w="0" w:type="dxa"/>
            <w:right w:w="108" w:type="dxa"/>
          </w:tblCellMar>
        </w:tblPrEx>
        <w:trPr>
          <w:trHeight w:val="561" w:hRule="atLeast"/>
        </w:trPr>
        <w:tc>
          <w:tcPr>
            <w:tcW w:w="435" w:type="dxa"/>
            <w:tcBorders>
              <w:top w:val="nil"/>
              <w:left w:val="double" w:color="auto" w:sz="6" w:space="0"/>
              <w:bottom w:val="nil"/>
              <w:right w:val="single" w:color="auto" w:sz="4" w:space="0"/>
            </w:tcBorders>
            <w:shd w:val="clear" w:color="auto" w:fill="auto"/>
            <w:vAlign w:val="center"/>
          </w:tcPr>
          <w:p>
            <w:pPr>
              <w:spacing w:line="360" w:lineRule="auto"/>
              <w:rPr>
                <w:rFonts w:hint="eastAsia" w:eastAsiaTheme="minorEastAsia"/>
                <w:lang w:val="en-US" w:eastAsia="zh-CN"/>
              </w:rPr>
            </w:pPr>
            <w:r>
              <w:rPr>
                <w:rFonts w:hint="eastAsia"/>
                <w:lang w:val="en-US" w:eastAsia="zh-CN"/>
              </w:rPr>
              <w:t>4</w:t>
            </w:r>
          </w:p>
        </w:tc>
        <w:tc>
          <w:tcPr>
            <w:tcW w:w="1050" w:type="dxa"/>
            <w:tcBorders>
              <w:top w:val="nil"/>
              <w:left w:val="nil"/>
              <w:bottom w:val="nil"/>
              <w:right w:val="single" w:color="auto" w:sz="4" w:space="0"/>
            </w:tcBorders>
            <w:shd w:val="clear" w:color="auto" w:fill="auto"/>
            <w:vAlign w:val="center"/>
          </w:tcPr>
          <w:p>
            <w:pPr>
              <w:spacing w:line="360" w:lineRule="auto"/>
              <w:rPr>
                <w:rFonts w:hint="eastAsia"/>
              </w:rPr>
            </w:pPr>
          </w:p>
        </w:tc>
        <w:tc>
          <w:tcPr>
            <w:tcW w:w="630" w:type="dxa"/>
            <w:tcBorders>
              <w:top w:val="nil"/>
              <w:left w:val="nil"/>
              <w:bottom w:val="nil"/>
              <w:right w:val="single" w:color="auto" w:sz="4" w:space="0"/>
            </w:tcBorders>
            <w:shd w:val="clear" w:color="auto" w:fill="auto"/>
            <w:vAlign w:val="center"/>
          </w:tcPr>
          <w:p>
            <w:pPr>
              <w:spacing w:line="360" w:lineRule="auto"/>
              <w:rPr>
                <w:rFonts w:hint="eastAsia"/>
              </w:rPr>
            </w:pPr>
          </w:p>
        </w:tc>
        <w:tc>
          <w:tcPr>
            <w:tcW w:w="49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0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8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48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06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44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r>
      <w:tr>
        <w:tblPrEx>
          <w:tblLayout w:type="fixed"/>
          <w:tblCellMar>
            <w:top w:w="0" w:type="dxa"/>
            <w:left w:w="108" w:type="dxa"/>
            <w:bottom w:w="0" w:type="dxa"/>
            <w:right w:w="108" w:type="dxa"/>
          </w:tblCellMar>
        </w:tblPrEx>
        <w:trPr>
          <w:trHeight w:val="576" w:hRule="atLeast"/>
        </w:trPr>
        <w:tc>
          <w:tcPr>
            <w:tcW w:w="435" w:type="dxa"/>
            <w:tcBorders>
              <w:top w:val="nil"/>
              <w:left w:val="double" w:color="auto" w:sz="6" w:space="0"/>
              <w:bottom w:val="nil"/>
              <w:right w:val="single" w:color="auto" w:sz="4" w:space="0"/>
            </w:tcBorders>
            <w:shd w:val="clear" w:color="auto" w:fill="auto"/>
            <w:vAlign w:val="center"/>
          </w:tcPr>
          <w:p>
            <w:pPr>
              <w:spacing w:line="360" w:lineRule="auto"/>
              <w:rPr>
                <w:rFonts w:hint="eastAsia"/>
                <w:lang w:val="en-US" w:eastAsia="zh-CN"/>
              </w:rPr>
            </w:pPr>
            <w:r>
              <w:rPr>
                <w:rFonts w:hint="eastAsia"/>
                <w:lang w:val="en-US" w:eastAsia="zh-CN"/>
              </w:rPr>
              <w:t>5</w:t>
            </w:r>
          </w:p>
        </w:tc>
        <w:tc>
          <w:tcPr>
            <w:tcW w:w="1050" w:type="dxa"/>
            <w:tcBorders>
              <w:top w:val="nil"/>
              <w:left w:val="nil"/>
              <w:bottom w:val="nil"/>
              <w:right w:val="single" w:color="auto" w:sz="4" w:space="0"/>
            </w:tcBorders>
            <w:shd w:val="clear" w:color="auto" w:fill="auto"/>
            <w:vAlign w:val="center"/>
          </w:tcPr>
          <w:p>
            <w:pPr>
              <w:spacing w:line="360" w:lineRule="auto"/>
              <w:rPr>
                <w:rFonts w:hint="eastAsia"/>
                <w:lang w:eastAsia="zh-CN"/>
              </w:rPr>
            </w:pPr>
          </w:p>
        </w:tc>
        <w:tc>
          <w:tcPr>
            <w:tcW w:w="63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49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0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8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48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065" w:type="dxa"/>
            <w:tcBorders>
              <w:top w:val="nil"/>
              <w:left w:val="nil"/>
              <w:bottom w:val="nil"/>
              <w:right w:val="single" w:color="auto" w:sz="4" w:space="0"/>
            </w:tcBorders>
            <w:shd w:val="clear" w:color="auto" w:fill="auto"/>
            <w:vAlign w:val="center"/>
          </w:tcPr>
          <w:p>
            <w:pPr>
              <w:spacing w:line="360" w:lineRule="auto"/>
              <w:rPr>
                <w:rFonts w:hint="eastAsia"/>
              </w:rPr>
            </w:pPr>
          </w:p>
        </w:tc>
        <w:tc>
          <w:tcPr>
            <w:tcW w:w="1440" w:type="dxa"/>
            <w:tcBorders>
              <w:top w:val="nil"/>
              <w:left w:val="nil"/>
              <w:bottom w:val="nil"/>
              <w:right w:val="single" w:color="auto" w:sz="4" w:space="0"/>
            </w:tcBorders>
            <w:shd w:val="clear" w:color="auto" w:fill="auto"/>
            <w:vAlign w:val="center"/>
          </w:tcPr>
          <w:p>
            <w:pPr>
              <w:spacing w:line="360" w:lineRule="auto"/>
              <w:rPr>
                <w:rFonts w:hint="eastAsia"/>
              </w:rPr>
            </w:pPr>
          </w:p>
        </w:tc>
      </w:tr>
      <w:tr>
        <w:tblPrEx>
          <w:tblLayout w:type="fixed"/>
          <w:tblCellMar>
            <w:top w:w="0" w:type="dxa"/>
            <w:left w:w="108" w:type="dxa"/>
            <w:bottom w:w="0" w:type="dxa"/>
            <w:right w:w="108" w:type="dxa"/>
          </w:tblCellMar>
        </w:tblPrEx>
        <w:trPr>
          <w:trHeight w:val="711" w:hRule="atLeast"/>
        </w:trPr>
        <w:tc>
          <w:tcPr>
            <w:tcW w:w="435" w:type="dxa"/>
            <w:tcBorders>
              <w:top w:val="nil"/>
              <w:left w:val="double" w:color="auto" w:sz="6" w:space="0"/>
              <w:bottom w:val="nil"/>
              <w:right w:val="single" w:color="auto" w:sz="4" w:space="0"/>
            </w:tcBorders>
            <w:shd w:val="clear" w:color="auto" w:fill="auto"/>
            <w:vAlign w:val="center"/>
          </w:tcPr>
          <w:p>
            <w:pPr>
              <w:spacing w:line="360" w:lineRule="auto"/>
              <w:rPr>
                <w:rFonts w:hint="eastAsia"/>
                <w:lang w:val="en-US" w:eastAsia="zh-CN"/>
              </w:rPr>
            </w:pPr>
            <w:r>
              <w:rPr>
                <w:rFonts w:hint="eastAsia"/>
                <w:lang w:val="en-US" w:eastAsia="zh-CN"/>
              </w:rPr>
              <w:t>6</w:t>
            </w:r>
          </w:p>
        </w:tc>
        <w:tc>
          <w:tcPr>
            <w:tcW w:w="1050" w:type="dxa"/>
            <w:tcBorders>
              <w:top w:val="nil"/>
              <w:left w:val="nil"/>
              <w:bottom w:val="nil"/>
              <w:right w:val="single" w:color="auto" w:sz="4" w:space="0"/>
            </w:tcBorders>
            <w:shd w:val="clear" w:color="auto" w:fill="auto"/>
            <w:vAlign w:val="center"/>
          </w:tcPr>
          <w:p>
            <w:pPr>
              <w:spacing w:line="360" w:lineRule="auto"/>
              <w:rPr>
                <w:rFonts w:hint="eastAsia"/>
                <w:lang w:eastAsia="zh-CN"/>
              </w:rPr>
            </w:pPr>
          </w:p>
        </w:tc>
        <w:tc>
          <w:tcPr>
            <w:tcW w:w="630" w:type="dxa"/>
            <w:tcBorders>
              <w:top w:val="nil"/>
              <w:left w:val="nil"/>
              <w:bottom w:val="nil"/>
              <w:right w:val="single" w:color="auto" w:sz="4" w:space="0"/>
            </w:tcBorders>
            <w:shd w:val="clear" w:color="auto" w:fill="auto"/>
            <w:vAlign w:val="center"/>
          </w:tcPr>
          <w:p>
            <w:pPr>
              <w:spacing w:line="360" w:lineRule="auto"/>
              <w:rPr>
                <w:rFonts w:hint="eastAsia"/>
              </w:rPr>
            </w:pPr>
          </w:p>
        </w:tc>
        <w:tc>
          <w:tcPr>
            <w:tcW w:w="49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0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8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48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065" w:type="dxa"/>
            <w:tcBorders>
              <w:top w:val="nil"/>
              <w:left w:val="nil"/>
              <w:bottom w:val="nil"/>
              <w:right w:val="single" w:color="auto" w:sz="4" w:space="0"/>
            </w:tcBorders>
            <w:shd w:val="clear" w:color="auto" w:fill="auto"/>
            <w:vAlign w:val="center"/>
          </w:tcPr>
          <w:p>
            <w:pPr>
              <w:spacing w:line="360" w:lineRule="auto"/>
              <w:rPr>
                <w:rFonts w:hint="eastAsia"/>
              </w:rPr>
            </w:pPr>
          </w:p>
        </w:tc>
        <w:tc>
          <w:tcPr>
            <w:tcW w:w="144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r>
      <w:tr>
        <w:tblPrEx>
          <w:tblLayout w:type="fixed"/>
          <w:tblCellMar>
            <w:top w:w="0" w:type="dxa"/>
            <w:left w:w="108" w:type="dxa"/>
            <w:bottom w:w="0" w:type="dxa"/>
            <w:right w:w="108" w:type="dxa"/>
          </w:tblCellMar>
        </w:tblPrEx>
        <w:trPr>
          <w:trHeight w:val="681" w:hRule="atLeast"/>
        </w:trPr>
        <w:tc>
          <w:tcPr>
            <w:tcW w:w="435" w:type="dxa"/>
            <w:tcBorders>
              <w:top w:val="nil"/>
              <w:left w:val="double" w:color="auto" w:sz="6" w:space="0"/>
              <w:bottom w:val="nil"/>
              <w:right w:val="single" w:color="auto" w:sz="4" w:space="0"/>
            </w:tcBorders>
            <w:shd w:val="clear" w:color="auto" w:fill="auto"/>
            <w:vAlign w:val="center"/>
          </w:tcPr>
          <w:p>
            <w:pPr>
              <w:spacing w:line="360" w:lineRule="auto"/>
              <w:rPr>
                <w:rFonts w:hint="eastAsia"/>
                <w:lang w:val="en-US" w:eastAsia="zh-CN"/>
              </w:rPr>
            </w:pPr>
            <w:r>
              <w:rPr>
                <w:rFonts w:hint="eastAsia"/>
                <w:lang w:val="en-US" w:eastAsia="zh-CN"/>
              </w:rPr>
              <w:t>7</w:t>
            </w:r>
          </w:p>
        </w:tc>
        <w:tc>
          <w:tcPr>
            <w:tcW w:w="1050" w:type="dxa"/>
            <w:tcBorders>
              <w:top w:val="nil"/>
              <w:left w:val="nil"/>
              <w:bottom w:val="nil"/>
              <w:right w:val="single" w:color="auto" w:sz="4" w:space="0"/>
            </w:tcBorders>
            <w:shd w:val="clear" w:color="auto" w:fill="auto"/>
            <w:vAlign w:val="center"/>
          </w:tcPr>
          <w:p>
            <w:pPr>
              <w:spacing w:line="360" w:lineRule="auto"/>
              <w:rPr>
                <w:rFonts w:hint="eastAsia"/>
                <w:lang w:eastAsia="zh-CN"/>
              </w:rPr>
            </w:pPr>
          </w:p>
        </w:tc>
        <w:tc>
          <w:tcPr>
            <w:tcW w:w="630" w:type="dxa"/>
            <w:tcBorders>
              <w:top w:val="nil"/>
              <w:left w:val="nil"/>
              <w:bottom w:val="nil"/>
              <w:right w:val="single" w:color="auto" w:sz="4" w:space="0"/>
            </w:tcBorders>
            <w:shd w:val="clear" w:color="auto" w:fill="auto"/>
            <w:vAlign w:val="center"/>
          </w:tcPr>
          <w:p>
            <w:pPr>
              <w:spacing w:line="360" w:lineRule="auto"/>
              <w:rPr>
                <w:rFonts w:hint="eastAsia"/>
              </w:rPr>
            </w:pPr>
          </w:p>
        </w:tc>
        <w:tc>
          <w:tcPr>
            <w:tcW w:w="49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0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8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48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06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440" w:type="dxa"/>
            <w:tcBorders>
              <w:top w:val="nil"/>
              <w:left w:val="nil"/>
              <w:bottom w:val="nil"/>
              <w:right w:val="single" w:color="auto" w:sz="4" w:space="0"/>
            </w:tcBorders>
            <w:shd w:val="clear" w:color="auto" w:fill="auto"/>
            <w:vAlign w:val="center"/>
          </w:tcPr>
          <w:p>
            <w:pPr>
              <w:spacing w:line="360" w:lineRule="auto"/>
              <w:rPr>
                <w:rFonts w:hint="eastAsia"/>
              </w:rPr>
            </w:pPr>
          </w:p>
        </w:tc>
      </w:tr>
      <w:tr>
        <w:tblPrEx>
          <w:tblLayout w:type="fixed"/>
          <w:tblCellMar>
            <w:top w:w="0" w:type="dxa"/>
            <w:left w:w="108" w:type="dxa"/>
            <w:bottom w:w="0" w:type="dxa"/>
            <w:right w:w="108" w:type="dxa"/>
          </w:tblCellMar>
        </w:tblPrEx>
        <w:trPr>
          <w:trHeight w:val="561" w:hRule="atLeast"/>
        </w:trPr>
        <w:tc>
          <w:tcPr>
            <w:tcW w:w="435" w:type="dxa"/>
            <w:tcBorders>
              <w:top w:val="nil"/>
              <w:left w:val="double" w:color="auto" w:sz="6" w:space="0"/>
              <w:bottom w:val="nil"/>
              <w:right w:val="single" w:color="auto" w:sz="4" w:space="0"/>
            </w:tcBorders>
            <w:shd w:val="clear" w:color="auto" w:fill="auto"/>
            <w:vAlign w:val="center"/>
          </w:tcPr>
          <w:p>
            <w:pPr>
              <w:spacing w:line="360" w:lineRule="auto"/>
              <w:rPr>
                <w:rFonts w:hint="eastAsia"/>
                <w:lang w:val="en-US" w:eastAsia="zh-CN"/>
              </w:rPr>
            </w:pPr>
            <w:r>
              <w:rPr>
                <w:rFonts w:hint="eastAsia"/>
                <w:lang w:val="en-US" w:eastAsia="zh-CN"/>
              </w:rPr>
              <w:t>8</w:t>
            </w:r>
          </w:p>
        </w:tc>
        <w:tc>
          <w:tcPr>
            <w:tcW w:w="1050" w:type="dxa"/>
            <w:tcBorders>
              <w:top w:val="nil"/>
              <w:left w:val="nil"/>
              <w:bottom w:val="nil"/>
              <w:right w:val="single" w:color="auto" w:sz="4" w:space="0"/>
            </w:tcBorders>
            <w:shd w:val="clear" w:color="auto" w:fill="auto"/>
            <w:vAlign w:val="center"/>
          </w:tcPr>
          <w:p>
            <w:pPr>
              <w:spacing w:line="360" w:lineRule="auto"/>
              <w:rPr>
                <w:rFonts w:hint="eastAsia"/>
                <w:lang w:eastAsia="zh-CN"/>
              </w:rPr>
            </w:pPr>
          </w:p>
        </w:tc>
        <w:tc>
          <w:tcPr>
            <w:tcW w:w="630" w:type="dxa"/>
            <w:tcBorders>
              <w:top w:val="nil"/>
              <w:left w:val="nil"/>
              <w:bottom w:val="nil"/>
              <w:right w:val="single" w:color="auto" w:sz="4" w:space="0"/>
            </w:tcBorders>
            <w:shd w:val="clear" w:color="auto" w:fill="auto"/>
            <w:vAlign w:val="center"/>
          </w:tcPr>
          <w:p>
            <w:pPr>
              <w:spacing w:line="360" w:lineRule="auto"/>
              <w:rPr>
                <w:rFonts w:hint="eastAsia"/>
              </w:rPr>
            </w:pPr>
          </w:p>
        </w:tc>
        <w:tc>
          <w:tcPr>
            <w:tcW w:w="49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0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8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48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06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440" w:type="dxa"/>
            <w:tcBorders>
              <w:top w:val="nil"/>
              <w:left w:val="nil"/>
              <w:bottom w:val="nil"/>
              <w:right w:val="single" w:color="auto" w:sz="4" w:space="0"/>
            </w:tcBorders>
            <w:shd w:val="clear" w:color="auto" w:fill="auto"/>
            <w:vAlign w:val="center"/>
          </w:tcPr>
          <w:p>
            <w:pPr>
              <w:spacing w:line="360" w:lineRule="auto"/>
              <w:rPr>
                <w:rFonts w:hint="eastAsia"/>
              </w:rPr>
            </w:pPr>
          </w:p>
        </w:tc>
      </w:tr>
      <w:tr>
        <w:tblPrEx>
          <w:tblLayout w:type="fixed"/>
          <w:tblCellMar>
            <w:top w:w="0" w:type="dxa"/>
            <w:left w:w="108" w:type="dxa"/>
            <w:bottom w:w="0" w:type="dxa"/>
            <w:right w:w="108" w:type="dxa"/>
          </w:tblCellMar>
        </w:tblPrEx>
        <w:trPr>
          <w:trHeight w:val="606" w:hRule="atLeast"/>
        </w:trPr>
        <w:tc>
          <w:tcPr>
            <w:tcW w:w="435" w:type="dxa"/>
            <w:tcBorders>
              <w:top w:val="nil"/>
              <w:left w:val="double" w:color="auto" w:sz="6" w:space="0"/>
              <w:bottom w:val="nil"/>
              <w:right w:val="single" w:color="auto" w:sz="4" w:space="0"/>
            </w:tcBorders>
            <w:shd w:val="clear" w:color="auto" w:fill="auto"/>
            <w:vAlign w:val="center"/>
          </w:tcPr>
          <w:p>
            <w:pPr>
              <w:spacing w:line="360" w:lineRule="auto"/>
              <w:rPr>
                <w:rFonts w:hint="eastAsia"/>
                <w:lang w:val="en-US" w:eastAsia="zh-CN"/>
              </w:rPr>
            </w:pPr>
            <w:r>
              <w:rPr>
                <w:rFonts w:hint="eastAsia"/>
                <w:lang w:val="en-US" w:eastAsia="zh-CN"/>
              </w:rPr>
              <w:t>9</w:t>
            </w:r>
          </w:p>
        </w:tc>
        <w:tc>
          <w:tcPr>
            <w:tcW w:w="1050" w:type="dxa"/>
            <w:tcBorders>
              <w:top w:val="nil"/>
              <w:left w:val="nil"/>
              <w:bottom w:val="nil"/>
              <w:right w:val="single" w:color="auto" w:sz="4" w:space="0"/>
            </w:tcBorders>
            <w:shd w:val="clear" w:color="auto" w:fill="auto"/>
            <w:vAlign w:val="center"/>
          </w:tcPr>
          <w:p>
            <w:pPr>
              <w:spacing w:line="360" w:lineRule="auto"/>
              <w:rPr>
                <w:rFonts w:hint="eastAsia"/>
                <w:lang w:eastAsia="zh-CN"/>
              </w:rPr>
            </w:pPr>
          </w:p>
        </w:tc>
        <w:tc>
          <w:tcPr>
            <w:tcW w:w="630" w:type="dxa"/>
            <w:tcBorders>
              <w:top w:val="nil"/>
              <w:left w:val="nil"/>
              <w:bottom w:val="nil"/>
              <w:right w:val="single" w:color="auto" w:sz="4" w:space="0"/>
            </w:tcBorders>
            <w:shd w:val="clear" w:color="auto" w:fill="auto"/>
            <w:vAlign w:val="center"/>
          </w:tcPr>
          <w:p>
            <w:pPr>
              <w:spacing w:line="360" w:lineRule="auto"/>
              <w:rPr>
                <w:rFonts w:hint="eastAsia"/>
              </w:rPr>
            </w:pPr>
          </w:p>
        </w:tc>
        <w:tc>
          <w:tcPr>
            <w:tcW w:w="49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0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8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48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065" w:type="dxa"/>
            <w:tcBorders>
              <w:top w:val="nil"/>
              <w:left w:val="nil"/>
              <w:bottom w:val="nil"/>
              <w:right w:val="single" w:color="auto" w:sz="4" w:space="0"/>
            </w:tcBorders>
            <w:shd w:val="clear" w:color="auto" w:fill="auto"/>
            <w:vAlign w:val="center"/>
          </w:tcPr>
          <w:p>
            <w:pPr>
              <w:spacing w:line="360" w:lineRule="auto"/>
              <w:rPr>
                <w:rFonts w:hint="eastAsia"/>
              </w:rPr>
            </w:pPr>
          </w:p>
        </w:tc>
        <w:tc>
          <w:tcPr>
            <w:tcW w:w="1440" w:type="dxa"/>
            <w:tcBorders>
              <w:top w:val="nil"/>
              <w:left w:val="nil"/>
              <w:bottom w:val="nil"/>
              <w:right w:val="single" w:color="auto" w:sz="4" w:space="0"/>
            </w:tcBorders>
            <w:shd w:val="clear" w:color="auto" w:fill="auto"/>
            <w:vAlign w:val="center"/>
          </w:tcPr>
          <w:p>
            <w:pPr>
              <w:spacing w:line="360" w:lineRule="auto"/>
              <w:rPr>
                <w:rFonts w:hint="eastAsia"/>
              </w:rPr>
            </w:pPr>
          </w:p>
        </w:tc>
      </w:tr>
      <w:tr>
        <w:tblPrEx>
          <w:tblLayout w:type="fixed"/>
          <w:tblCellMar>
            <w:top w:w="0" w:type="dxa"/>
            <w:left w:w="108" w:type="dxa"/>
            <w:bottom w:w="0" w:type="dxa"/>
            <w:right w:w="108" w:type="dxa"/>
          </w:tblCellMar>
        </w:tblPrEx>
        <w:trPr>
          <w:trHeight w:val="531" w:hRule="atLeast"/>
        </w:trPr>
        <w:tc>
          <w:tcPr>
            <w:tcW w:w="435" w:type="dxa"/>
            <w:tcBorders>
              <w:top w:val="nil"/>
              <w:left w:val="double" w:color="auto" w:sz="6" w:space="0"/>
              <w:bottom w:val="nil"/>
              <w:right w:val="single" w:color="auto" w:sz="4" w:space="0"/>
            </w:tcBorders>
            <w:shd w:val="clear" w:color="auto" w:fill="auto"/>
            <w:vAlign w:val="center"/>
          </w:tcPr>
          <w:p>
            <w:pPr>
              <w:spacing w:line="360" w:lineRule="auto"/>
              <w:rPr>
                <w:rFonts w:hint="eastAsia"/>
                <w:lang w:val="en-US" w:eastAsia="zh-CN"/>
              </w:rPr>
            </w:pPr>
            <w:r>
              <w:rPr>
                <w:rFonts w:hint="eastAsia"/>
                <w:lang w:val="en-US" w:eastAsia="zh-CN"/>
              </w:rPr>
              <w:t>10</w:t>
            </w:r>
          </w:p>
        </w:tc>
        <w:tc>
          <w:tcPr>
            <w:tcW w:w="1050" w:type="dxa"/>
            <w:tcBorders>
              <w:top w:val="nil"/>
              <w:left w:val="nil"/>
              <w:bottom w:val="nil"/>
              <w:right w:val="single" w:color="auto" w:sz="4" w:space="0"/>
            </w:tcBorders>
            <w:shd w:val="clear" w:color="auto" w:fill="auto"/>
            <w:vAlign w:val="center"/>
          </w:tcPr>
          <w:p>
            <w:pPr>
              <w:spacing w:line="360" w:lineRule="auto"/>
              <w:rPr>
                <w:rFonts w:hint="eastAsia"/>
                <w:lang w:eastAsia="zh-CN"/>
              </w:rPr>
            </w:pPr>
          </w:p>
        </w:tc>
        <w:tc>
          <w:tcPr>
            <w:tcW w:w="630" w:type="dxa"/>
            <w:tcBorders>
              <w:top w:val="nil"/>
              <w:left w:val="nil"/>
              <w:bottom w:val="nil"/>
              <w:right w:val="single" w:color="auto" w:sz="4" w:space="0"/>
            </w:tcBorders>
            <w:shd w:val="clear" w:color="auto" w:fill="auto"/>
            <w:vAlign w:val="center"/>
          </w:tcPr>
          <w:p>
            <w:pPr>
              <w:spacing w:line="360" w:lineRule="auto"/>
              <w:rPr>
                <w:rFonts w:hint="eastAsia"/>
              </w:rPr>
            </w:pPr>
          </w:p>
        </w:tc>
        <w:tc>
          <w:tcPr>
            <w:tcW w:w="49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0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8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485" w:type="dxa"/>
            <w:tcBorders>
              <w:top w:val="nil"/>
              <w:left w:val="nil"/>
              <w:bottom w:val="nil"/>
              <w:right w:val="single" w:color="auto" w:sz="4" w:space="0"/>
            </w:tcBorders>
            <w:shd w:val="clear" w:color="auto" w:fill="auto"/>
            <w:vAlign w:val="center"/>
          </w:tcPr>
          <w:p>
            <w:pPr>
              <w:spacing w:line="360" w:lineRule="auto"/>
              <w:rPr>
                <w:rFonts w:hint="eastAsia"/>
              </w:rPr>
            </w:pPr>
          </w:p>
        </w:tc>
        <w:tc>
          <w:tcPr>
            <w:tcW w:w="106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440" w:type="dxa"/>
            <w:tcBorders>
              <w:top w:val="nil"/>
              <w:left w:val="nil"/>
              <w:bottom w:val="nil"/>
              <w:right w:val="single" w:color="auto" w:sz="4" w:space="0"/>
            </w:tcBorders>
            <w:shd w:val="clear" w:color="auto" w:fill="auto"/>
            <w:vAlign w:val="center"/>
          </w:tcPr>
          <w:p>
            <w:pPr>
              <w:spacing w:line="360" w:lineRule="auto"/>
              <w:rPr>
                <w:rFonts w:hint="eastAsia"/>
              </w:rPr>
            </w:pPr>
          </w:p>
        </w:tc>
      </w:tr>
      <w:tr>
        <w:tblPrEx>
          <w:tblLayout w:type="fixed"/>
          <w:tblCellMar>
            <w:top w:w="0" w:type="dxa"/>
            <w:left w:w="108" w:type="dxa"/>
            <w:bottom w:w="0" w:type="dxa"/>
            <w:right w:w="108" w:type="dxa"/>
          </w:tblCellMar>
        </w:tblPrEx>
        <w:trPr>
          <w:trHeight w:val="531" w:hRule="atLeast"/>
        </w:trPr>
        <w:tc>
          <w:tcPr>
            <w:tcW w:w="435" w:type="dxa"/>
            <w:tcBorders>
              <w:top w:val="nil"/>
              <w:left w:val="double" w:color="auto" w:sz="6" w:space="0"/>
              <w:bottom w:val="nil"/>
              <w:right w:val="single" w:color="auto" w:sz="4" w:space="0"/>
            </w:tcBorders>
            <w:shd w:val="clear" w:color="auto" w:fill="auto"/>
            <w:vAlign w:val="center"/>
          </w:tcPr>
          <w:p>
            <w:pPr>
              <w:spacing w:line="360" w:lineRule="auto"/>
              <w:rPr>
                <w:rFonts w:hint="eastAsia"/>
                <w:lang w:val="en-US" w:eastAsia="zh-CN"/>
              </w:rPr>
            </w:pPr>
            <w:r>
              <w:rPr>
                <w:rFonts w:hint="eastAsia"/>
                <w:lang w:val="en-US" w:eastAsia="zh-CN"/>
              </w:rPr>
              <w:t>11</w:t>
            </w:r>
          </w:p>
        </w:tc>
        <w:tc>
          <w:tcPr>
            <w:tcW w:w="1050" w:type="dxa"/>
            <w:tcBorders>
              <w:top w:val="nil"/>
              <w:left w:val="nil"/>
              <w:bottom w:val="nil"/>
              <w:right w:val="single" w:color="auto" w:sz="4" w:space="0"/>
            </w:tcBorders>
            <w:shd w:val="clear" w:color="auto" w:fill="auto"/>
            <w:vAlign w:val="center"/>
          </w:tcPr>
          <w:p>
            <w:pPr>
              <w:spacing w:line="360" w:lineRule="auto"/>
              <w:rPr>
                <w:rFonts w:hint="eastAsia"/>
                <w:lang w:eastAsia="zh-CN"/>
              </w:rPr>
            </w:pPr>
          </w:p>
        </w:tc>
        <w:tc>
          <w:tcPr>
            <w:tcW w:w="630" w:type="dxa"/>
            <w:tcBorders>
              <w:top w:val="nil"/>
              <w:left w:val="nil"/>
              <w:bottom w:val="nil"/>
              <w:right w:val="single" w:color="auto" w:sz="4" w:space="0"/>
            </w:tcBorders>
            <w:shd w:val="clear" w:color="auto" w:fill="auto"/>
            <w:vAlign w:val="center"/>
          </w:tcPr>
          <w:p>
            <w:pPr>
              <w:spacing w:line="360" w:lineRule="auto"/>
              <w:rPr>
                <w:rFonts w:hint="eastAsia"/>
              </w:rPr>
            </w:pPr>
          </w:p>
        </w:tc>
        <w:tc>
          <w:tcPr>
            <w:tcW w:w="49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0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8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485" w:type="dxa"/>
            <w:tcBorders>
              <w:top w:val="nil"/>
              <w:left w:val="nil"/>
              <w:bottom w:val="nil"/>
              <w:right w:val="single" w:color="auto" w:sz="4" w:space="0"/>
            </w:tcBorders>
            <w:shd w:val="clear" w:color="auto" w:fill="auto"/>
            <w:vAlign w:val="center"/>
          </w:tcPr>
          <w:p>
            <w:pPr>
              <w:spacing w:line="360" w:lineRule="auto"/>
              <w:rPr>
                <w:rFonts w:hint="eastAsia"/>
              </w:rPr>
            </w:pPr>
          </w:p>
        </w:tc>
        <w:tc>
          <w:tcPr>
            <w:tcW w:w="1065" w:type="dxa"/>
            <w:tcBorders>
              <w:top w:val="nil"/>
              <w:left w:val="nil"/>
              <w:bottom w:val="nil"/>
              <w:right w:val="single" w:color="auto" w:sz="4" w:space="0"/>
            </w:tcBorders>
            <w:shd w:val="clear" w:color="auto" w:fill="auto"/>
            <w:vAlign w:val="center"/>
          </w:tcPr>
          <w:p>
            <w:pPr>
              <w:spacing w:line="360" w:lineRule="auto"/>
              <w:rPr>
                <w:rFonts w:hint="eastAsia"/>
              </w:rPr>
            </w:pPr>
          </w:p>
        </w:tc>
        <w:tc>
          <w:tcPr>
            <w:tcW w:w="1440" w:type="dxa"/>
            <w:tcBorders>
              <w:top w:val="nil"/>
              <w:left w:val="nil"/>
              <w:bottom w:val="nil"/>
              <w:right w:val="single" w:color="auto" w:sz="4" w:space="0"/>
            </w:tcBorders>
            <w:shd w:val="clear" w:color="auto" w:fill="auto"/>
            <w:vAlign w:val="center"/>
          </w:tcPr>
          <w:p>
            <w:pPr>
              <w:spacing w:line="360" w:lineRule="auto"/>
              <w:rPr>
                <w:rFonts w:hint="eastAsia"/>
              </w:rPr>
            </w:pPr>
          </w:p>
        </w:tc>
      </w:tr>
      <w:tr>
        <w:tblPrEx>
          <w:tblLayout w:type="fixed"/>
          <w:tblCellMar>
            <w:top w:w="0" w:type="dxa"/>
            <w:left w:w="108" w:type="dxa"/>
            <w:bottom w:w="0" w:type="dxa"/>
            <w:right w:w="108" w:type="dxa"/>
          </w:tblCellMar>
        </w:tblPrEx>
        <w:trPr>
          <w:trHeight w:val="516" w:hRule="atLeast"/>
        </w:trPr>
        <w:tc>
          <w:tcPr>
            <w:tcW w:w="435" w:type="dxa"/>
            <w:tcBorders>
              <w:top w:val="nil"/>
              <w:left w:val="double" w:color="auto" w:sz="6" w:space="0"/>
              <w:bottom w:val="nil"/>
              <w:right w:val="single" w:color="auto" w:sz="4" w:space="0"/>
            </w:tcBorders>
            <w:shd w:val="clear" w:color="auto" w:fill="auto"/>
            <w:vAlign w:val="center"/>
          </w:tcPr>
          <w:p>
            <w:pPr>
              <w:spacing w:line="360" w:lineRule="auto"/>
              <w:rPr>
                <w:rFonts w:hint="eastAsia"/>
                <w:lang w:val="en-US" w:eastAsia="zh-CN"/>
              </w:rPr>
            </w:pPr>
            <w:r>
              <w:rPr>
                <w:rFonts w:hint="eastAsia"/>
                <w:lang w:val="en-US" w:eastAsia="zh-CN"/>
              </w:rPr>
              <w:t>13</w:t>
            </w:r>
          </w:p>
        </w:tc>
        <w:tc>
          <w:tcPr>
            <w:tcW w:w="1050" w:type="dxa"/>
            <w:tcBorders>
              <w:top w:val="nil"/>
              <w:left w:val="nil"/>
              <w:bottom w:val="nil"/>
              <w:right w:val="single" w:color="auto" w:sz="4" w:space="0"/>
            </w:tcBorders>
            <w:shd w:val="clear" w:color="auto" w:fill="auto"/>
            <w:vAlign w:val="center"/>
          </w:tcPr>
          <w:p>
            <w:pPr>
              <w:spacing w:line="360" w:lineRule="auto"/>
              <w:rPr>
                <w:rFonts w:hint="eastAsia"/>
                <w:lang w:eastAsia="zh-CN"/>
              </w:rPr>
            </w:pPr>
          </w:p>
        </w:tc>
        <w:tc>
          <w:tcPr>
            <w:tcW w:w="630" w:type="dxa"/>
            <w:tcBorders>
              <w:top w:val="nil"/>
              <w:left w:val="nil"/>
              <w:bottom w:val="nil"/>
              <w:right w:val="single" w:color="auto" w:sz="4" w:space="0"/>
            </w:tcBorders>
            <w:shd w:val="clear" w:color="auto" w:fill="auto"/>
            <w:vAlign w:val="center"/>
          </w:tcPr>
          <w:p>
            <w:pPr>
              <w:spacing w:line="360" w:lineRule="auto"/>
              <w:rPr>
                <w:rFonts w:hint="eastAsia"/>
              </w:rPr>
            </w:pPr>
          </w:p>
        </w:tc>
        <w:tc>
          <w:tcPr>
            <w:tcW w:w="49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0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8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48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065" w:type="dxa"/>
            <w:tcBorders>
              <w:top w:val="nil"/>
              <w:left w:val="nil"/>
              <w:bottom w:val="nil"/>
              <w:right w:val="single" w:color="auto" w:sz="4" w:space="0"/>
            </w:tcBorders>
            <w:shd w:val="clear" w:color="auto" w:fill="auto"/>
            <w:vAlign w:val="center"/>
          </w:tcPr>
          <w:p>
            <w:pPr>
              <w:spacing w:line="360" w:lineRule="auto"/>
              <w:rPr>
                <w:rFonts w:hint="eastAsia"/>
              </w:rPr>
            </w:pPr>
          </w:p>
        </w:tc>
        <w:tc>
          <w:tcPr>
            <w:tcW w:w="1440" w:type="dxa"/>
            <w:tcBorders>
              <w:top w:val="nil"/>
              <w:left w:val="nil"/>
              <w:bottom w:val="nil"/>
              <w:right w:val="single" w:color="auto" w:sz="4" w:space="0"/>
            </w:tcBorders>
            <w:shd w:val="clear" w:color="auto" w:fill="auto"/>
            <w:vAlign w:val="center"/>
          </w:tcPr>
          <w:p>
            <w:pPr>
              <w:spacing w:line="360" w:lineRule="auto"/>
              <w:rPr>
                <w:rFonts w:hint="eastAsia"/>
              </w:rPr>
            </w:pPr>
          </w:p>
        </w:tc>
      </w:tr>
      <w:tr>
        <w:tblPrEx>
          <w:tblLayout w:type="fixed"/>
          <w:tblCellMar>
            <w:top w:w="0" w:type="dxa"/>
            <w:left w:w="108" w:type="dxa"/>
            <w:bottom w:w="0" w:type="dxa"/>
            <w:right w:w="108" w:type="dxa"/>
          </w:tblCellMar>
        </w:tblPrEx>
        <w:trPr>
          <w:trHeight w:val="531" w:hRule="atLeast"/>
        </w:trPr>
        <w:tc>
          <w:tcPr>
            <w:tcW w:w="435" w:type="dxa"/>
            <w:tcBorders>
              <w:top w:val="nil"/>
              <w:left w:val="double" w:color="auto" w:sz="6" w:space="0"/>
              <w:bottom w:val="nil"/>
              <w:right w:val="single" w:color="auto" w:sz="4" w:space="0"/>
            </w:tcBorders>
            <w:shd w:val="clear" w:color="auto" w:fill="auto"/>
            <w:vAlign w:val="center"/>
          </w:tcPr>
          <w:p>
            <w:pPr>
              <w:spacing w:line="360" w:lineRule="auto"/>
              <w:rPr>
                <w:rFonts w:hint="eastAsia"/>
                <w:lang w:val="en-US" w:eastAsia="zh-CN"/>
              </w:rPr>
            </w:pPr>
            <w:r>
              <w:rPr>
                <w:rFonts w:hint="eastAsia"/>
                <w:lang w:val="en-US" w:eastAsia="zh-CN"/>
              </w:rPr>
              <w:t>14</w:t>
            </w:r>
          </w:p>
        </w:tc>
        <w:tc>
          <w:tcPr>
            <w:tcW w:w="1050" w:type="dxa"/>
            <w:tcBorders>
              <w:top w:val="nil"/>
              <w:left w:val="nil"/>
              <w:bottom w:val="nil"/>
              <w:right w:val="single" w:color="auto" w:sz="4" w:space="0"/>
            </w:tcBorders>
            <w:shd w:val="clear" w:color="auto" w:fill="auto"/>
            <w:vAlign w:val="center"/>
          </w:tcPr>
          <w:p>
            <w:pPr>
              <w:spacing w:line="360" w:lineRule="auto"/>
              <w:rPr>
                <w:rFonts w:hint="eastAsia"/>
                <w:lang w:eastAsia="zh-CN"/>
              </w:rPr>
            </w:pPr>
          </w:p>
        </w:tc>
        <w:tc>
          <w:tcPr>
            <w:tcW w:w="63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49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0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8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48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065" w:type="dxa"/>
            <w:tcBorders>
              <w:top w:val="nil"/>
              <w:left w:val="nil"/>
              <w:bottom w:val="nil"/>
              <w:right w:val="single" w:color="auto" w:sz="4" w:space="0"/>
            </w:tcBorders>
            <w:shd w:val="clear" w:color="auto" w:fill="auto"/>
            <w:vAlign w:val="center"/>
          </w:tcPr>
          <w:p>
            <w:pPr>
              <w:spacing w:line="360" w:lineRule="auto"/>
              <w:rPr>
                <w:rFonts w:hint="eastAsia"/>
              </w:rPr>
            </w:pPr>
          </w:p>
        </w:tc>
        <w:tc>
          <w:tcPr>
            <w:tcW w:w="1440" w:type="dxa"/>
            <w:tcBorders>
              <w:top w:val="nil"/>
              <w:left w:val="nil"/>
              <w:bottom w:val="nil"/>
              <w:right w:val="single" w:color="auto" w:sz="4" w:space="0"/>
            </w:tcBorders>
            <w:shd w:val="clear" w:color="auto" w:fill="auto"/>
            <w:vAlign w:val="center"/>
          </w:tcPr>
          <w:p>
            <w:pPr>
              <w:spacing w:line="360" w:lineRule="auto"/>
              <w:rPr>
                <w:rFonts w:hint="eastAsia"/>
              </w:rPr>
            </w:pPr>
          </w:p>
        </w:tc>
      </w:tr>
      <w:tr>
        <w:tblPrEx>
          <w:tblLayout w:type="fixed"/>
          <w:tblCellMar>
            <w:top w:w="0" w:type="dxa"/>
            <w:left w:w="108" w:type="dxa"/>
            <w:bottom w:w="0" w:type="dxa"/>
            <w:right w:w="108" w:type="dxa"/>
          </w:tblCellMar>
        </w:tblPrEx>
        <w:trPr>
          <w:trHeight w:val="561" w:hRule="atLeast"/>
        </w:trPr>
        <w:tc>
          <w:tcPr>
            <w:tcW w:w="435" w:type="dxa"/>
            <w:tcBorders>
              <w:top w:val="nil"/>
              <w:left w:val="double" w:color="auto" w:sz="6" w:space="0"/>
              <w:bottom w:val="nil"/>
              <w:right w:val="single" w:color="auto" w:sz="4" w:space="0"/>
            </w:tcBorders>
            <w:shd w:val="clear" w:color="auto" w:fill="auto"/>
            <w:vAlign w:val="center"/>
          </w:tcPr>
          <w:p>
            <w:pPr>
              <w:spacing w:line="360" w:lineRule="auto"/>
              <w:rPr>
                <w:rFonts w:hint="eastAsia"/>
                <w:lang w:val="en-US" w:eastAsia="zh-CN"/>
              </w:rPr>
            </w:pPr>
            <w:r>
              <w:rPr>
                <w:rFonts w:hint="eastAsia"/>
                <w:lang w:val="en-US" w:eastAsia="zh-CN"/>
              </w:rPr>
              <w:t>15</w:t>
            </w:r>
          </w:p>
        </w:tc>
        <w:tc>
          <w:tcPr>
            <w:tcW w:w="1050" w:type="dxa"/>
            <w:tcBorders>
              <w:top w:val="nil"/>
              <w:left w:val="nil"/>
              <w:bottom w:val="nil"/>
              <w:right w:val="single" w:color="auto" w:sz="4" w:space="0"/>
            </w:tcBorders>
            <w:shd w:val="clear" w:color="auto" w:fill="auto"/>
            <w:vAlign w:val="center"/>
          </w:tcPr>
          <w:p>
            <w:pPr>
              <w:spacing w:line="360" w:lineRule="auto"/>
              <w:rPr>
                <w:rFonts w:hint="eastAsia"/>
                <w:lang w:eastAsia="zh-CN"/>
              </w:rPr>
            </w:pPr>
          </w:p>
        </w:tc>
        <w:tc>
          <w:tcPr>
            <w:tcW w:w="63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49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0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8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48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06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44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r>
      <w:tr>
        <w:tblPrEx>
          <w:tblLayout w:type="fixed"/>
          <w:tblCellMar>
            <w:top w:w="0" w:type="dxa"/>
            <w:left w:w="108" w:type="dxa"/>
            <w:bottom w:w="0" w:type="dxa"/>
            <w:right w:w="108" w:type="dxa"/>
          </w:tblCellMar>
        </w:tblPrEx>
        <w:trPr>
          <w:trHeight w:val="666" w:hRule="atLeast"/>
        </w:trPr>
        <w:tc>
          <w:tcPr>
            <w:tcW w:w="435" w:type="dxa"/>
            <w:tcBorders>
              <w:top w:val="nil"/>
              <w:left w:val="double" w:color="auto" w:sz="6" w:space="0"/>
              <w:bottom w:val="nil"/>
              <w:right w:val="single" w:color="auto" w:sz="4" w:space="0"/>
            </w:tcBorders>
            <w:shd w:val="clear" w:color="auto" w:fill="auto"/>
            <w:vAlign w:val="center"/>
          </w:tcPr>
          <w:p>
            <w:pPr>
              <w:spacing w:line="360" w:lineRule="auto"/>
              <w:rPr>
                <w:rFonts w:hint="eastAsia"/>
                <w:lang w:val="en-US" w:eastAsia="zh-CN"/>
              </w:rPr>
            </w:pPr>
            <w:r>
              <w:rPr>
                <w:rFonts w:hint="eastAsia"/>
                <w:lang w:val="en-US" w:eastAsia="zh-CN"/>
              </w:rPr>
              <w:t>16</w:t>
            </w:r>
          </w:p>
        </w:tc>
        <w:tc>
          <w:tcPr>
            <w:tcW w:w="1050" w:type="dxa"/>
            <w:tcBorders>
              <w:top w:val="nil"/>
              <w:left w:val="nil"/>
              <w:bottom w:val="nil"/>
              <w:right w:val="single" w:color="auto" w:sz="4" w:space="0"/>
            </w:tcBorders>
            <w:shd w:val="clear" w:color="auto" w:fill="auto"/>
            <w:vAlign w:val="center"/>
          </w:tcPr>
          <w:p>
            <w:pPr>
              <w:spacing w:line="360" w:lineRule="auto"/>
              <w:rPr>
                <w:rFonts w:hint="eastAsia"/>
                <w:lang w:eastAsia="zh-CN"/>
              </w:rPr>
            </w:pPr>
          </w:p>
        </w:tc>
        <w:tc>
          <w:tcPr>
            <w:tcW w:w="63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49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0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8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48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065" w:type="dxa"/>
            <w:tcBorders>
              <w:top w:val="nil"/>
              <w:left w:val="nil"/>
              <w:bottom w:val="nil"/>
              <w:right w:val="single" w:color="auto" w:sz="4" w:space="0"/>
            </w:tcBorders>
            <w:shd w:val="clear" w:color="auto" w:fill="auto"/>
            <w:vAlign w:val="center"/>
          </w:tcPr>
          <w:p>
            <w:pPr>
              <w:spacing w:line="360" w:lineRule="auto"/>
              <w:rPr>
                <w:rFonts w:hint="eastAsia"/>
              </w:rPr>
            </w:pPr>
          </w:p>
        </w:tc>
        <w:tc>
          <w:tcPr>
            <w:tcW w:w="1440" w:type="dxa"/>
            <w:tcBorders>
              <w:top w:val="nil"/>
              <w:left w:val="nil"/>
              <w:bottom w:val="nil"/>
              <w:right w:val="single" w:color="auto" w:sz="4" w:space="0"/>
            </w:tcBorders>
            <w:shd w:val="clear" w:color="auto" w:fill="auto"/>
            <w:vAlign w:val="center"/>
          </w:tcPr>
          <w:p>
            <w:pPr>
              <w:spacing w:line="360" w:lineRule="auto"/>
              <w:rPr>
                <w:rFonts w:hint="eastAsia"/>
              </w:rPr>
            </w:pPr>
          </w:p>
        </w:tc>
      </w:tr>
      <w:tr>
        <w:tblPrEx>
          <w:tblLayout w:type="fixed"/>
          <w:tblCellMar>
            <w:top w:w="0" w:type="dxa"/>
            <w:left w:w="108" w:type="dxa"/>
            <w:bottom w:w="0" w:type="dxa"/>
            <w:right w:w="108" w:type="dxa"/>
          </w:tblCellMar>
        </w:tblPrEx>
        <w:trPr>
          <w:trHeight w:val="651" w:hRule="atLeast"/>
        </w:trPr>
        <w:tc>
          <w:tcPr>
            <w:tcW w:w="435" w:type="dxa"/>
            <w:tcBorders>
              <w:top w:val="nil"/>
              <w:left w:val="double" w:color="auto" w:sz="6" w:space="0"/>
              <w:bottom w:val="nil"/>
              <w:right w:val="single" w:color="auto" w:sz="4" w:space="0"/>
            </w:tcBorders>
            <w:shd w:val="clear" w:color="auto" w:fill="auto"/>
            <w:vAlign w:val="center"/>
          </w:tcPr>
          <w:p>
            <w:pPr>
              <w:spacing w:line="360" w:lineRule="auto"/>
              <w:rPr>
                <w:rFonts w:hint="eastAsia"/>
                <w:lang w:val="en-US" w:eastAsia="zh-CN"/>
              </w:rPr>
            </w:pPr>
            <w:r>
              <w:rPr>
                <w:rFonts w:hint="eastAsia"/>
                <w:lang w:val="en-US" w:eastAsia="zh-CN"/>
              </w:rPr>
              <w:t>17</w:t>
            </w:r>
          </w:p>
        </w:tc>
        <w:tc>
          <w:tcPr>
            <w:tcW w:w="1050" w:type="dxa"/>
            <w:tcBorders>
              <w:top w:val="nil"/>
              <w:left w:val="nil"/>
              <w:bottom w:val="nil"/>
              <w:right w:val="single" w:color="auto" w:sz="4" w:space="0"/>
            </w:tcBorders>
            <w:shd w:val="clear" w:color="auto" w:fill="auto"/>
            <w:vAlign w:val="center"/>
          </w:tcPr>
          <w:p>
            <w:pPr>
              <w:spacing w:line="360" w:lineRule="auto"/>
              <w:rPr>
                <w:rFonts w:hint="eastAsia"/>
                <w:lang w:eastAsia="zh-CN"/>
              </w:rPr>
            </w:pPr>
          </w:p>
        </w:tc>
        <w:tc>
          <w:tcPr>
            <w:tcW w:w="63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49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0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8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48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06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44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r>
      <w:tr>
        <w:tblPrEx>
          <w:tblLayout w:type="fixed"/>
          <w:tblCellMar>
            <w:top w:w="0" w:type="dxa"/>
            <w:left w:w="108" w:type="dxa"/>
            <w:bottom w:w="0" w:type="dxa"/>
            <w:right w:w="108" w:type="dxa"/>
          </w:tblCellMar>
        </w:tblPrEx>
        <w:trPr>
          <w:trHeight w:val="606" w:hRule="atLeast"/>
        </w:trPr>
        <w:tc>
          <w:tcPr>
            <w:tcW w:w="435" w:type="dxa"/>
            <w:tcBorders>
              <w:top w:val="nil"/>
              <w:left w:val="double" w:color="auto" w:sz="6" w:space="0"/>
              <w:bottom w:val="nil"/>
              <w:right w:val="single" w:color="auto" w:sz="4" w:space="0"/>
            </w:tcBorders>
            <w:shd w:val="clear" w:color="auto" w:fill="auto"/>
            <w:vAlign w:val="center"/>
          </w:tcPr>
          <w:p>
            <w:pPr>
              <w:spacing w:line="360" w:lineRule="auto"/>
              <w:rPr>
                <w:rFonts w:hint="eastAsia"/>
                <w:lang w:val="en-US" w:eastAsia="zh-CN"/>
              </w:rPr>
            </w:pPr>
            <w:r>
              <w:rPr>
                <w:rFonts w:hint="eastAsia"/>
                <w:lang w:val="en-US" w:eastAsia="zh-CN"/>
              </w:rPr>
              <w:t>18</w:t>
            </w:r>
          </w:p>
        </w:tc>
        <w:tc>
          <w:tcPr>
            <w:tcW w:w="1050" w:type="dxa"/>
            <w:tcBorders>
              <w:top w:val="nil"/>
              <w:left w:val="nil"/>
              <w:bottom w:val="nil"/>
              <w:right w:val="single" w:color="auto" w:sz="4" w:space="0"/>
            </w:tcBorders>
            <w:shd w:val="clear" w:color="auto" w:fill="auto"/>
            <w:vAlign w:val="center"/>
          </w:tcPr>
          <w:p>
            <w:pPr>
              <w:spacing w:line="360" w:lineRule="auto"/>
              <w:rPr>
                <w:rFonts w:hint="eastAsia"/>
                <w:lang w:eastAsia="zh-CN"/>
              </w:rPr>
            </w:pPr>
          </w:p>
        </w:tc>
        <w:tc>
          <w:tcPr>
            <w:tcW w:w="63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49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0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8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48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06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440" w:type="dxa"/>
            <w:tcBorders>
              <w:top w:val="nil"/>
              <w:left w:val="nil"/>
              <w:bottom w:val="nil"/>
              <w:right w:val="single" w:color="auto" w:sz="4" w:space="0"/>
            </w:tcBorders>
            <w:shd w:val="clear" w:color="auto" w:fill="auto"/>
            <w:vAlign w:val="center"/>
          </w:tcPr>
          <w:p>
            <w:pPr>
              <w:spacing w:line="360" w:lineRule="auto"/>
              <w:rPr>
                <w:rFonts w:hint="eastAsia"/>
              </w:rPr>
            </w:pPr>
          </w:p>
        </w:tc>
      </w:tr>
      <w:tr>
        <w:tblPrEx>
          <w:tblLayout w:type="fixed"/>
          <w:tblCellMar>
            <w:top w:w="0" w:type="dxa"/>
            <w:left w:w="108" w:type="dxa"/>
            <w:bottom w:w="0" w:type="dxa"/>
            <w:right w:w="108" w:type="dxa"/>
          </w:tblCellMar>
        </w:tblPrEx>
        <w:trPr>
          <w:trHeight w:val="606" w:hRule="atLeast"/>
        </w:trPr>
        <w:tc>
          <w:tcPr>
            <w:tcW w:w="435" w:type="dxa"/>
            <w:tcBorders>
              <w:top w:val="nil"/>
              <w:left w:val="double" w:color="auto" w:sz="6" w:space="0"/>
              <w:bottom w:val="nil"/>
              <w:right w:val="single" w:color="auto" w:sz="4" w:space="0"/>
            </w:tcBorders>
            <w:shd w:val="clear" w:color="auto" w:fill="auto"/>
            <w:vAlign w:val="center"/>
          </w:tcPr>
          <w:p>
            <w:pPr>
              <w:spacing w:line="360" w:lineRule="auto"/>
              <w:rPr>
                <w:rFonts w:hint="eastAsia"/>
                <w:lang w:val="en-US" w:eastAsia="zh-CN"/>
              </w:rPr>
            </w:pPr>
            <w:r>
              <w:rPr>
                <w:rFonts w:hint="eastAsia"/>
                <w:lang w:val="en-US" w:eastAsia="zh-CN"/>
              </w:rPr>
              <w:t>19</w:t>
            </w:r>
          </w:p>
        </w:tc>
        <w:tc>
          <w:tcPr>
            <w:tcW w:w="1050" w:type="dxa"/>
            <w:tcBorders>
              <w:top w:val="nil"/>
              <w:left w:val="nil"/>
              <w:bottom w:val="nil"/>
              <w:right w:val="single" w:color="auto" w:sz="4" w:space="0"/>
            </w:tcBorders>
            <w:shd w:val="clear" w:color="auto" w:fill="auto"/>
            <w:vAlign w:val="center"/>
          </w:tcPr>
          <w:p>
            <w:pPr>
              <w:spacing w:line="360" w:lineRule="auto"/>
              <w:rPr>
                <w:rFonts w:hint="eastAsia"/>
                <w:lang w:val="en-US" w:eastAsia="zh-CN"/>
              </w:rPr>
            </w:pPr>
          </w:p>
        </w:tc>
        <w:tc>
          <w:tcPr>
            <w:tcW w:w="630" w:type="dxa"/>
            <w:tcBorders>
              <w:top w:val="nil"/>
              <w:left w:val="nil"/>
              <w:bottom w:val="nil"/>
              <w:right w:val="single" w:color="auto" w:sz="4" w:space="0"/>
            </w:tcBorders>
            <w:shd w:val="clear" w:color="auto" w:fill="auto"/>
            <w:vAlign w:val="center"/>
          </w:tcPr>
          <w:p>
            <w:pPr>
              <w:spacing w:line="360" w:lineRule="auto"/>
              <w:rPr>
                <w:rFonts w:hint="eastAsia"/>
                <w:lang w:val="en-US" w:eastAsia="zh-CN"/>
              </w:rPr>
            </w:pPr>
          </w:p>
        </w:tc>
        <w:tc>
          <w:tcPr>
            <w:tcW w:w="495" w:type="dxa"/>
            <w:tcBorders>
              <w:top w:val="nil"/>
              <w:left w:val="nil"/>
              <w:bottom w:val="nil"/>
              <w:right w:val="single" w:color="auto" w:sz="4" w:space="0"/>
            </w:tcBorders>
            <w:shd w:val="clear" w:color="auto" w:fill="auto"/>
            <w:vAlign w:val="center"/>
          </w:tcPr>
          <w:p>
            <w:pPr>
              <w:spacing w:line="360" w:lineRule="auto"/>
              <w:rPr>
                <w:rFonts w:hint="eastAsia"/>
                <w:lang w:val="en-US" w:eastAsia="zh-CN"/>
              </w:rPr>
            </w:pPr>
          </w:p>
        </w:tc>
        <w:tc>
          <w:tcPr>
            <w:tcW w:w="705" w:type="dxa"/>
            <w:tcBorders>
              <w:top w:val="nil"/>
              <w:left w:val="nil"/>
              <w:bottom w:val="nil"/>
              <w:right w:val="single" w:color="auto" w:sz="4" w:space="0"/>
            </w:tcBorders>
            <w:shd w:val="clear" w:color="auto" w:fill="auto"/>
            <w:vAlign w:val="center"/>
          </w:tcPr>
          <w:p>
            <w:pPr>
              <w:spacing w:line="360" w:lineRule="auto"/>
              <w:rPr>
                <w:rFonts w:hint="eastAsia"/>
                <w:lang w:val="en-US" w:eastAsia="zh-CN"/>
              </w:rPr>
            </w:pPr>
          </w:p>
        </w:tc>
        <w:tc>
          <w:tcPr>
            <w:tcW w:w="780" w:type="dxa"/>
            <w:tcBorders>
              <w:top w:val="nil"/>
              <w:left w:val="nil"/>
              <w:bottom w:val="nil"/>
              <w:right w:val="single" w:color="auto" w:sz="4" w:space="0"/>
            </w:tcBorders>
            <w:shd w:val="clear" w:color="auto" w:fill="auto"/>
            <w:vAlign w:val="center"/>
          </w:tcPr>
          <w:p>
            <w:pPr>
              <w:spacing w:line="360" w:lineRule="auto"/>
              <w:rPr>
                <w:rFonts w:hint="eastAsia"/>
                <w:lang w:val="en-US" w:eastAsia="zh-CN"/>
              </w:rPr>
            </w:pPr>
          </w:p>
        </w:tc>
        <w:tc>
          <w:tcPr>
            <w:tcW w:w="1485" w:type="dxa"/>
            <w:tcBorders>
              <w:top w:val="nil"/>
              <w:left w:val="nil"/>
              <w:bottom w:val="nil"/>
              <w:right w:val="single" w:color="auto" w:sz="4" w:space="0"/>
            </w:tcBorders>
            <w:shd w:val="clear" w:color="auto" w:fill="auto"/>
            <w:vAlign w:val="center"/>
          </w:tcPr>
          <w:p>
            <w:pPr>
              <w:spacing w:line="360" w:lineRule="auto"/>
              <w:rPr>
                <w:rFonts w:hint="eastAsia"/>
                <w:lang w:val="en-US" w:eastAsia="zh-CN"/>
              </w:rPr>
            </w:pPr>
          </w:p>
        </w:tc>
        <w:tc>
          <w:tcPr>
            <w:tcW w:w="1065" w:type="dxa"/>
            <w:tcBorders>
              <w:top w:val="nil"/>
              <w:left w:val="nil"/>
              <w:bottom w:val="nil"/>
              <w:right w:val="single" w:color="auto" w:sz="4" w:space="0"/>
            </w:tcBorders>
            <w:shd w:val="clear" w:color="auto" w:fill="auto"/>
            <w:vAlign w:val="center"/>
          </w:tcPr>
          <w:p>
            <w:pPr>
              <w:spacing w:line="360" w:lineRule="auto"/>
              <w:rPr>
                <w:rFonts w:hint="eastAsia"/>
                <w:lang w:val="en-US" w:eastAsia="zh-CN"/>
              </w:rPr>
            </w:pPr>
          </w:p>
        </w:tc>
        <w:tc>
          <w:tcPr>
            <w:tcW w:w="144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r>
      <w:tr>
        <w:tblPrEx>
          <w:tblLayout w:type="fixed"/>
          <w:tblCellMar>
            <w:top w:w="0" w:type="dxa"/>
            <w:left w:w="108" w:type="dxa"/>
            <w:bottom w:w="0" w:type="dxa"/>
            <w:right w:w="108" w:type="dxa"/>
          </w:tblCellMar>
        </w:tblPrEx>
        <w:trPr>
          <w:trHeight w:val="576" w:hRule="atLeast"/>
        </w:trPr>
        <w:tc>
          <w:tcPr>
            <w:tcW w:w="435" w:type="dxa"/>
            <w:tcBorders>
              <w:top w:val="nil"/>
              <w:left w:val="double" w:color="auto" w:sz="6" w:space="0"/>
              <w:bottom w:val="nil"/>
              <w:right w:val="single" w:color="auto" w:sz="4" w:space="0"/>
            </w:tcBorders>
            <w:shd w:val="clear" w:color="auto" w:fill="auto"/>
            <w:vAlign w:val="center"/>
          </w:tcPr>
          <w:p>
            <w:pPr>
              <w:spacing w:line="360" w:lineRule="auto"/>
              <w:rPr>
                <w:rFonts w:hint="eastAsia"/>
                <w:lang w:val="en-US" w:eastAsia="zh-CN"/>
              </w:rPr>
            </w:pPr>
            <w:r>
              <w:rPr>
                <w:rFonts w:hint="eastAsia"/>
                <w:lang w:val="en-US" w:eastAsia="zh-CN"/>
              </w:rPr>
              <w:t>20</w:t>
            </w:r>
          </w:p>
        </w:tc>
        <w:tc>
          <w:tcPr>
            <w:tcW w:w="1050" w:type="dxa"/>
            <w:tcBorders>
              <w:top w:val="nil"/>
              <w:left w:val="nil"/>
              <w:bottom w:val="nil"/>
              <w:right w:val="single" w:color="auto" w:sz="4" w:space="0"/>
            </w:tcBorders>
            <w:shd w:val="clear" w:color="auto" w:fill="auto"/>
            <w:vAlign w:val="center"/>
          </w:tcPr>
          <w:p>
            <w:pPr>
              <w:spacing w:line="360" w:lineRule="auto"/>
              <w:rPr>
                <w:rFonts w:hint="eastAsia"/>
                <w:lang w:eastAsia="zh-CN"/>
              </w:rPr>
            </w:pPr>
          </w:p>
        </w:tc>
        <w:tc>
          <w:tcPr>
            <w:tcW w:w="63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49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0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8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48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06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44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r>
      <w:tr>
        <w:tblPrEx>
          <w:tblLayout w:type="fixed"/>
          <w:tblCellMar>
            <w:top w:w="0" w:type="dxa"/>
            <w:left w:w="108" w:type="dxa"/>
            <w:bottom w:w="0" w:type="dxa"/>
            <w:right w:w="108" w:type="dxa"/>
          </w:tblCellMar>
        </w:tblPrEx>
        <w:trPr>
          <w:trHeight w:val="636" w:hRule="atLeast"/>
        </w:trPr>
        <w:tc>
          <w:tcPr>
            <w:tcW w:w="435" w:type="dxa"/>
            <w:tcBorders>
              <w:top w:val="nil"/>
              <w:left w:val="double" w:color="auto" w:sz="6" w:space="0"/>
              <w:bottom w:val="nil"/>
              <w:right w:val="single" w:color="auto" w:sz="4" w:space="0"/>
            </w:tcBorders>
            <w:shd w:val="clear" w:color="auto" w:fill="auto"/>
            <w:vAlign w:val="center"/>
          </w:tcPr>
          <w:p>
            <w:pPr>
              <w:spacing w:line="360" w:lineRule="auto"/>
              <w:rPr>
                <w:rFonts w:hint="eastAsia"/>
                <w:lang w:val="en-US" w:eastAsia="zh-CN"/>
              </w:rPr>
            </w:pPr>
            <w:r>
              <w:rPr>
                <w:rFonts w:hint="eastAsia"/>
                <w:lang w:val="en-US" w:eastAsia="zh-CN"/>
              </w:rPr>
              <w:t>21</w:t>
            </w:r>
          </w:p>
        </w:tc>
        <w:tc>
          <w:tcPr>
            <w:tcW w:w="1050" w:type="dxa"/>
            <w:tcBorders>
              <w:top w:val="nil"/>
              <w:left w:val="nil"/>
              <w:bottom w:val="nil"/>
              <w:right w:val="single" w:color="auto" w:sz="4" w:space="0"/>
            </w:tcBorders>
            <w:shd w:val="clear" w:color="auto" w:fill="auto"/>
            <w:vAlign w:val="center"/>
          </w:tcPr>
          <w:p>
            <w:pPr>
              <w:spacing w:line="360" w:lineRule="auto"/>
              <w:rPr>
                <w:rFonts w:hint="eastAsia"/>
                <w:lang w:eastAsia="zh-CN"/>
              </w:rPr>
            </w:pPr>
          </w:p>
        </w:tc>
        <w:tc>
          <w:tcPr>
            <w:tcW w:w="63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49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0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78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485" w:type="dxa"/>
            <w:tcBorders>
              <w:top w:val="nil"/>
              <w:left w:val="nil"/>
              <w:bottom w:val="nil"/>
              <w:right w:val="single" w:color="auto" w:sz="4" w:space="0"/>
            </w:tcBorders>
            <w:shd w:val="clear" w:color="auto" w:fill="auto"/>
            <w:vAlign w:val="center"/>
          </w:tcPr>
          <w:p>
            <w:pPr>
              <w:spacing w:line="360" w:lineRule="auto"/>
              <w:rPr>
                <w:rFonts w:hint="eastAsia"/>
              </w:rPr>
            </w:pPr>
          </w:p>
        </w:tc>
        <w:tc>
          <w:tcPr>
            <w:tcW w:w="106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44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r>
      <w:tr>
        <w:tblPrEx>
          <w:tblLayout w:type="fixed"/>
          <w:tblCellMar>
            <w:top w:w="0" w:type="dxa"/>
            <w:left w:w="108" w:type="dxa"/>
            <w:bottom w:w="0" w:type="dxa"/>
            <w:right w:w="108" w:type="dxa"/>
          </w:tblCellMar>
        </w:tblPrEx>
        <w:trPr>
          <w:trHeight w:val="636" w:hRule="atLeast"/>
        </w:trPr>
        <w:tc>
          <w:tcPr>
            <w:tcW w:w="435" w:type="dxa"/>
            <w:tcBorders>
              <w:top w:val="nil"/>
              <w:left w:val="double" w:color="auto" w:sz="6" w:space="0"/>
              <w:bottom w:val="nil"/>
              <w:right w:val="single" w:color="auto" w:sz="4" w:space="0"/>
            </w:tcBorders>
            <w:shd w:val="clear" w:color="auto" w:fill="auto"/>
            <w:vAlign w:val="center"/>
          </w:tcPr>
          <w:p>
            <w:pPr>
              <w:spacing w:line="360" w:lineRule="auto"/>
              <w:rPr>
                <w:rFonts w:hint="eastAsia"/>
                <w:lang w:val="en-US" w:eastAsia="zh-CN"/>
              </w:rPr>
            </w:pPr>
            <w:r>
              <w:rPr>
                <w:rFonts w:hint="eastAsia"/>
                <w:lang w:val="en-US" w:eastAsia="zh-CN"/>
              </w:rPr>
              <w:t>22</w:t>
            </w:r>
          </w:p>
        </w:tc>
        <w:tc>
          <w:tcPr>
            <w:tcW w:w="1050" w:type="dxa"/>
            <w:tcBorders>
              <w:top w:val="nil"/>
              <w:left w:val="nil"/>
              <w:bottom w:val="nil"/>
              <w:right w:val="single" w:color="auto" w:sz="4" w:space="0"/>
            </w:tcBorders>
            <w:shd w:val="clear" w:color="auto" w:fill="auto"/>
            <w:vAlign w:val="center"/>
          </w:tcPr>
          <w:p>
            <w:pPr>
              <w:spacing w:line="360" w:lineRule="auto"/>
              <w:rPr>
                <w:rFonts w:hint="eastAsia"/>
                <w:lang w:val="en-US" w:eastAsia="zh-CN"/>
              </w:rPr>
            </w:pPr>
          </w:p>
        </w:tc>
        <w:tc>
          <w:tcPr>
            <w:tcW w:w="630" w:type="dxa"/>
            <w:tcBorders>
              <w:top w:val="nil"/>
              <w:left w:val="nil"/>
              <w:bottom w:val="nil"/>
              <w:right w:val="single" w:color="auto" w:sz="4" w:space="0"/>
            </w:tcBorders>
            <w:shd w:val="clear" w:color="auto" w:fill="auto"/>
            <w:vAlign w:val="center"/>
          </w:tcPr>
          <w:p>
            <w:pPr>
              <w:spacing w:line="360" w:lineRule="auto"/>
              <w:rPr>
                <w:rFonts w:hint="eastAsia"/>
                <w:lang w:val="en-US" w:eastAsia="zh-CN"/>
              </w:rPr>
            </w:pPr>
          </w:p>
        </w:tc>
        <w:tc>
          <w:tcPr>
            <w:tcW w:w="495" w:type="dxa"/>
            <w:tcBorders>
              <w:top w:val="nil"/>
              <w:left w:val="nil"/>
              <w:bottom w:val="nil"/>
              <w:right w:val="single" w:color="auto" w:sz="4" w:space="0"/>
            </w:tcBorders>
            <w:shd w:val="clear" w:color="auto" w:fill="auto"/>
            <w:vAlign w:val="center"/>
          </w:tcPr>
          <w:p>
            <w:pPr>
              <w:spacing w:line="360" w:lineRule="auto"/>
              <w:rPr>
                <w:rFonts w:hint="eastAsia"/>
                <w:lang w:val="en-US" w:eastAsia="zh-CN"/>
              </w:rPr>
            </w:pPr>
          </w:p>
        </w:tc>
        <w:tc>
          <w:tcPr>
            <w:tcW w:w="705" w:type="dxa"/>
            <w:tcBorders>
              <w:top w:val="nil"/>
              <w:left w:val="nil"/>
              <w:bottom w:val="nil"/>
              <w:right w:val="single" w:color="auto" w:sz="4" w:space="0"/>
            </w:tcBorders>
            <w:shd w:val="clear" w:color="auto" w:fill="auto"/>
            <w:vAlign w:val="center"/>
          </w:tcPr>
          <w:p>
            <w:pPr>
              <w:spacing w:line="360" w:lineRule="auto"/>
              <w:rPr>
                <w:rFonts w:hint="eastAsia"/>
                <w:lang w:val="en-US" w:eastAsia="zh-CN"/>
              </w:rPr>
            </w:pPr>
          </w:p>
        </w:tc>
        <w:tc>
          <w:tcPr>
            <w:tcW w:w="780" w:type="dxa"/>
            <w:tcBorders>
              <w:top w:val="nil"/>
              <w:left w:val="nil"/>
              <w:bottom w:val="nil"/>
              <w:right w:val="single" w:color="auto" w:sz="4" w:space="0"/>
            </w:tcBorders>
            <w:shd w:val="clear" w:color="auto" w:fill="auto"/>
            <w:vAlign w:val="center"/>
          </w:tcPr>
          <w:p>
            <w:pPr>
              <w:spacing w:line="360" w:lineRule="auto"/>
              <w:rPr>
                <w:rFonts w:hint="eastAsia"/>
                <w:lang w:val="en-US" w:eastAsia="zh-CN"/>
              </w:rPr>
            </w:pPr>
          </w:p>
        </w:tc>
        <w:tc>
          <w:tcPr>
            <w:tcW w:w="148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065"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c>
          <w:tcPr>
            <w:tcW w:w="1440" w:type="dxa"/>
            <w:tcBorders>
              <w:top w:val="nil"/>
              <w:left w:val="nil"/>
              <w:bottom w:val="nil"/>
              <w:right w:val="single" w:color="auto" w:sz="4" w:space="0"/>
            </w:tcBorders>
            <w:shd w:val="clear" w:color="auto" w:fill="auto"/>
            <w:vAlign w:val="center"/>
          </w:tcPr>
          <w:p>
            <w:pPr>
              <w:spacing w:line="360" w:lineRule="auto"/>
              <w:rPr>
                <w:rFonts w:hint="eastAsia" w:eastAsiaTheme="minorEastAsia"/>
                <w:lang w:val="en-US" w:eastAsia="zh-CN"/>
              </w:rPr>
            </w:pPr>
          </w:p>
        </w:tc>
      </w:tr>
      <w:tr>
        <w:tblPrEx>
          <w:tblLayout w:type="fixed"/>
          <w:tblCellMar>
            <w:top w:w="0" w:type="dxa"/>
            <w:left w:w="108" w:type="dxa"/>
            <w:bottom w:w="0" w:type="dxa"/>
            <w:right w:w="108" w:type="dxa"/>
          </w:tblCellMar>
        </w:tblPrEx>
        <w:trPr>
          <w:trHeight w:val="636" w:hRule="atLeast"/>
        </w:trPr>
        <w:tc>
          <w:tcPr>
            <w:tcW w:w="435" w:type="dxa"/>
            <w:tcBorders>
              <w:top w:val="nil"/>
              <w:left w:val="double" w:color="auto" w:sz="6" w:space="0"/>
              <w:bottom w:val="single" w:color="auto" w:sz="4" w:space="0"/>
              <w:right w:val="single" w:color="auto" w:sz="4" w:space="0"/>
            </w:tcBorders>
            <w:shd w:val="clear" w:color="auto" w:fill="auto"/>
            <w:vAlign w:val="center"/>
          </w:tcPr>
          <w:p>
            <w:pPr>
              <w:spacing w:line="360" w:lineRule="auto"/>
              <w:rPr>
                <w:rFonts w:hint="eastAsia"/>
                <w:lang w:val="en-US" w:eastAsia="zh-CN"/>
              </w:rPr>
            </w:pPr>
            <w:r>
              <w:rPr>
                <w:rFonts w:hint="eastAsia"/>
                <w:lang w:val="en-US" w:eastAsia="zh-CN"/>
              </w:rPr>
              <w:t>23</w:t>
            </w:r>
          </w:p>
        </w:tc>
        <w:tc>
          <w:tcPr>
            <w:tcW w:w="1050" w:type="dxa"/>
            <w:tcBorders>
              <w:top w:val="nil"/>
              <w:left w:val="nil"/>
              <w:bottom w:val="single" w:color="auto" w:sz="4" w:space="0"/>
              <w:right w:val="single" w:color="auto" w:sz="4" w:space="0"/>
            </w:tcBorders>
            <w:shd w:val="clear" w:color="auto" w:fill="auto"/>
            <w:vAlign w:val="center"/>
          </w:tcPr>
          <w:p>
            <w:pPr>
              <w:spacing w:line="360" w:lineRule="auto"/>
              <w:rPr>
                <w:rFonts w:hint="eastAsia"/>
                <w:lang w:val="en-US" w:eastAsia="zh-CN"/>
              </w:rPr>
            </w:pPr>
          </w:p>
        </w:tc>
        <w:tc>
          <w:tcPr>
            <w:tcW w:w="630" w:type="dxa"/>
            <w:tcBorders>
              <w:top w:val="nil"/>
              <w:left w:val="nil"/>
              <w:bottom w:val="single" w:color="auto" w:sz="4" w:space="0"/>
              <w:right w:val="single" w:color="auto" w:sz="4" w:space="0"/>
            </w:tcBorders>
            <w:shd w:val="clear" w:color="auto" w:fill="auto"/>
            <w:vAlign w:val="center"/>
          </w:tcPr>
          <w:p>
            <w:pPr>
              <w:spacing w:line="360" w:lineRule="auto"/>
              <w:rPr>
                <w:rFonts w:hint="eastAsia"/>
                <w:lang w:val="en-US" w:eastAsia="zh-CN"/>
              </w:rPr>
            </w:pPr>
          </w:p>
        </w:tc>
        <w:tc>
          <w:tcPr>
            <w:tcW w:w="495" w:type="dxa"/>
            <w:tcBorders>
              <w:top w:val="nil"/>
              <w:left w:val="nil"/>
              <w:bottom w:val="single" w:color="auto" w:sz="4" w:space="0"/>
              <w:right w:val="single" w:color="auto" w:sz="4" w:space="0"/>
            </w:tcBorders>
            <w:shd w:val="clear" w:color="auto" w:fill="auto"/>
            <w:vAlign w:val="center"/>
          </w:tcPr>
          <w:p>
            <w:pPr>
              <w:spacing w:line="360" w:lineRule="auto"/>
              <w:rPr>
                <w:rFonts w:hint="eastAsia"/>
                <w:lang w:val="en-US" w:eastAsia="zh-CN"/>
              </w:rPr>
            </w:pPr>
          </w:p>
        </w:tc>
        <w:tc>
          <w:tcPr>
            <w:tcW w:w="705" w:type="dxa"/>
            <w:tcBorders>
              <w:top w:val="nil"/>
              <w:left w:val="nil"/>
              <w:bottom w:val="single" w:color="auto" w:sz="4" w:space="0"/>
              <w:right w:val="single" w:color="auto" w:sz="4" w:space="0"/>
            </w:tcBorders>
            <w:shd w:val="clear" w:color="auto" w:fill="auto"/>
            <w:vAlign w:val="center"/>
          </w:tcPr>
          <w:p>
            <w:pPr>
              <w:spacing w:line="360" w:lineRule="auto"/>
              <w:rPr>
                <w:rFonts w:hint="eastAsia"/>
                <w:lang w:val="en-US" w:eastAsia="zh-CN"/>
              </w:rPr>
            </w:pPr>
          </w:p>
        </w:tc>
        <w:tc>
          <w:tcPr>
            <w:tcW w:w="780" w:type="dxa"/>
            <w:tcBorders>
              <w:top w:val="nil"/>
              <w:left w:val="nil"/>
              <w:bottom w:val="single" w:color="auto" w:sz="4" w:space="0"/>
              <w:right w:val="single" w:color="auto" w:sz="4" w:space="0"/>
            </w:tcBorders>
            <w:shd w:val="clear" w:color="auto" w:fill="auto"/>
            <w:vAlign w:val="center"/>
          </w:tcPr>
          <w:p>
            <w:pPr>
              <w:spacing w:line="360" w:lineRule="auto"/>
              <w:rPr>
                <w:rFonts w:hint="eastAsia"/>
                <w:lang w:val="en-US" w:eastAsia="zh-CN"/>
              </w:rPr>
            </w:pPr>
          </w:p>
        </w:tc>
        <w:tc>
          <w:tcPr>
            <w:tcW w:w="1485" w:type="dxa"/>
            <w:tcBorders>
              <w:top w:val="nil"/>
              <w:left w:val="nil"/>
              <w:bottom w:val="single" w:color="auto" w:sz="4" w:space="0"/>
              <w:right w:val="single" w:color="auto" w:sz="4" w:space="0"/>
            </w:tcBorders>
            <w:shd w:val="clear" w:color="auto" w:fill="auto"/>
            <w:vAlign w:val="center"/>
          </w:tcPr>
          <w:p>
            <w:pPr>
              <w:spacing w:line="360" w:lineRule="auto"/>
              <w:rPr>
                <w:rFonts w:hint="eastAsia"/>
                <w:lang w:val="en-US" w:eastAsia="zh-CN"/>
              </w:rPr>
            </w:pPr>
          </w:p>
        </w:tc>
        <w:tc>
          <w:tcPr>
            <w:tcW w:w="1065" w:type="dxa"/>
            <w:tcBorders>
              <w:top w:val="nil"/>
              <w:left w:val="nil"/>
              <w:bottom w:val="single" w:color="auto" w:sz="4" w:space="0"/>
              <w:right w:val="single" w:color="auto" w:sz="4" w:space="0"/>
            </w:tcBorders>
            <w:shd w:val="clear" w:color="auto" w:fill="auto"/>
            <w:vAlign w:val="center"/>
          </w:tcPr>
          <w:p>
            <w:pPr>
              <w:spacing w:line="360" w:lineRule="auto"/>
              <w:rPr>
                <w:rFonts w:hint="eastAsia"/>
                <w:lang w:val="en-US" w:eastAsia="zh-CN"/>
              </w:rPr>
            </w:pPr>
          </w:p>
        </w:tc>
        <w:tc>
          <w:tcPr>
            <w:tcW w:w="1440" w:type="dxa"/>
            <w:tcBorders>
              <w:top w:val="nil"/>
              <w:left w:val="nil"/>
              <w:bottom w:val="single" w:color="auto" w:sz="4" w:space="0"/>
              <w:right w:val="single" w:color="auto" w:sz="4" w:space="0"/>
            </w:tcBorders>
            <w:shd w:val="clear" w:color="auto" w:fill="auto"/>
            <w:vAlign w:val="center"/>
          </w:tcPr>
          <w:p>
            <w:pPr>
              <w:spacing w:line="360" w:lineRule="auto"/>
              <w:rPr>
                <w:rFonts w:hint="eastAsia"/>
                <w:lang w:val="en-US" w:eastAsia="zh-CN"/>
              </w:rPr>
            </w:pPr>
          </w:p>
        </w:tc>
      </w:tr>
    </w:tbl>
    <w:p>
      <w:pPr>
        <w:spacing w:line="360" w:lineRule="auto"/>
        <w:ind w:firstLine="420" w:firstLineChars="200"/>
        <w:rPr>
          <w:rFonts w:hint="eastAsia"/>
        </w:rPr>
        <w:sectPr>
          <w:pgSz w:w="11906" w:h="16838"/>
          <w:pgMar w:top="1440" w:right="1797" w:bottom="1440" w:left="1797" w:header="851" w:footer="992" w:gutter="0"/>
          <w:cols w:space="425" w:num="1"/>
          <w:docGrid w:linePitch="326" w:charSpace="0"/>
        </w:sectPr>
      </w:pPr>
    </w:p>
    <w:p>
      <w:pPr>
        <w:rPr>
          <w:rFonts w:hint="eastAsia"/>
        </w:rPr>
      </w:pPr>
    </w:p>
    <w:p>
      <w:pPr>
        <w:rPr>
          <w:rFonts w:hint="eastAsia"/>
        </w:rPr>
      </w:pPr>
    </w:p>
    <w:p>
      <w:pPr>
        <w:pStyle w:val="3"/>
        <w:numPr>
          <w:ilvl w:val="1"/>
          <w:numId w:val="3"/>
        </w:numPr>
        <w:spacing w:before="0" w:after="0" w:line="360" w:lineRule="auto"/>
        <w:ind w:left="0" w:leftChars="0" w:firstLine="402" w:firstLineChars="0"/>
      </w:pPr>
      <w:bookmarkStart w:id="397" w:name="_Toc25750"/>
      <w:r>
        <w:rPr>
          <w:rFonts w:hint="eastAsia"/>
        </w:rPr>
        <w:t>主要人员保障承诺</w:t>
      </w:r>
      <w:bookmarkEnd w:id="397"/>
    </w:p>
    <w:p>
      <w:pPr>
        <w:spacing w:line="360" w:lineRule="auto"/>
        <w:ind w:firstLine="480" w:firstLineChars="200"/>
        <w:rPr>
          <w:sz w:val="24"/>
          <w:szCs w:val="24"/>
        </w:rPr>
      </w:pPr>
      <w:r>
        <w:rPr>
          <w:rFonts w:hint="eastAsia"/>
          <w:sz w:val="24"/>
          <w:szCs w:val="24"/>
          <w:lang w:eastAsia="zh-CN"/>
        </w:rPr>
        <w:t>**信息</w:t>
      </w:r>
      <w:r>
        <w:rPr>
          <w:rFonts w:hint="eastAsia"/>
          <w:sz w:val="24"/>
          <w:szCs w:val="24"/>
        </w:rPr>
        <w:t>承诺满足招标方对项目人员保障的各项要求，包括但不限于以下内容：</w:t>
      </w:r>
    </w:p>
    <w:p>
      <w:pPr>
        <w:spacing w:line="360" w:lineRule="auto"/>
        <w:ind w:firstLine="480" w:firstLineChars="200"/>
        <w:rPr>
          <w:sz w:val="24"/>
          <w:szCs w:val="24"/>
        </w:rPr>
      </w:pPr>
      <w:r>
        <w:rPr>
          <w:rFonts w:hint="eastAsia"/>
          <w:sz w:val="24"/>
          <w:szCs w:val="24"/>
        </w:rPr>
        <w:t>一、项目总监人选，从事信息化建设</w:t>
      </w:r>
      <w:r>
        <w:rPr>
          <w:sz w:val="24"/>
          <w:szCs w:val="24"/>
        </w:rPr>
        <w:t>10</w:t>
      </w:r>
      <w:r>
        <w:rPr>
          <w:rFonts w:hint="eastAsia"/>
          <w:sz w:val="24"/>
          <w:szCs w:val="24"/>
        </w:rPr>
        <w:t>年以上、具备国内外多个大型信息化建设项目的管理经验。</w:t>
      </w:r>
    </w:p>
    <w:p>
      <w:pPr>
        <w:spacing w:line="360" w:lineRule="auto"/>
        <w:ind w:firstLine="480" w:firstLineChars="200"/>
        <w:rPr>
          <w:sz w:val="24"/>
          <w:szCs w:val="24"/>
        </w:rPr>
      </w:pPr>
      <w:r>
        <w:rPr>
          <w:rFonts w:hint="eastAsia"/>
          <w:sz w:val="24"/>
          <w:szCs w:val="24"/>
        </w:rPr>
        <w:t>二、项目经理人选，具有</w:t>
      </w:r>
      <w:r>
        <w:rPr>
          <w:sz w:val="24"/>
          <w:szCs w:val="24"/>
        </w:rPr>
        <w:t>5</w:t>
      </w:r>
      <w:r>
        <w:rPr>
          <w:rFonts w:hint="eastAsia"/>
          <w:sz w:val="24"/>
          <w:szCs w:val="24"/>
        </w:rPr>
        <w:t>年以上项目管理经验，成功实施</w:t>
      </w:r>
      <w:r>
        <w:rPr>
          <w:sz w:val="24"/>
          <w:szCs w:val="24"/>
        </w:rPr>
        <w:t>2</w:t>
      </w:r>
      <w:r>
        <w:rPr>
          <w:rFonts w:hint="eastAsia"/>
          <w:sz w:val="24"/>
          <w:szCs w:val="24"/>
        </w:rPr>
        <w:t>个以上相关领域类似项目的实际经验，熟悉税务系统行业情况。</w:t>
      </w:r>
    </w:p>
    <w:p>
      <w:pPr>
        <w:spacing w:line="360" w:lineRule="auto"/>
        <w:ind w:firstLine="480" w:firstLineChars="200"/>
        <w:rPr>
          <w:sz w:val="24"/>
          <w:szCs w:val="24"/>
        </w:rPr>
      </w:pPr>
      <w:r>
        <w:rPr>
          <w:rFonts w:hint="eastAsia"/>
          <w:sz w:val="24"/>
          <w:szCs w:val="24"/>
        </w:rPr>
        <w:t>三、选派工作责任心强、技术水平高、业务熟练、管理经验丰富的人员专职参加该项目的建设。项目实施人员与投标文件中所提供的人员名单相符，未经招标方许可不做随意变更，如有违反则承担相应的责任。</w:t>
      </w:r>
    </w:p>
    <w:p>
      <w:pPr>
        <w:spacing w:line="360" w:lineRule="auto"/>
        <w:ind w:firstLine="480" w:firstLineChars="200"/>
        <w:rPr>
          <w:sz w:val="24"/>
          <w:szCs w:val="24"/>
        </w:rPr>
      </w:pPr>
      <w:r>
        <w:rPr>
          <w:rFonts w:hint="eastAsia"/>
          <w:sz w:val="24"/>
          <w:szCs w:val="24"/>
        </w:rPr>
        <w:t>四、项目组成员以专职为主，专职人员在项目实施期间不兼任与本项目无关的其他工作，专职人员比例应不低于</w:t>
      </w:r>
      <w:r>
        <w:rPr>
          <w:rFonts w:hint="eastAsia"/>
          <w:sz w:val="24"/>
          <w:szCs w:val="24"/>
          <w:lang w:val="en-US" w:eastAsia="zh-CN"/>
        </w:rPr>
        <w:t>8</w:t>
      </w:r>
      <w:r>
        <w:rPr>
          <w:sz w:val="24"/>
          <w:szCs w:val="24"/>
        </w:rPr>
        <w:t>0</w:t>
      </w:r>
      <w:r>
        <w:rPr>
          <w:rFonts w:hint="eastAsia"/>
          <w:sz w:val="24"/>
          <w:szCs w:val="24"/>
        </w:rPr>
        <w:t>％。</w:t>
      </w:r>
    </w:p>
    <w:p>
      <w:pPr>
        <w:spacing w:line="360" w:lineRule="auto"/>
        <w:ind w:firstLine="480" w:firstLineChars="200"/>
        <w:rPr>
          <w:sz w:val="24"/>
          <w:szCs w:val="24"/>
        </w:rPr>
      </w:pPr>
      <w:r>
        <w:rPr>
          <w:rFonts w:hint="eastAsia"/>
          <w:sz w:val="24"/>
          <w:szCs w:val="24"/>
        </w:rPr>
        <w:t>五、我公司将按阶段提交项目参与人员名单，经招标方确认。我公司保证项目组成员的稳定性，如特殊情况需要调整项目组成员的，将提前一个月书面通知招标方，在获得招标方的同意确认后才安排调整。</w:t>
      </w:r>
    </w:p>
    <w:p>
      <w:pPr>
        <w:pStyle w:val="2"/>
        <w:pageBreakBefore/>
        <w:numPr>
          <w:ilvl w:val="0"/>
          <w:numId w:val="3"/>
        </w:numPr>
        <w:ind w:left="0" w:leftChars="0" w:firstLine="402" w:firstLineChars="0"/>
      </w:pPr>
      <w:r>
        <w:rPr>
          <w:rFonts w:hint="eastAsia"/>
        </w:rPr>
        <w:t xml:space="preserve"> </w:t>
      </w:r>
      <w:bookmarkStart w:id="398" w:name="_Toc30077"/>
      <w:r>
        <w:rPr>
          <w:rFonts w:hint="eastAsia"/>
        </w:rPr>
        <w:t>系统安装调试及部署方案</w:t>
      </w:r>
      <w:bookmarkEnd w:id="398"/>
    </w:p>
    <w:p>
      <w:pPr>
        <w:pStyle w:val="3"/>
        <w:numPr>
          <w:ilvl w:val="1"/>
          <w:numId w:val="3"/>
        </w:numPr>
        <w:ind w:left="0" w:leftChars="0" w:firstLine="402" w:firstLineChars="0"/>
      </w:pPr>
      <w:bookmarkStart w:id="399" w:name="_Toc4881"/>
      <w:r>
        <w:rPr>
          <w:rFonts w:hint="eastAsia"/>
        </w:rPr>
        <w:t>系统安装部署要求</w:t>
      </w:r>
      <w:bookmarkEnd w:id="399"/>
      <w:r>
        <w:rPr>
          <w:rFonts w:hint="eastAsia"/>
        </w:rPr>
        <w:t xml:space="preserve"> </w:t>
      </w:r>
    </w:p>
    <w:p>
      <w:pPr>
        <w:spacing w:line="360" w:lineRule="auto"/>
        <w:ind w:firstLine="480" w:firstLineChars="200"/>
        <w:rPr>
          <w:sz w:val="24"/>
          <w:szCs w:val="24"/>
        </w:rPr>
      </w:pPr>
      <w:r>
        <w:rPr>
          <w:rFonts w:hint="eastAsia"/>
          <w:sz w:val="24"/>
          <w:szCs w:val="24"/>
          <w:lang w:eastAsia="zh-CN"/>
        </w:rPr>
        <w:t>**信息</w:t>
      </w:r>
      <w:r>
        <w:rPr>
          <w:rFonts w:hint="eastAsia"/>
          <w:sz w:val="24"/>
          <w:szCs w:val="24"/>
        </w:rPr>
        <w:t>将按照《试运行工作总体实施方案》的时间安排，完成试点单位的软件安装部署工作。</w:t>
      </w:r>
    </w:p>
    <w:p>
      <w:pPr>
        <w:spacing w:line="360" w:lineRule="auto"/>
        <w:ind w:firstLine="480" w:firstLineChars="200"/>
        <w:rPr>
          <w:sz w:val="24"/>
          <w:szCs w:val="24"/>
        </w:rPr>
      </w:pPr>
      <w:r>
        <w:rPr>
          <w:rFonts w:hint="eastAsia"/>
          <w:sz w:val="24"/>
          <w:szCs w:val="24"/>
        </w:rPr>
        <w:t>一、</w:t>
      </w:r>
      <w:r>
        <w:rPr>
          <w:rFonts w:hint="eastAsia"/>
          <w:sz w:val="24"/>
          <w:szCs w:val="24"/>
          <w:lang w:eastAsia="zh-CN"/>
        </w:rPr>
        <w:t>**信息</w:t>
      </w:r>
      <w:r>
        <w:rPr>
          <w:rFonts w:hint="eastAsia"/>
          <w:sz w:val="24"/>
          <w:szCs w:val="24"/>
        </w:rPr>
        <w:t>将根据试点单位的实际情况，制定《软件安装部署实施方案》，方案须需交业主方确认。</w:t>
      </w:r>
    </w:p>
    <w:p>
      <w:pPr>
        <w:spacing w:line="360" w:lineRule="auto"/>
        <w:ind w:firstLine="480" w:firstLineChars="200"/>
        <w:rPr>
          <w:sz w:val="24"/>
          <w:szCs w:val="24"/>
        </w:rPr>
      </w:pPr>
      <w:r>
        <w:rPr>
          <w:rFonts w:hint="eastAsia"/>
          <w:sz w:val="24"/>
          <w:szCs w:val="24"/>
        </w:rPr>
        <w:t>二、软件安装前应仔细检查用户环境，充分考虑用户需求，安装过程中，如造成用户数据丢失和硬件损坏，由</w:t>
      </w:r>
      <w:r>
        <w:rPr>
          <w:rFonts w:hint="eastAsia"/>
          <w:sz w:val="24"/>
          <w:szCs w:val="24"/>
          <w:lang w:eastAsia="zh-CN"/>
        </w:rPr>
        <w:t>**信息</w:t>
      </w:r>
      <w:r>
        <w:rPr>
          <w:rFonts w:hint="eastAsia"/>
          <w:sz w:val="24"/>
          <w:szCs w:val="24"/>
        </w:rPr>
        <w:t>负责。</w:t>
      </w:r>
    </w:p>
    <w:p>
      <w:pPr>
        <w:spacing w:line="360" w:lineRule="auto"/>
        <w:ind w:firstLine="480" w:firstLineChars="200"/>
        <w:rPr>
          <w:sz w:val="24"/>
          <w:szCs w:val="24"/>
        </w:rPr>
      </w:pPr>
      <w:r>
        <w:rPr>
          <w:rFonts w:hint="eastAsia"/>
          <w:sz w:val="24"/>
          <w:szCs w:val="24"/>
        </w:rPr>
        <w:t>三、在安装过程中应保障用户现有系统的正常运行，并对此阶段可能发生的突发事件，制定应急防范措施。</w:t>
      </w:r>
    </w:p>
    <w:p>
      <w:pPr>
        <w:spacing w:line="360" w:lineRule="auto"/>
        <w:ind w:firstLine="480" w:firstLineChars="200"/>
        <w:rPr>
          <w:sz w:val="24"/>
          <w:szCs w:val="24"/>
        </w:rPr>
      </w:pPr>
      <w:r>
        <w:rPr>
          <w:rFonts w:hint="eastAsia"/>
          <w:sz w:val="24"/>
          <w:szCs w:val="24"/>
        </w:rPr>
        <w:t>四、</w:t>
      </w:r>
      <w:r>
        <w:rPr>
          <w:rFonts w:hint="eastAsia"/>
          <w:sz w:val="24"/>
          <w:szCs w:val="24"/>
          <w:lang w:eastAsia="zh-CN"/>
        </w:rPr>
        <w:t>**信息</w:t>
      </w:r>
      <w:r>
        <w:rPr>
          <w:rFonts w:hint="eastAsia"/>
          <w:sz w:val="24"/>
          <w:szCs w:val="24"/>
        </w:rPr>
        <w:t>将按照《软件安装部署实施方案》，负责系统参数配置和上线前的环境检查工作，负责编制《系统参数配置表》、《系统上线检查表》，并经业主方确认。</w:t>
      </w:r>
    </w:p>
    <w:p>
      <w:pPr>
        <w:pStyle w:val="4"/>
        <w:numPr>
          <w:ilvl w:val="2"/>
          <w:numId w:val="3"/>
        </w:numPr>
        <w:ind w:left="0" w:leftChars="0" w:firstLine="402" w:firstLineChars="0"/>
      </w:pPr>
      <w:bookmarkStart w:id="400" w:name="_Toc15014"/>
      <w:r>
        <w:rPr>
          <w:rFonts w:hint="eastAsia"/>
        </w:rPr>
        <w:t>环境准备</w:t>
      </w:r>
      <w:bookmarkEnd w:id="400"/>
    </w:p>
    <w:p>
      <w:pPr>
        <w:spacing w:line="360" w:lineRule="auto"/>
        <w:ind w:firstLine="480" w:firstLineChars="200"/>
        <w:rPr>
          <w:sz w:val="24"/>
          <w:szCs w:val="24"/>
        </w:rPr>
      </w:pPr>
      <w:r>
        <w:rPr>
          <w:rFonts w:hint="eastAsia"/>
          <w:sz w:val="24"/>
          <w:szCs w:val="24"/>
        </w:rPr>
        <w:t>系统试运行首先要进行环境准备工作，在此期间，需要准备的环境主要包括：生产环境、测试环境和培训环境三类环境，其中：</w:t>
      </w:r>
    </w:p>
    <w:p>
      <w:pPr>
        <w:spacing w:line="360" w:lineRule="auto"/>
        <w:ind w:firstLine="480" w:firstLineChars="200"/>
        <w:rPr>
          <w:sz w:val="24"/>
          <w:szCs w:val="24"/>
        </w:rPr>
      </w:pPr>
      <w:r>
        <w:rPr>
          <w:rFonts w:hint="eastAsia"/>
          <w:sz w:val="24"/>
          <w:szCs w:val="24"/>
        </w:rPr>
        <w:t>一、生产环境包括系统的正式环境和试运行环境，正式环境是客户现场业务应用环境，试运行环境通常采用正式数据进行部署，它是与正式环境非常接近的环境，以便可以在试运行后方便的转入正式环境，降低切换上线的风险。</w:t>
      </w:r>
    </w:p>
    <w:p>
      <w:pPr>
        <w:spacing w:line="360" w:lineRule="auto"/>
        <w:ind w:firstLine="480" w:firstLineChars="200"/>
        <w:rPr>
          <w:sz w:val="24"/>
          <w:szCs w:val="24"/>
        </w:rPr>
      </w:pPr>
      <w:r>
        <w:rPr>
          <w:rFonts w:hint="eastAsia"/>
          <w:sz w:val="24"/>
          <w:szCs w:val="24"/>
        </w:rPr>
        <w:t>二、测试环境承载着系统应用的开发和测试工作，该环境与生产环境物理分开，在其上可以进行系统的优化完善，包括开发和测试工作。由于各试点单位的要求可能不同，原有需求也可能不断变化，这里对测试环境的准备做以下建议：</w:t>
      </w:r>
    </w:p>
    <w:p>
      <w:pPr>
        <w:spacing w:line="360" w:lineRule="auto"/>
        <w:ind w:firstLine="480" w:firstLineChars="200"/>
        <w:rPr>
          <w:sz w:val="24"/>
          <w:szCs w:val="24"/>
        </w:rPr>
      </w:pPr>
      <w:r>
        <w:rPr>
          <w:rFonts w:hint="eastAsia"/>
          <w:sz w:val="24"/>
          <w:szCs w:val="24"/>
        </w:rPr>
        <w:t>（一）统一部署一套测试环境，并做好版本控制。统一部署的好处是能够有效控制版本，保障系统功能的准确性和唯一性，做到一处开发、多地发布。</w:t>
      </w:r>
    </w:p>
    <w:p>
      <w:pPr>
        <w:spacing w:line="360" w:lineRule="auto"/>
        <w:ind w:firstLine="480" w:firstLineChars="200"/>
        <w:rPr>
          <w:sz w:val="24"/>
          <w:szCs w:val="24"/>
        </w:rPr>
      </w:pPr>
      <w:r>
        <w:rPr>
          <w:rFonts w:hint="eastAsia"/>
          <w:sz w:val="24"/>
          <w:szCs w:val="24"/>
        </w:rPr>
        <w:t>（二）建立收集汇总机制。由于各地情况的不同，各试点单位的新需求可能会不尽相同，对于客户在试运行过程中的提出的问题，可以基于收集汇总机制，汇总到招标方，统一分析、设计和编码、测试，保障系统的整体性和全局性。</w:t>
      </w:r>
    </w:p>
    <w:p>
      <w:pPr>
        <w:spacing w:line="360" w:lineRule="auto"/>
        <w:ind w:firstLine="480" w:firstLineChars="200"/>
      </w:pPr>
      <w:r>
        <w:rPr>
          <w:rFonts w:hint="eastAsia"/>
          <w:sz w:val="24"/>
          <w:szCs w:val="24"/>
        </w:rPr>
        <w:t>三、培训环境是培训过程中采用的环境，该环境可以从以上测试环境中选取相应的版本进行有针对性的培训工作。培训环境可以需要时灵活部署。</w:t>
      </w:r>
    </w:p>
    <w:p>
      <w:pPr>
        <w:pStyle w:val="4"/>
        <w:numPr>
          <w:ilvl w:val="2"/>
          <w:numId w:val="3"/>
        </w:numPr>
        <w:ind w:left="0" w:leftChars="0" w:firstLine="402" w:firstLineChars="0"/>
      </w:pPr>
      <w:bookmarkStart w:id="401" w:name="_Toc12134"/>
      <w:r>
        <w:rPr>
          <w:rFonts w:hint="eastAsia"/>
        </w:rPr>
        <w:t>应用部署准备</w:t>
      </w:r>
      <w:bookmarkEnd w:id="401"/>
    </w:p>
    <w:p>
      <w:pPr>
        <w:spacing w:line="360" w:lineRule="auto"/>
        <w:ind w:firstLine="480" w:firstLineChars="200"/>
        <w:rPr>
          <w:sz w:val="24"/>
          <w:szCs w:val="24"/>
        </w:rPr>
      </w:pPr>
      <w:r>
        <w:rPr>
          <w:rFonts w:hint="eastAsia"/>
          <w:sz w:val="24"/>
          <w:szCs w:val="24"/>
        </w:rPr>
        <w:t>应用部署准备我们将对本次试运行提供的系统内容例如</w:t>
      </w:r>
      <w:r>
        <w:rPr>
          <w:sz w:val="24"/>
          <w:szCs w:val="24"/>
        </w:rPr>
        <w:t>sql</w:t>
      </w:r>
      <w:r>
        <w:rPr>
          <w:rFonts w:hint="eastAsia"/>
          <w:sz w:val="24"/>
          <w:szCs w:val="24"/>
        </w:rPr>
        <w:t>脚本、</w:t>
      </w:r>
      <w:r>
        <w:rPr>
          <w:sz w:val="24"/>
          <w:szCs w:val="24"/>
        </w:rPr>
        <w:t>ormap</w:t>
      </w:r>
      <w:r>
        <w:rPr>
          <w:rFonts w:hint="eastAsia"/>
          <w:sz w:val="24"/>
          <w:szCs w:val="24"/>
        </w:rPr>
        <w:t>、后台代码、前台代码、</w:t>
      </w:r>
      <w:r>
        <w:rPr>
          <w:sz w:val="24"/>
          <w:szCs w:val="24"/>
        </w:rPr>
        <w:t>query</w:t>
      </w:r>
      <w:r>
        <w:rPr>
          <w:rFonts w:hint="eastAsia"/>
          <w:sz w:val="24"/>
          <w:szCs w:val="24"/>
        </w:rPr>
        <w:t>文件、</w:t>
      </w:r>
      <w:r>
        <w:rPr>
          <w:rFonts w:hint="eastAsia"/>
          <w:sz w:val="24"/>
          <w:szCs w:val="24"/>
          <w:lang w:val="en-US" w:eastAsia="zh-CN"/>
        </w:rPr>
        <w:t>tomcat</w:t>
      </w:r>
      <w:r>
        <w:rPr>
          <w:rFonts w:hint="eastAsia"/>
          <w:sz w:val="24"/>
          <w:szCs w:val="24"/>
        </w:rPr>
        <w:t>启动脚本、</w:t>
      </w:r>
      <w:r>
        <w:rPr>
          <w:sz w:val="24"/>
          <w:szCs w:val="24"/>
        </w:rPr>
        <w:t>XML</w:t>
      </w:r>
      <w:r>
        <w:rPr>
          <w:rFonts w:hint="eastAsia"/>
          <w:sz w:val="24"/>
          <w:szCs w:val="24"/>
        </w:rPr>
        <w:t>配置文件、新增的</w:t>
      </w:r>
      <w:r>
        <w:rPr>
          <w:sz w:val="24"/>
          <w:szCs w:val="24"/>
        </w:rPr>
        <w:t>JAR</w:t>
      </w:r>
      <w:r>
        <w:rPr>
          <w:rFonts w:hint="eastAsia"/>
          <w:sz w:val="24"/>
          <w:szCs w:val="24"/>
        </w:rPr>
        <w:t>包、</w:t>
      </w:r>
      <w:r>
        <w:rPr>
          <w:sz w:val="24"/>
          <w:szCs w:val="24"/>
        </w:rPr>
        <w:t>WAR</w:t>
      </w:r>
      <w:r>
        <w:rPr>
          <w:rFonts w:hint="eastAsia"/>
          <w:sz w:val="24"/>
          <w:szCs w:val="24"/>
        </w:rPr>
        <w:t>包、控制台</w:t>
      </w:r>
      <w:r>
        <w:rPr>
          <w:sz w:val="24"/>
          <w:szCs w:val="24"/>
        </w:rPr>
        <w:t>console</w:t>
      </w:r>
      <w:r>
        <w:rPr>
          <w:rFonts w:hint="eastAsia"/>
          <w:sz w:val="24"/>
          <w:szCs w:val="24"/>
        </w:rPr>
        <w:t>的配置信息等进行先期验证，确保各配置文件准确无误、版本统一。</w:t>
      </w:r>
    </w:p>
    <w:p>
      <w:pPr>
        <w:spacing w:line="360" w:lineRule="auto"/>
        <w:ind w:firstLine="480" w:firstLineChars="200"/>
      </w:pPr>
      <w:r>
        <w:rPr>
          <w:rFonts w:hint="eastAsia"/>
          <w:sz w:val="24"/>
          <w:szCs w:val="24"/>
        </w:rPr>
        <w:t>在对各项内容验证完成之后，将其导入至安全可靠的两份介质当中，做好标记，其中一份供存档保存使用，另一份可随工程人员携带部署安装。</w:t>
      </w:r>
    </w:p>
    <w:p>
      <w:pPr>
        <w:pStyle w:val="4"/>
        <w:numPr>
          <w:ilvl w:val="2"/>
          <w:numId w:val="3"/>
        </w:numPr>
        <w:ind w:left="0" w:leftChars="0" w:firstLine="402" w:firstLineChars="0"/>
      </w:pPr>
      <w:bookmarkStart w:id="402" w:name="_Toc2394"/>
      <w:r>
        <w:rPr>
          <w:rFonts w:hint="eastAsia"/>
        </w:rPr>
        <w:t>系统兼容性</w:t>
      </w:r>
      <w:bookmarkEnd w:id="402"/>
    </w:p>
    <w:p>
      <w:pPr>
        <w:spacing w:line="360" w:lineRule="auto"/>
        <w:ind w:firstLine="480" w:firstLineChars="200"/>
        <w:rPr>
          <w:sz w:val="24"/>
          <w:szCs w:val="24"/>
        </w:rPr>
      </w:pPr>
      <w:r>
        <w:rPr>
          <w:rFonts w:hint="eastAsia"/>
          <w:sz w:val="24"/>
          <w:szCs w:val="24"/>
          <w:lang w:eastAsia="zh-CN"/>
        </w:rPr>
        <w:t>xx交通电子发票管理系统</w:t>
      </w:r>
      <w:r>
        <w:rPr>
          <w:rFonts w:hint="eastAsia"/>
          <w:sz w:val="24"/>
          <w:szCs w:val="24"/>
        </w:rPr>
        <w:t>的整体设计，非常注重系统软件的兼容性。考虑到系统可能会在多种环境下运行，在设计和实现的过程中，以及在技术选型等方面优先选择兼容性好的技术平台。</w:t>
      </w:r>
    </w:p>
    <w:p>
      <w:pPr>
        <w:spacing w:line="360" w:lineRule="auto"/>
        <w:ind w:firstLine="480" w:firstLineChars="200"/>
        <w:rPr>
          <w:sz w:val="24"/>
          <w:szCs w:val="24"/>
        </w:rPr>
      </w:pPr>
      <w:r>
        <w:rPr>
          <w:rFonts w:hint="eastAsia"/>
          <w:sz w:val="24"/>
          <w:szCs w:val="24"/>
        </w:rPr>
        <w:t>平台兼容性</w:t>
      </w:r>
    </w:p>
    <w:p>
      <w:pPr>
        <w:spacing w:line="360" w:lineRule="auto"/>
        <w:ind w:firstLine="480" w:firstLineChars="200"/>
        <w:rPr>
          <w:sz w:val="24"/>
          <w:szCs w:val="24"/>
        </w:rPr>
      </w:pPr>
      <w:r>
        <w:rPr>
          <w:rFonts w:hint="eastAsia"/>
          <w:sz w:val="24"/>
          <w:szCs w:val="24"/>
        </w:rPr>
        <w:t>系统选择使用J2EE平台进行开发。J2EE能够开发部署在异构环境中的可移植程序。基于J2EE的应用程序不依赖特定操作系统、中间件或硬件。因此设计合理的基于J2EE的</w:t>
      </w:r>
      <w:r>
        <w:rPr>
          <w:rFonts w:hint="eastAsia"/>
          <w:sz w:val="24"/>
          <w:szCs w:val="24"/>
          <w:lang w:eastAsia="zh-CN"/>
        </w:rPr>
        <w:t>xx交通电子发票管理系统</w:t>
      </w:r>
      <w:r>
        <w:rPr>
          <w:rFonts w:hint="eastAsia"/>
          <w:sz w:val="24"/>
          <w:szCs w:val="24"/>
        </w:rPr>
        <w:t>开发一次就可部署到多种平台，具有很好的兼容性。J2EE标准也允许客户购与J2EE兼容的第三方现成的组件，把他们部署到异构环境中。使用J2EE平台开发的程序为兼容性提供了良好的基础。</w:t>
      </w:r>
    </w:p>
    <w:p>
      <w:pPr>
        <w:spacing w:line="360" w:lineRule="auto"/>
        <w:ind w:firstLine="480" w:firstLineChars="200"/>
        <w:rPr>
          <w:sz w:val="24"/>
          <w:szCs w:val="24"/>
        </w:rPr>
      </w:pPr>
      <w:r>
        <w:rPr>
          <w:rFonts w:hint="eastAsia"/>
          <w:sz w:val="24"/>
          <w:szCs w:val="24"/>
        </w:rPr>
        <w:t>J2EE平台除了跨平台，兼容性好之外，还将业务逻辑和底层网络技术分离开来，具有稳定的可用性、可伸缩性、扩展性，良好的易开发性和易维护性等特性。</w:t>
      </w:r>
    </w:p>
    <w:p>
      <w:pPr>
        <w:spacing w:line="360" w:lineRule="auto"/>
        <w:ind w:firstLine="480" w:firstLineChars="200"/>
        <w:rPr>
          <w:sz w:val="24"/>
          <w:szCs w:val="24"/>
        </w:rPr>
      </w:pPr>
      <w:r>
        <w:rPr>
          <w:rFonts w:hint="eastAsia"/>
          <w:sz w:val="24"/>
          <w:szCs w:val="24"/>
        </w:rPr>
        <w:t>接口兼容性。</w:t>
      </w:r>
    </w:p>
    <w:p>
      <w:pPr>
        <w:spacing w:line="360" w:lineRule="auto"/>
        <w:ind w:firstLine="480" w:firstLineChars="200"/>
        <w:rPr>
          <w:sz w:val="24"/>
          <w:szCs w:val="24"/>
        </w:rPr>
      </w:pPr>
      <w:r>
        <w:rPr>
          <w:rFonts w:hint="eastAsia"/>
          <w:sz w:val="24"/>
          <w:szCs w:val="24"/>
        </w:rPr>
        <w:t>1.开放接口使用webservice技术</w:t>
      </w:r>
    </w:p>
    <w:p>
      <w:pPr>
        <w:spacing w:line="360" w:lineRule="auto"/>
        <w:ind w:firstLine="480" w:firstLineChars="200"/>
        <w:rPr>
          <w:sz w:val="24"/>
          <w:szCs w:val="24"/>
        </w:rPr>
      </w:pPr>
      <w:r>
        <w:rPr>
          <w:rFonts w:hint="eastAsia"/>
          <w:sz w:val="24"/>
          <w:szCs w:val="24"/>
        </w:rPr>
        <w:t>Web service是一个平台独立的、低耦合的、自包含的、基于可编程的web的应用程序，可使用开放的XML标准来描述、发布、发现、协调和配置这些应用程序，用于开发分布式的互操作的应用程序。</w:t>
      </w:r>
    </w:p>
    <w:p>
      <w:pPr>
        <w:spacing w:line="360" w:lineRule="auto"/>
        <w:ind w:firstLine="480" w:firstLineChars="200"/>
        <w:rPr>
          <w:sz w:val="24"/>
          <w:szCs w:val="24"/>
        </w:rPr>
      </w:pPr>
      <w:r>
        <w:rPr>
          <w:rFonts w:hint="eastAsia"/>
          <w:sz w:val="24"/>
          <w:szCs w:val="24"/>
        </w:rPr>
        <w:t>Web Service技术， 能使得运行在不同机器上的不同应用无须借助附加的、专门的第三方软件或硬件， 就可相互交换数据或集成。依据Web Service规范实施的应用之间， 无论它们所使用的语言、 平台或内部协议是什么， 都可以相互交换数据。Web Service是自描述、 自包含的可用网络模块， 可以执行具体的业务功能。Web Service也很容易部署， 因为它们基于一些常规的产业标准以及已有的一些技术，诸如标准通用标记语言下的子集XML、HTTP。Web Service为多个组织之间的业务流程的集成提供了一个标准的通用机制。</w:t>
      </w:r>
    </w:p>
    <w:p>
      <w:pPr>
        <w:spacing w:line="360" w:lineRule="auto"/>
        <w:ind w:firstLine="480" w:firstLineChars="200"/>
        <w:rPr>
          <w:sz w:val="24"/>
          <w:szCs w:val="24"/>
        </w:rPr>
      </w:pPr>
      <w:r>
        <w:rPr>
          <w:rFonts w:hint="eastAsia"/>
          <w:sz w:val="24"/>
          <w:szCs w:val="24"/>
          <w:lang w:eastAsia="zh-CN"/>
        </w:rPr>
        <w:t>xx交通电子发票管理系统</w:t>
      </w:r>
      <w:r>
        <w:rPr>
          <w:rFonts w:hint="eastAsia"/>
          <w:sz w:val="24"/>
          <w:szCs w:val="24"/>
        </w:rPr>
        <w:t>使用webservice技术作为接口服务，不限定企业方使用何种语言、平台等，大大降低与其他企业内部订单系统的对接难度。</w:t>
      </w:r>
    </w:p>
    <w:p>
      <w:pPr>
        <w:spacing w:line="360" w:lineRule="auto"/>
        <w:ind w:firstLine="480" w:firstLineChars="200"/>
        <w:rPr>
          <w:sz w:val="24"/>
          <w:szCs w:val="24"/>
        </w:rPr>
      </w:pPr>
      <w:r>
        <w:rPr>
          <w:rFonts w:hint="eastAsia"/>
          <w:sz w:val="24"/>
          <w:szCs w:val="24"/>
        </w:rPr>
        <w:t>接口版本向上兼容</w:t>
      </w:r>
    </w:p>
    <w:p>
      <w:pPr>
        <w:spacing w:line="360" w:lineRule="auto"/>
        <w:ind w:firstLine="480" w:firstLineChars="200"/>
        <w:rPr>
          <w:sz w:val="24"/>
          <w:szCs w:val="24"/>
        </w:rPr>
      </w:pPr>
      <w:r>
        <w:rPr>
          <w:rFonts w:hint="eastAsia"/>
          <w:sz w:val="24"/>
          <w:szCs w:val="24"/>
          <w:lang w:eastAsia="zh-CN"/>
        </w:rPr>
        <w:t>xx交通</w:t>
      </w:r>
      <w:r>
        <w:rPr>
          <w:rFonts w:hint="eastAsia"/>
          <w:sz w:val="24"/>
          <w:szCs w:val="24"/>
        </w:rPr>
        <w:t>增值税发票管理系统的接口版本更新后，在一定时期内保留对老版本的接口兼容，以避免影响现有业务系统的正常运行。</w:t>
      </w:r>
    </w:p>
    <w:p>
      <w:pPr>
        <w:spacing w:line="360" w:lineRule="auto"/>
        <w:ind w:firstLine="480" w:firstLineChars="200"/>
        <w:rPr>
          <w:sz w:val="24"/>
          <w:szCs w:val="24"/>
        </w:rPr>
      </w:pPr>
      <w:r>
        <w:rPr>
          <w:rFonts w:hint="eastAsia"/>
          <w:sz w:val="24"/>
          <w:szCs w:val="24"/>
        </w:rPr>
        <w:t>接口版本会随着业务的改变而发生变化，在接口版本发生变化时，会发布标准的接口协议，并通知相关方关注更新的接口信息，及时配合测试联调。</w:t>
      </w:r>
    </w:p>
    <w:p>
      <w:pPr>
        <w:spacing w:line="360" w:lineRule="auto"/>
        <w:ind w:firstLine="480" w:firstLineChars="200"/>
        <w:rPr>
          <w:sz w:val="24"/>
          <w:szCs w:val="24"/>
        </w:rPr>
      </w:pPr>
      <w:r>
        <w:rPr>
          <w:rFonts w:hint="eastAsia"/>
          <w:sz w:val="24"/>
          <w:szCs w:val="24"/>
        </w:rPr>
        <w:t>在发布上线阶段，采用增量发布，在不影响业务正常运行的情况下，保留对老版本的兼容，让企业根据情况选择是否升级接口服务。保证服务的稳定正常运行。</w:t>
      </w:r>
    </w:p>
    <w:p>
      <w:pPr>
        <w:spacing w:line="360" w:lineRule="auto"/>
        <w:ind w:firstLine="480" w:firstLineChars="200"/>
        <w:rPr>
          <w:sz w:val="24"/>
          <w:szCs w:val="24"/>
        </w:rPr>
      </w:pPr>
      <w:r>
        <w:rPr>
          <w:rFonts w:hint="eastAsia"/>
          <w:sz w:val="24"/>
          <w:szCs w:val="24"/>
        </w:rPr>
        <w:t>税控服务器采用国税总局制定的统一接口协议</w:t>
      </w:r>
    </w:p>
    <w:p>
      <w:pPr>
        <w:spacing w:line="360" w:lineRule="auto"/>
        <w:ind w:firstLine="480" w:firstLineChars="200"/>
        <w:rPr>
          <w:sz w:val="24"/>
          <w:szCs w:val="24"/>
        </w:rPr>
      </w:pPr>
      <w:r>
        <w:rPr>
          <w:rFonts w:hint="eastAsia"/>
          <w:sz w:val="24"/>
          <w:szCs w:val="24"/>
        </w:rPr>
        <w:t>税控开票服务器接口采用国税总局统一制定的接口协议，具有良好的适用性，可以与其他厂商的开票服务器实现替换使用。</w:t>
      </w:r>
    </w:p>
    <w:p>
      <w:pPr>
        <w:spacing w:line="360" w:lineRule="auto"/>
        <w:ind w:firstLine="480" w:firstLineChars="200"/>
        <w:rPr>
          <w:sz w:val="24"/>
          <w:szCs w:val="24"/>
        </w:rPr>
      </w:pPr>
      <w:r>
        <w:rPr>
          <w:rFonts w:hint="eastAsia"/>
          <w:sz w:val="24"/>
          <w:szCs w:val="24"/>
        </w:rPr>
        <w:t>系统服务兼容性</w:t>
      </w:r>
    </w:p>
    <w:p>
      <w:pPr>
        <w:spacing w:line="360" w:lineRule="auto"/>
        <w:ind w:firstLine="480" w:firstLineChars="200"/>
        <w:rPr>
          <w:sz w:val="24"/>
          <w:szCs w:val="24"/>
        </w:rPr>
      </w:pPr>
      <w:r>
        <w:rPr>
          <w:rFonts w:hint="eastAsia"/>
          <w:sz w:val="24"/>
          <w:szCs w:val="24"/>
        </w:rPr>
        <w:t>支撑服务兼容性</w:t>
      </w:r>
    </w:p>
    <w:p>
      <w:pPr>
        <w:spacing w:line="360" w:lineRule="auto"/>
        <w:ind w:firstLine="480" w:firstLineChars="200"/>
        <w:rPr>
          <w:sz w:val="24"/>
          <w:szCs w:val="24"/>
        </w:rPr>
      </w:pPr>
      <w:r>
        <w:rPr>
          <w:rFonts w:hint="eastAsia"/>
          <w:sz w:val="24"/>
          <w:szCs w:val="24"/>
        </w:rPr>
        <w:t>为保障</w:t>
      </w:r>
      <w:r>
        <w:rPr>
          <w:rFonts w:hint="eastAsia"/>
          <w:sz w:val="24"/>
          <w:szCs w:val="24"/>
          <w:lang w:eastAsia="zh-CN"/>
        </w:rPr>
        <w:t>xx交通电子发票管理系统</w:t>
      </w:r>
      <w:r>
        <w:rPr>
          <w:rFonts w:hint="eastAsia"/>
          <w:sz w:val="24"/>
          <w:szCs w:val="24"/>
        </w:rPr>
        <w:t>的稳定性、可靠性以及高并发等要求，我们引入了NGINX ,ZOOKEEPER,RABBITMQ等开源应用，这些开源应用本身具有跨平台特性，可以实现多平台部署运行。</w:t>
      </w:r>
    </w:p>
    <w:p>
      <w:pPr>
        <w:spacing w:line="360" w:lineRule="auto"/>
        <w:ind w:firstLine="480" w:firstLineChars="200"/>
        <w:rPr>
          <w:sz w:val="24"/>
          <w:szCs w:val="24"/>
        </w:rPr>
      </w:pPr>
      <w:r>
        <w:rPr>
          <w:rFonts w:hint="eastAsia"/>
          <w:sz w:val="24"/>
          <w:szCs w:val="24"/>
        </w:rPr>
        <w:t>管理系统的兼容性</w:t>
      </w:r>
    </w:p>
    <w:p>
      <w:pPr>
        <w:spacing w:line="360" w:lineRule="auto"/>
        <w:ind w:firstLine="480" w:firstLineChars="200"/>
        <w:rPr>
          <w:sz w:val="24"/>
          <w:szCs w:val="24"/>
        </w:rPr>
      </w:pPr>
      <w:r>
        <w:rPr>
          <w:rFonts w:hint="eastAsia"/>
          <w:sz w:val="24"/>
          <w:szCs w:val="24"/>
          <w:lang w:eastAsia="zh-CN"/>
        </w:rPr>
        <w:t>xx交通电子发票管理系统</w:t>
      </w:r>
      <w:r>
        <w:rPr>
          <w:rFonts w:hint="eastAsia"/>
          <w:sz w:val="24"/>
          <w:szCs w:val="24"/>
        </w:rPr>
        <w:t>管理端功能，能够在多种浏览器下运行，并经过严格的测试，从应用管理服务层面保证了良好的兼容性。</w:t>
      </w:r>
    </w:p>
    <w:p>
      <w:pPr>
        <w:spacing w:line="360" w:lineRule="auto"/>
        <w:ind w:firstLine="480" w:firstLineChars="200"/>
        <w:rPr>
          <w:sz w:val="24"/>
          <w:szCs w:val="24"/>
        </w:rPr>
      </w:pPr>
      <w:r>
        <w:rPr>
          <w:rFonts w:hint="eastAsia"/>
          <w:sz w:val="24"/>
          <w:szCs w:val="24"/>
        </w:rPr>
        <w:t>数据兼容性</w:t>
      </w:r>
    </w:p>
    <w:p>
      <w:pPr>
        <w:spacing w:line="360" w:lineRule="auto"/>
        <w:ind w:firstLine="480" w:firstLineChars="200"/>
        <w:rPr>
          <w:lang w:val="zh-CN"/>
        </w:rPr>
      </w:pPr>
      <w:r>
        <w:rPr>
          <w:rFonts w:hint="eastAsia"/>
          <w:sz w:val="24"/>
          <w:szCs w:val="24"/>
          <w:lang w:val="zh-CN" w:eastAsia="zh-CN"/>
        </w:rPr>
        <w:t>增值税xx交通增值税发票管理可能会随着业务的变化而变更数据库设计，在业务变化可控范围内，系统将提供新旧数据转换的功能。如果系统升级后定义了新的数据格式或文件格式，将会对原来格式的数据进行支持及更新（原有数据需要进行清洗或直接继承），保证在新的格式下依然可用，并尽可能保证数据的完整性与正确性。</w:t>
      </w:r>
    </w:p>
    <w:p>
      <w:pPr>
        <w:pStyle w:val="4"/>
        <w:numPr>
          <w:ilvl w:val="2"/>
          <w:numId w:val="3"/>
        </w:numPr>
        <w:ind w:left="0" w:leftChars="0" w:firstLine="402" w:firstLineChars="0"/>
      </w:pPr>
      <w:bookmarkStart w:id="403" w:name="_Toc8915"/>
      <w:r>
        <w:rPr>
          <w:rFonts w:hint="eastAsia"/>
        </w:rPr>
        <w:t>系统管理</w:t>
      </w:r>
      <w:bookmarkEnd w:id="403"/>
    </w:p>
    <w:p>
      <w:pPr>
        <w:spacing w:line="360" w:lineRule="auto"/>
        <w:ind w:firstLine="480" w:firstLineChars="200"/>
        <w:rPr>
          <w:sz w:val="24"/>
          <w:szCs w:val="24"/>
        </w:rPr>
      </w:pPr>
      <w:r>
        <w:rPr>
          <w:rFonts w:hint="eastAsia"/>
          <w:sz w:val="24"/>
          <w:szCs w:val="24"/>
          <w:lang w:eastAsia="zh-CN"/>
        </w:rPr>
        <w:t>xx交通</w:t>
      </w:r>
      <w:r>
        <w:rPr>
          <w:rFonts w:hint="eastAsia"/>
          <w:sz w:val="24"/>
          <w:szCs w:val="24"/>
        </w:rPr>
        <w:t>增值税发票管理系统对</w:t>
      </w:r>
      <w:r>
        <w:rPr>
          <w:rFonts w:hint="eastAsia"/>
          <w:sz w:val="24"/>
          <w:szCs w:val="24"/>
          <w:lang w:eastAsia="zh-CN"/>
        </w:rPr>
        <w:t>xx交通</w:t>
      </w:r>
      <w:r>
        <w:rPr>
          <w:rFonts w:hint="eastAsia"/>
          <w:sz w:val="24"/>
          <w:szCs w:val="24"/>
        </w:rPr>
        <w:t>增值税发票管理平台端和开票服务器端的系统配置、设备运行、系统安全等方面提供管理手段，以保证系统能安全可靠地运行。这些管理手段包括“开票服务监控管理、金税盘设备管理、发票数据上传管理、发票上传状态下载、发票修复管理、抄报税维护管理、硬件状态监控、数据库状态监控、数据队列监控、数据处理监控”。</w:t>
      </w:r>
    </w:p>
    <w:p>
      <w:pPr>
        <w:spacing w:line="360" w:lineRule="auto"/>
        <w:ind w:firstLine="480" w:firstLineChars="200"/>
        <w:rPr>
          <w:sz w:val="24"/>
          <w:szCs w:val="24"/>
        </w:rPr>
      </w:pPr>
      <w:r>
        <w:rPr>
          <w:rFonts w:hint="eastAsia"/>
          <w:sz w:val="24"/>
          <w:szCs w:val="24"/>
        </w:rPr>
        <w:t>开票服务监控管理</w:t>
      </w:r>
    </w:p>
    <w:p>
      <w:pPr>
        <w:spacing w:line="360" w:lineRule="auto"/>
        <w:ind w:firstLine="480" w:firstLineChars="200"/>
        <w:rPr>
          <w:sz w:val="24"/>
          <w:szCs w:val="24"/>
        </w:rPr>
      </w:pPr>
      <w:r>
        <w:rPr>
          <w:rFonts w:hint="eastAsia"/>
          <w:sz w:val="24"/>
          <w:szCs w:val="24"/>
        </w:rPr>
        <w:t>系统要实现对开票服务的监控与管理，必须先录入开票服务的相关信息方可实现。这些信息包括开票服务名称、端口号、IP和安装路径等。有了这信息后，系统先对其进行监控，然后系统管理员可以基于这些监控信息进行相关的管理操作。如开票服务处理停止状态，可进行启动操作，如开票服务处理运行中，可进行关闭操作。通过这些监控及管理操作，系统管理员可以界面化查询和管理这些服务。</w:t>
      </w:r>
    </w:p>
    <w:p>
      <w:pPr>
        <w:spacing w:line="360" w:lineRule="auto"/>
        <w:ind w:firstLine="480" w:firstLineChars="200"/>
        <w:rPr>
          <w:sz w:val="24"/>
          <w:szCs w:val="24"/>
        </w:rPr>
      </w:pPr>
      <w:r>
        <w:rPr>
          <w:rFonts w:hint="eastAsia"/>
          <w:sz w:val="24"/>
          <w:szCs w:val="24"/>
        </w:rPr>
        <w:t>金税盘设备管理</w:t>
      </w:r>
    </w:p>
    <w:p>
      <w:pPr>
        <w:spacing w:line="360" w:lineRule="auto"/>
        <w:ind w:firstLine="480" w:firstLineChars="200"/>
        <w:rPr>
          <w:sz w:val="24"/>
          <w:szCs w:val="24"/>
        </w:rPr>
      </w:pPr>
      <w:r>
        <w:rPr>
          <w:rFonts w:hint="eastAsia"/>
          <w:sz w:val="24"/>
          <w:szCs w:val="24"/>
        </w:rPr>
        <w:t>金税盘设备管理其实就是对金税盘进行上电和下电的管理。金税盘上电后才可进行工作。管理员需先在系统中录入设备的相关信息才能对其进行管理。录入的信息包括金税盘盘号、硬件位置、纳税人识别号、分机号等。系统会根据录入的信息进行检测上电状态。如“金税盘”处理下电状态，系统管理员可以执行上电操作，否则可执行下电操作。此管理功能方便系统管理员安全准确的管理金税盘设备。</w:t>
      </w:r>
    </w:p>
    <w:p>
      <w:pPr>
        <w:spacing w:line="360" w:lineRule="auto"/>
        <w:ind w:firstLine="480" w:firstLineChars="200"/>
        <w:rPr>
          <w:sz w:val="24"/>
          <w:szCs w:val="24"/>
        </w:rPr>
      </w:pPr>
      <w:r>
        <w:rPr>
          <w:rFonts w:hint="eastAsia"/>
          <w:sz w:val="24"/>
          <w:szCs w:val="24"/>
        </w:rPr>
        <w:t>发票数据上传管理</w:t>
      </w:r>
    </w:p>
    <w:p>
      <w:pPr>
        <w:spacing w:line="360" w:lineRule="auto"/>
        <w:ind w:firstLine="480" w:firstLineChars="200"/>
        <w:rPr>
          <w:sz w:val="24"/>
          <w:szCs w:val="24"/>
        </w:rPr>
      </w:pPr>
      <w:r>
        <w:rPr>
          <w:rFonts w:hint="eastAsia"/>
          <w:sz w:val="24"/>
          <w:szCs w:val="24"/>
        </w:rPr>
        <w:t xml:space="preserve">发票数据上传管理提供手动执行上传的功能。先读取数据库中已开发票信息，并展示到管理页面，显示其上传状态，操作人员可对“未上传”或者“上传失败”的发票进行上传操作。上传管理是手动执行上传发票的入口，它与系统自动上传发票相辅，在自动上传不成功情况下可执行上传操作，且可选择性的对某一张发票执行上传。 </w:t>
      </w:r>
    </w:p>
    <w:p>
      <w:pPr>
        <w:spacing w:line="360" w:lineRule="auto"/>
        <w:ind w:firstLine="480" w:firstLineChars="200"/>
        <w:rPr>
          <w:sz w:val="24"/>
          <w:szCs w:val="24"/>
        </w:rPr>
      </w:pPr>
      <w:r>
        <w:rPr>
          <w:rFonts w:hint="eastAsia"/>
          <w:sz w:val="24"/>
          <w:szCs w:val="24"/>
        </w:rPr>
        <w:t>发票上传结果下载</w:t>
      </w:r>
    </w:p>
    <w:p>
      <w:pPr>
        <w:spacing w:line="360" w:lineRule="auto"/>
        <w:ind w:firstLine="480" w:firstLineChars="200"/>
        <w:rPr>
          <w:sz w:val="24"/>
          <w:szCs w:val="24"/>
        </w:rPr>
      </w:pPr>
      <w:r>
        <w:rPr>
          <w:rFonts w:hint="eastAsia"/>
          <w:sz w:val="24"/>
          <w:szCs w:val="24"/>
        </w:rPr>
        <w:t>开票服务器端的发票上传到税局是一个异步过程，先上传到税局系统进行受理，然后返回受理结果，再根据受理结果获取上传处理结果，上传处理成功才算是发票上传税局成功。而对发票上传的结果进行下载就是根据上传受理的结果下载上传处理的结果。当上传处理的结果未获取到时，操作人员可通过该功能执行手动下载操作。</w:t>
      </w:r>
    </w:p>
    <w:p>
      <w:pPr>
        <w:spacing w:line="360" w:lineRule="auto"/>
        <w:ind w:firstLine="480" w:firstLineChars="200"/>
        <w:rPr>
          <w:sz w:val="24"/>
          <w:szCs w:val="24"/>
        </w:rPr>
      </w:pPr>
      <w:r>
        <w:rPr>
          <w:rFonts w:hint="eastAsia"/>
          <w:sz w:val="24"/>
          <w:szCs w:val="24"/>
        </w:rPr>
        <w:t>发票修复管理</w:t>
      </w:r>
    </w:p>
    <w:p>
      <w:pPr>
        <w:spacing w:line="360" w:lineRule="auto"/>
        <w:ind w:firstLine="480" w:firstLineChars="200"/>
        <w:rPr>
          <w:sz w:val="24"/>
          <w:szCs w:val="24"/>
        </w:rPr>
      </w:pPr>
      <w:r>
        <w:rPr>
          <w:rFonts w:hint="eastAsia"/>
          <w:sz w:val="24"/>
          <w:szCs w:val="24"/>
        </w:rPr>
        <w:t>开票服务端每开具一张发票，其发票信息需要写入金税盘组和开票软件数据库。系统有时会因为一些不可抗拒的因素导致写金税盘组成功写库失败，出现此情况时，需要通过此功能对发票进行修复，即将写库失败的发票信息修复到开票软件数据库中。该功能先查询发票信息，如果显示写库失败则可进行发票修复操作。</w:t>
      </w:r>
    </w:p>
    <w:p>
      <w:pPr>
        <w:spacing w:line="360" w:lineRule="auto"/>
        <w:ind w:firstLine="480" w:firstLineChars="200"/>
        <w:rPr>
          <w:sz w:val="24"/>
          <w:szCs w:val="24"/>
        </w:rPr>
      </w:pPr>
      <w:r>
        <w:rPr>
          <w:rFonts w:hint="eastAsia"/>
          <w:sz w:val="24"/>
          <w:szCs w:val="24"/>
        </w:rPr>
        <w:t>抄报税维护管理</w:t>
      </w:r>
    </w:p>
    <w:p>
      <w:pPr>
        <w:spacing w:line="360" w:lineRule="auto"/>
        <w:ind w:firstLine="480" w:firstLineChars="200"/>
        <w:rPr>
          <w:sz w:val="24"/>
          <w:szCs w:val="24"/>
        </w:rPr>
      </w:pPr>
      <w:r>
        <w:rPr>
          <w:rFonts w:hint="eastAsia"/>
          <w:sz w:val="24"/>
          <w:szCs w:val="24"/>
        </w:rPr>
        <w:t>抄报税维护管理主要是对抄报税有问题的金税盘进行手动维护操作。该管理功能先展示当前抄报税失败的金税盘列表信息，信息包含：纳税人识别号、分机号、抄税状态、报税状态、清卡状态等。在列表后面提供上传发票、上报汇总、远程清卡等操作功能。发票上传是将金税盘中所有未上传的发票数据</w:t>
      </w:r>
      <w:bookmarkStart w:id="404" w:name="OLE_LINK1"/>
      <w:r>
        <w:rPr>
          <w:rFonts w:hint="eastAsia"/>
          <w:sz w:val="24"/>
          <w:szCs w:val="24"/>
        </w:rPr>
        <w:t>上传至税务端系统并且下载上传处理结果</w:t>
      </w:r>
      <w:bookmarkEnd w:id="404"/>
      <w:r>
        <w:rPr>
          <w:rFonts w:hint="eastAsia"/>
          <w:sz w:val="24"/>
          <w:szCs w:val="24"/>
        </w:rPr>
        <w:t>。上报汇总是将金税盘中的汇总数据上传至税务端系统并且下载监控数据。远程清卡是对金税盘进行解锁操作。</w:t>
      </w:r>
    </w:p>
    <w:p>
      <w:pPr>
        <w:spacing w:line="360" w:lineRule="auto"/>
        <w:ind w:firstLine="480" w:firstLineChars="200"/>
        <w:rPr>
          <w:sz w:val="24"/>
          <w:szCs w:val="24"/>
        </w:rPr>
      </w:pPr>
      <w:r>
        <w:rPr>
          <w:rFonts w:hint="eastAsia"/>
          <w:sz w:val="24"/>
          <w:szCs w:val="24"/>
        </w:rPr>
        <w:t>硬件状态监控</w:t>
      </w:r>
    </w:p>
    <w:p>
      <w:pPr>
        <w:spacing w:line="360" w:lineRule="auto"/>
        <w:ind w:firstLine="480" w:firstLineChars="200"/>
        <w:rPr>
          <w:sz w:val="24"/>
          <w:szCs w:val="24"/>
        </w:rPr>
      </w:pPr>
      <w:r>
        <w:rPr>
          <w:rFonts w:hint="eastAsia"/>
          <w:sz w:val="24"/>
          <w:szCs w:val="24"/>
        </w:rPr>
        <w:t>硬件状态监控是对服务器硬件资源使用情况进行监控。包括处理器的相关信息，即CPU使用率、句柄数、线程数、进程数、开机时间;内存情况，即总数、已缓存、可用、空闲；磁盘情况，即每秒IO数、吞吐量、I/O等待队列长度、等待时间。每5秒自动刷新硬件资源的使用状况，并提供手动刷新功能。如果达到预警值则发送邮件通知运维人员。</w:t>
      </w:r>
    </w:p>
    <w:p>
      <w:pPr>
        <w:spacing w:line="360" w:lineRule="auto"/>
        <w:ind w:firstLine="480" w:firstLineChars="200"/>
        <w:rPr>
          <w:sz w:val="24"/>
          <w:szCs w:val="24"/>
        </w:rPr>
      </w:pPr>
      <w:r>
        <w:rPr>
          <w:rFonts w:hint="eastAsia"/>
          <w:sz w:val="24"/>
          <w:szCs w:val="24"/>
        </w:rPr>
        <w:t>数据库状态监控</w:t>
      </w:r>
    </w:p>
    <w:p>
      <w:pPr>
        <w:spacing w:line="360" w:lineRule="auto"/>
        <w:ind w:firstLine="480" w:firstLineChars="200"/>
        <w:rPr>
          <w:sz w:val="24"/>
          <w:szCs w:val="24"/>
        </w:rPr>
      </w:pPr>
      <w:r>
        <w:rPr>
          <w:rFonts w:hint="eastAsia"/>
          <w:sz w:val="24"/>
          <w:szCs w:val="24"/>
        </w:rPr>
        <w:t>数据库状态监控是对服务器上的数据库运行状态进行监控，包括MySQL运行状况、数据库引擎运行状态、当前正进行的进程、当前已被打开的表。每12小时自动刷新监控数据，提供手动刷新监控数据的功能</w:t>
      </w:r>
    </w:p>
    <w:p>
      <w:pPr>
        <w:spacing w:line="360" w:lineRule="auto"/>
        <w:ind w:firstLine="480" w:firstLineChars="200"/>
        <w:rPr>
          <w:sz w:val="24"/>
          <w:szCs w:val="24"/>
        </w:rPr>
      </w:pPr>
      <w:r>
        <w:rPr>
          <w:rFonts w:hint="eastAsia"/>
          <w:sz w:val="24"/>
          <w:szCs w:val="24"/>
        </w:rPr>
        <w:t>数据队列监控</w:t>
      </w:r>
    </w:p>
    <w:p>
      <w:pPr>
        <w:spacing w:line="360" w:lineRule="auto"/>
        <w:ind w:firstLine="480" w:firstLineChars="200"/>
        <w:rPr>
          <w:sz w:val="24"/>
          <w:szCs w:val="24"/>
        </w:rPr>
      </w:pPr>
      <w:r>
        <w:rPr>
          <w:rFonts w:hint="eastAsia"/>
          <w:sz w:val="24"/>
          <w:szCs w:val="24"/>
        </w:rPr>
        <w:t>为了保障</w:t>
      </w:r>
      <w:r>
        <w:rPr>
          <w:rFonts w:hint="eastAsia"/>
          <w:sz w:val="24"/>
          <w:szCs w:val="24"/>
          <w:lang w:eastAsia="zh-CN"/>
        </w:rPr>
        <w:t>xx交通电子发票管理系统</w:t>
      </w:r>
      <w:r>
        <w:rPr>
          <w:rFonts w:hint="eastAsia"/>
          <w:sz w:val="24"/>
          <w:szCs w:val="24"/>
        </w:rPr>
        <w:t>的稳定性、可靠性以及高并发等要求，我们引入了RABBITMQ开源软件，为系统业务处理提供数据队列通道。从系统管理的角度来考虑，为了系统能可靠的运行，针对数据队列提供了监控功能。监控的信息包括队列数据深度、队列消耗速度、队列内存使用情况、队列磁盘空间使用情况等。监控信息每小时采集一次，采集频率可配置。采集的信息以邮件或者短信的形式发送给运维人员。</w:t>
      </w:r>
    </w:p>
    <w:p>
      <w:pPr>
        <w:spacing w:line="360" w:lineRule="auto"/>
        <w:ind w:firstLine="480" w:firstLineChars="200"/>
        <w:rPr>
          <w:sz w:val="24"/>
          <w:szCs w:val="24"/>
        </w:rPr>
      </w:pPr>
      <w:r>
        <w:rPr>
          <w:rFonts w:hint="eastAsia"/>
          <w:sz w:val="24"/>
          <w:szCs w:val="24"/>
        </w:rPr>
        <w:t>数据处理监控</w:t>
      </w:r>
    </w:p>
    <w:p>
      <w:pPr>
        <w:spacing w:line="360" w:lineRule="auto"/>
        <w:ind w:firstLine="480" w:firstLineChars="200"/>
        <w:rPr>
          <w:sz w:val="24"/>
          <w:szCs w:val="24"/>
        </w:rPr>
      </w:pPr>
      <w:r>
        <w:rPr>
          <w:rFonts w:hint="eastAsia"/>
          <w:sz w:val="24"/>
          <w:szCs w:val="24"/>
        </w:rPr>
        <w:t>从订单数据到发票元数据以及生成发票pdf需要经过几个处理阶段，每个阶段都有相应的状态。为保障系统可靠的运行，提供了数据处理监控功能，根据配置的频率对数据处理情况进行监控。并将采集的信息通过邮件或者短信的方式发送给运维人员，便于他们对服务出现的情况进行及时处理。</w:t>
      </w:r>
    </w:p>
    <w:p>
      <w:pPr>
        <w:spacing w:line="360" w:lineRule="auto"/>
        <w:ind w:firstLine="420" w:firstLineChars="200"/>
      </w:pPr>
    </w:p>
    <w:p>
      <w:pPr>
        <w:pStyle w:val="2"/>
        <w:pageBreakBefore/>
        <w:numPr>
          <w:ilvl w:val="0"/>
          <w:numId w:val="3"/>
        </w:numPr>
        <w:spacing w:before="0" w:after="0" w:line="360" w:lineRule="auto"/>
        <w:ind w:left="0" w:leftChars="0" w:firstLine="402" w:firstLineChars="0"/>
      </w:pPr>
      <w:r>
        <w:rPr>
          <w:rFonts w:hint="eastAsia"/>
        </w:rPr>
        <w:t xml:space="preserve">  </w:t>
      </w:r>
      <w:bookmarkStart w:id="405" w:name="_Toc12437"/>
      <w:r>
        <w:rPr>
          <w:rFonts w:hint="eastAsia"/>
        </w:rPr>
        <w:t>项目培训方案</w:t>
      </w:r>
      <w:bookmarkEnd w:id="405"/>
    </w:p>
    <w:p>
      <w:pPr>
        <w:pStyle w:val="3"/>
        <w:numPr>
          <w:ilvl w:val="1"/>
          <w:numId w:val="85"/>
        </w:numPr>
        <w:spacing w:before="0" w:after="0" w:line="360" w:lineRule="auto"/>
        <w:ind w:left="0" w:leftChars="0" w:firstLine="402" w:firstLineChars="0"/>
      </w:pPr>
      <w:bookmarkStart w:id="406" w:name="_Toc444186077"/>
      <w:bookmarkStart w:id="407" w:name="_Toc18488"/>
      <w:r>
        <w:rPr>
          <w:rFonts w:hint="eastAsia"/>
        </w:rPr>
        <w:t>培训概述</w:t>
      </w:r>
      <w:bookmarkEnd w:id="406"/>
      <w:bookmarkEnd w:id="407"/>
    </w:p>
    <w:p>
      <w:pPr>
        <w:spacing w:line="360" w:lineRule="auto"/>
        <w:ind w:firstLine="480" w:firstLineChars="200"/>
        <w:rPr>
          <w:sz w:val="24"/>
          <w:szCs w:val="24"/>
        </w:rPr>
      </w:pPr>
      <w:r>
        <w:rPr>
          <w:rFonts w:hint="eastAsia"/>
          <w:sz w:val="24"/>
          <w:szCs w:val="24"/>
        </w:rPr>
        <w:t>优质的培训可以为用户单位培养一批合格的技术人员，帮助他们更好地掌握系统的安装、调试和使用方法，从而更好地进行信息系统的日常维护工作。</w:t>
      </w:r>
    </w:p>
    <w:p>
      <w:pPr>
        <w:spacing w:line="360" w:lineRule="auto"/>
        <w:ind w:firstLine="480" w:firstLineChars="200"/>
        <w:rPr>
          <w:sz w:val="24"/>
          <w:szCs w:val="24"/>
        </w:rPr>
      </w:pPr>
      <w:r>
        <w:rPr>
          <w:rFonts w:hint="eastAsia"/>
          <w:sz w:val="24"/>
          <w:szCs w:val="24"/>
          <w:lang w:eastAsia="zh-CN"/>
        </w:rPr>
        <w:t>北京**信息技术</w:t>
      </w:r>
      <w:r>
        <w:rPr>
          <w:rFonts w:hint="eastAsia"/>
          <w:sz w:val="24"/>
          <w:szCs w:val="24"/>
        </w:rPr>
        <w:t>有限公司拥有完善的服务体系，该体系内部包含一支成熟的培训队伍，可以进行各种技术培训。这支队伍对本项目中涉及的各项技术均有深入的了解，他们将精心地规划、组织各种级别的技术培训，使培训工作取得最佳效果。</w:t>
      </w:r>
    </w:p>
    <w:p>
      <w:pPr>
        <w:spacing w:line="360" w:lineRule="auto"/>
        <w:ind w:firstLine="480" w:firstLineChars="200"/>
        <w:rPr>
          <w:sz w:val="24"/>
          <w:szCs w:val="24"/>
        </w:rPr>
      </w:pPr>
      <w:r>
        <w:rPr>
          <w:rFonts w:hint="eastAsia"/>
          <w:sz w:val="24"/>
          <w:szCs w:val="24"/>
        </w:rPr>
        <w:t>在招标文件中，对技术培训提出了具体、严格的要求，</w:t>
      </w:r>
      <w:r>
        <w:rPr>
          <w:rFonts w:hint="eastAsia"/>
          <w:sz w:val="24"/>
          <w:szCs w:val="24"/>
          <w:lang w:eastAsia="zh-CN"/>
        </w:rPr>
        <w:t>**公司</w:t>
      </w:r>
      <w:r>
        <w:rPr>
          <w:rFonts w:hint="eastAsia"/>
          <w:sz w:val="24"/>
          <w:szCs w:val="24"/>
        </w:rPr>
        <w:t>将严格按照标书中的要求，并结合以往的经验，对本项目的培训进行认真的设计和细致的规划，根据项目的培训对象和工作要求不同，将整个培训分为技术培训、业务培训，在培训工作中我们将做到精心准备、细致安排、积极实施、及时总结。</w:t>
      </w:r>
    </w:p>
    <w:p>
      <w:pPr>
        <w:pStyle w:val="3"/>
        <w:numPr>
          <w:ilvl w:val="1"/>
          <w:numId w:val="85"/>
        </w:numPr>
        <w:spacing w:before="0" w:after="0" w:line="360" w:lineRule="auto"/>
        <w:ind w:left="0" w:leftChars="0" w:firstLine="402" w:firstLineChars="0"/>
      </w:pPr>
      <w:bookmarkStart w:id="408" w:name="_Toc444186078"/>
      <w:bookmarkStart w:id="409" w:name="_Toc4165"/>
      <w:r>
        <w:rPr>
          <w:rFonts w:hint="eastAsia"/>
        </w:rPr>
        <w:t>培训形式</w:t>
      </w:r>
      <w:bookmarkEnd w:id="408"/>
      <w:bookmarkEnd w:id="409"/>
    </w:p>
    <w:p>
      <w:pPr>
        <w:spacing w:line="360" w:lineRule="auto"/>
        <w:ind w:firstLine="480" w:firstLineChars="200"/>
      </w:pPr>
      <w:r>
        <w:rPr>
          <w:rFonts w:hint="eastAsia"/>
          <w:sz w:val="24"/>
          <w:szCs w:val="24"/>
        </w:rPr>
        <w:t>培训方式采用现场培训</w:t>
      </w:r>
      <w:r>
        <w:rPr>
          <w:rFonts w:hint="eastAsia"/>
          <w:sz w:val="24"/>
          <w:szCs w:val="24"/>
          <w:lang w:eastAsia="zh-CN"/>
        </w:rPr>
        <w:t>或</w:t>
      </w:r>
      <w:r>
        <w:rPr>
          <w:rFonts w:hint="eastAsia"/>
          <w:sz w:val="24"/>
          <w:szCs w:val="24"/>
        </w:rPr>
        <w:t>远程视频会议培训。培训教材分为技术培训和业务培训两类纸质教材，用于不同培训对象，同时提供相关电子教材如幻灯片等。</w:t>
      </w:r>
    </w:p>
    <w:p>
      <w:pPr>
        <w:pStyle w:val="3"/>
        <w:numPr>
          <w:ilvl w:val="1"/>
          <w:numId w:val="85"/>
        </w:numPr>
        <w:spacing w:before="0" w:after="0" w:line="360" w:lineRule="auto"/>
        <w:ind w:left="0" w:leftChars="0" w:firstLine="402" w:firstLineChars="0"/>
      </w:pPr>
      <w:bookmarkStart w:id="410" w:name="_Toc22060"/>
      <w:bookmarkStart w:id="411" w:name="_Toc444186079"/>
      <w:r>
        <w:rPr>
          <w:rFonts w:hint="eastAsia"/>
        </w:rPr>
        <w:t>培训名称和等级</w:t>
      </w:r>
      <w:bookmarkEnd w:id="410"/>
      <w:bookmarkEnd w:id="411"/>
    </w:p>
    <w:p>
      <w:pPr>
        <w:spacing w:line="360" w:lineRule="auto"/>
        <w:ind w:firstLine="480" w:firstLineChars="200"/>
        <w:rPr>
          <w:sz w:val="24"/>
          <w:szCs w:val="24"/>
        </w:rPr>
      </w:pPr>
      <w:r>
        <w:rPr>
          <w:rFonts w:hint="eastAsia"/>
          <w:sz w:val="24"/>
          <w:szCs w:val="24"/>
        </w:rPr>
        <w:t>优质的培训可以为用户单位培养一批合格的技术人员，帮助他们更好地掌握系统的安装、调试和使用方法，从而更好地进行信息系统的日常维护工作。</w:t>
      </w:r>
      <w:r>
        <w:rPr>
          <w:rFonts w:hint="eastAsia"/>
          <w:sz w:val="24"/>
          <w:szCs w:val="24"/>
          <w:lang w:eastAsia="zh-CN"/>
        </w:rPr>
        <w:t>北京**</w:t>
      </w:r>
      <w:r>
        <w:rPr>
          <w:rFonts w:hint="eastAsia"/>
          <w:sz w:val="24"/>
          <w:szCs w:val="24"/>
        </w:rPr>
        <w:t>信息</w:t>
      </w:r>
      <w:r>
        <w:rPr>
          <w:rFonts w:hint="eastAsia"/>
          <w:sz w:val="24"/>
          <w:szCs w:val="24"/>
          <w:lang w:eastAsia="zh-CN"/>
        </w:rPr>
        <w:t>技术</w:t>
      </w:r>
      <w:r>
        <w:rPr>
          <w:rFonts w:hint="eastAsia"/>
          <w:sz w:val="24"/>
          <w:szCs w:val="24"/>
        </w:rPr>
        <w:t>有限公司拥有完善的服务体系，该体系内部包含一支成熟的培训队伍，可以进行各种级别、种类的培训。这支队伍对本项目中涉及的各项技术均有深入的了解，他们将精心地规划、组织各种级别的培训，使培训工作取得最佳效果。</w:t>
      </w:r>
    </w:p>
    <w:p>
      <w:pPr>
        <w:spacing w:line="360" w:lineRule="auto"/>
        <w:ind w:firstLine="480" w:firstLineChars="200"/>
        <w:rPr>
          <w:sz w:val="24"/>
          <w:szCs w:val="24"/>
        </w:rPr>
      </w:pPr>
      <w:r>
        <w:rPr>
          <w:rFonts w:hint="eastAsia"/>
          <w:sz w:val="24"/>
          <w:szCs w:val="24"/>
        </w:rPr>
        <w:t>总体培训目标为了保证本项目开发移交后，招标方技术人员、管理人员和实际操作人员能根据自己不同工作岗位的要求掌握相应的知识，具备相应的能力，承担相应的工作。</w:t>
      </w:r>
    </w:p>
    <w:p>
      <w:pPr>
        <w:spacing w:line="360" w:lineRule="auto"/>
        <w:ind w:firstLine="480" w:firstLineChars="200"/>
        <w:rPr>
          <w:sz w:val="24"/>
          <w:szCs w:val="24"/>
        </w:rPr>
      </w:pPr>
      <w:r>
        <w:rPr>
          <w:rFonts w:hint="eastAsia"/>
          <w:sz w:val="24"/>
          <w:szCs w:val="24"/>
        </w:rPr>
        <w:t>根据本项目的培训对象和工作要求不同，将整个培训分为技术培训和业务培训两级</w:t>
      </w:r>
      <w:r>
        <w:rPr>
          <w:rFonts w:hint="eastAsia"/>
          <w:sz w:val="24"/>
          <w:szCs w:val="24"/>
          <w:lang w:eastAsia="zh-CN"/>
        </w:rPr>
        <w:t>。</w:t>
      </w:r>
    </w:p>
    <w:p>
      <w:pPr>
        <w:spacing w:line="360" w:lineRule="auto"/>
        <w:ind w:firstLine="480" w:firstLineChars="200"/>
        <w:rPr>
          <w:sz w:val="24"/>
          <w:szCs w:val="24"/>
        </w:rPr>
      </w:pPr>
      <w:r>
        <w:rPr>
          <w:rFonts w:hint="eastAsia"/>
          <w:sz w:val="24"/>
          <w:szCs w:val="24"/>
        </w:rPr>
        <w:t>在培训工作中我们将做到精心准备、细致安排、积极实施、及时总结。</w:t>
      </w:r>
    </w:p>
    <w:p>
      <w:pPr>
        <w:pStyle w:val="4"/>
        <w:numPr>
          <w:ilvl w:val="2"/>
          <w:numId w:val="85"/>
        </w:numPr>
        <w:spacing w:before="0" w:after="0" w:line="360" w:lineRule="auto"/>
        <w:ind w:left="0" w:leftChars="0" w:firstLine="402" w:firstLineChars="0"/>
      </w:pPr>
      <w:bookmarkStart w:id="412" w:name="_Toc2430"/>
      <w:bookmarkStart w:id="413" w:name="_Toc444186080"/>
      <w:r>
        <w:rPr>
          <w:rFonts w:hint="eastAsia"/>
        </w:rPr>
        <w:t>技术培训</w:t>
      </w:r>
      <w:bookmarkEnd w:id="412"/>
      <w:bookmarkEnd w:id="413"/>
    </w:p>
    <w:p>
      <w:pPr>
        <w:pStyle w:val="5"/>
        <w:numPr>
          <w:ilvl w:val="3"/>
          <w:numId w:val="0"/>
        </w:numPr>
        <w:tabs>
          <w:tab w:val="left" w:pos="0"/>
        </w:tabs>
        <w:spacing w:before="0" w:after="0" w:line="360" w:lineRule="auto"/>
        <w:ind w:left="402" w:leftChars="0"/>
      </w:pPr>
      <w:bookmarkStart w:id="414" w:name="_Toc444186081"/>
      <w:bookmarkStart w:id="415" w:name="_Toc741"/>
      <w:r>
        <w:rPr>
          <w:rFonts w:hint="eastAsia"/>
        </w:rPr>
        <w:t>1.1培训目标</w:t>
      </w:r>
      <w:bookmarkEnd w:id="414"/>
      <w:bookmarkEnd w:id="415"/>
    </w:p>
    <w:p>
      <w:pPr>
        <w:spacing w:line="360" w:lineRule="auto"/>
        <w:ind w:firstLine="480" w:firstLineChars="200"/>
      </w:pPr>
      <w:r>
        <w:rPr>
          <w:rFonts w:hint="eastAsia"/>
          <w:sz w:val="24"/>
          <w:szCs w:val="24"/>
          <w:lang w:eastAsia="zh-CN"/>
        </w:rPr>
        <w:t>**公司</w:t>
      </w:r>
      <w:r>
        <w:rPr>
          <w:rFonts w:hint="eastAsia"/>
          <w:sz w:val="24"/>
          <w:szCs w:val="24"/>
        </w:rPr>
        <w:t>通过</w:t>
      </w:r>
      <w:r>
        <w:rPr>
          <w:rFonts w:hint="eastAsia"/>
          <w:sz w:val="24"/>
          <w:szCs w:val="24"/>
          <w:lang w:eastAsia="zh-CN"/>
        </w:rPr>
        <w:t>xx</w:t>
      </w:r>
      <w:r>
        <w:rPr>
          <w:rFonts w:hint="eastAsia"/>
          <w:sz w:val="24"/>
          <w:szCs w:val="24"/>
        </w:rPr>
        <w:t>集团有限公司电子收费分公司发票管理系统技术培训，对招标方运维技术人员进行包括知识转移等内容的技术培训，使其能够对</w:t>
      </w:r>
      <w:r>
        <w:rPr>
          <w:sz w:val="24"/>
          <w:szCs w:val="24"/>
        </w:rPr>
        <w:t>软硬件设备的性能、相关技术原理和操作使用方法，维护管理</w:t>
      </w:r>
      <w:r>
        <w:rPr>
          <w:rFonts w:hint="eastAsia"/>
          <w:sz w:val="24"/>
          <w:szCs w:val="24"/>
        </w:rPr>
        <w:t>有深入了解，</w:t>
      </w:r>
      <w:r>
        <w:rPr>
          <w:sz w:val="24"/>
          <w:szCs w:val="24"/>
        </w:rPr>
        <w:t>达到能独立进行管理、维护测试和故障处理</w:t>
      </w:r>
      <w:r>
        <w:rPr>
          <w:rFonts w:hint="eastAsia"/>
          <w:sz w:val="24"/>
          <w:szCs w:val="24"/>
        </w:rPr>
        <w:t>的能力。</w:t>
      </w:r>
    </w:p>
    <w:p>
      <w:pPr>
        <w:pStyle w:val="5"/>
        <w:numPr>
          <w:ilvl w:val="3"/>
          <w:numId w:val="0"/>
        </w:numPr>
        <w:tabs>
          <w:tab w:val="left" w:pos="0"/>
        </w:tabs>
        <w:spacing w:before="0" w:after="0" w:line="360" w:lineRule="auto"/>
        <w:ind w:left="402" w:leftChars="0"/>
      </w:pPr>
      <w:bookmarkStart w:id="416" w:name="_Toc444186082"/>
      <w:bookmarkStart w:id="417" w:name="_Toc13638"/>
      <w:r>
        <w:rPr>
          <w:rFonts w:hint="eastAsia"/>
        </w:rPr>
        <w:t>1.2</w:t>
      </w:r>
      <w:bookmarkEnd w:id="416"/>
      <w:r>
        <w:rPr>
          <w:rFonts w:hint="eastAsia"/>
        </w:rPr>
        <w:t>培训对象及时间要求</w:t>
      </w:r>
      <w:bookmarkEnd w:id="417"/>
    </w:p>
    <w:p>
      <w:pPr>
        <w:spacing w:line="360" w:lineRule="auto"/>
        <w:rPr>
          <w:rFonts w:hint="eastAsia"/>
          <w:sz w:val="24"/>
          <w:szCs w:val="24"/>
        </w:rPr>
      </w:pPr>
      <w:r>
        <w:rPr>
          <w:rFonts w:hint="eastAsia"/>
          <w:sz w:val="24"/>
          <w:szCs w:val="24"/>
        </w:rPr>
        <w:t>培训对象主要包括招标方的运维人员，熟悉数据库和中间件服务器专业技术</w:t>
      </w:r>
    </w:p>
    <w:p>
      <w:pPr>
        <w:pStyle w:val="5"/>
        <w:numPr>
          <w:ilvl w:val="3"/>
          <w:numId w:val="0"/>
        </w:numPr>
        <w:tabs>
          <w:tab w:val="left" w:pos="0"/>
        </w:tabs>
        <w:spacing w:before="0" w:after="0" w:line="360" w:lineRule="auto"/>
        <w:ind w:left="402" w:leftChars="0"/>
      </w:pPr>
      <w:bookmarkStart w:id="418" w:name="_Toc444186083"/>
      <w:bookmarkStart w:id="419" w:name="_Toc30806"/>
      <w:r>
        <w:rPr>
          <w:rFonts w:hint="eastAsia"/>
        </w:rPr>
        <w:t>1.3课程安排</w:t>
      </w:r>
      <w:bookmarkEnd w:id="418"/>
      <w:bookmarkEnd w:id="419"/>
    </w:p>
    <w:p>
      <w:pPr>
        <w:spacing w:line="360" w:lineRule="auto"/>
        <w:ind w:firstLine="480" w:firstLineChars="200"/>
        <w:rPr>
          <w:sz w:val="24"/>
          <w:szCs w:val="24"/>
        </w:rPr>
      </w:pPr>
      <w:r>
        <w:rPr>
          <w:rFonts w:hint="eastAsia"/>
          <w:sz w:val="24"/>
          <w:szCs w:val="24"/>
        </w:rPr>
        <w:t>课程安排包括应用系统的原理和技术性能、操作维护方法、安装调测、排除故障的一般流程和方法及软件功能、结构、升级等各个方面。同时，为招标方提供相应的应用软硬件技术和系统操作等方面的培训。</w:t>
      </w:r>
    </w:p>
    <w:p>
      <w:pPr>
        <w:numPr>
          <w:ilvl w:val="0"/>
          <w:numId w:val="86"/>
        </w:numPr>
        <w:spacing w:line="360" w:lineRule="auto"/>
        <w:rPr>
          <w:rFonts w:hint="eastAsia"/>
          <w:sz w:val="24"/>
          <w:szCs w:val="24"/>
        </w:rPr>
      </w:pPr>
      <w:r>
        <w:rPr>
          <w:rFonts w:hint="eastAsia"/>
          <w:sz w:val="24"/>
          <w:szCs w:val="24"/>
        </w:rPr>
        <w:t>培训课程</w:t>
      </w:r>
    </w:p>
    <w:tbl>
      <w:tblPr>
        <w:tblStyle w:val="34"/>
        <w:tblW w:w="6660" w:type="dxa"/>
        <w:jc w:val="center"/>
        <w:tblInd w:w="0" w:type="dxa"/>
        <w:tblLayout w:type="fixed"/>
        <w:tblCellMar>
          <w:top w:w="0" w:type="dxa"/>
          <w:left w:w="108" w:type="dxa"/>
          <w:bottom w:w="0" w:type="dxa"/>
          <w:right w:w="108" w:type="dxa"/>
        </w:tblCellMar>
      </w:tblPr>
      <w:tblGrid>
        <w:gridCol w:w="875"/>
        <w:gridCol w:w="5785"/>
      </w:tblGrid>
      <w:tr>
        <w:tblPrEx>
          <w:tblLayout w:type="fixed"/>
          <w:tblCellMar>
            <w:top w:w="0" w:type="dxa"/>
            <w:left w:w="108" w:type="dxa"/>
            <w:bottom w:w="0" w:type="dxa"/>
            <w:right w:w="108" w:type="dxa"/>
          </w:tblCellMar>
        </w:tblPrEx>
        <w:trPr>
          <w:trHeight w:val="270" w:hRule="atLeast"/>
          <w:tblHeader/>
          <w:jc w:val="center"/>
        </w:trPr>
        <w:tc>
          <w:tcPr>
            <w:tcW w:w="875" w:type="dxa"/>
            <w:tcBorders>
              <w:top w:val="single" w:color="auto" w:sz="4" w:space="0"/>
              <w:left w:val="single" w:color="auto" w:sz="4" w:space="0"/>
              <w:bottom w:val="single" w:color="auto" w:sz="4" w:space="0"/>
              <w:right w:val="single" w:color="auto" w:sz="4" w:space="0"/>
            </w:tcBorders>
            <w:shd w:val="clear" w:color="auto" w:fill="E0E0E0"/>
            <w:vAlign w:val="center"/>
          </w:tcPr>
          <w:p>
            <w:pPr>
              <w:spacing w:line="360" w:lineRule="auto"/>
            </w:pPr>
            <w:r>
              <w:rPr>
                <w:rFonts w:hint="eastAsia"/>
              </w:rPr>
              <w:t>序号</w:t>
            </w:r>
          </w:p>
        </w:tc>
        <w:tc>
          <w:tcPr>
            <w:tcW w:w="5785" w:type="dxa"/>
            <w:tcBorders>
              <w:top w:val="single" w:color="auto" w:sz="4" w:space="0"/>
              <w:left w:val="nil"/>
              <w:bottom w:val="single" w:color="auto" w:sz="4" w:space="0"/>
              <w:right w:val="single" w:color="auto" w:sz="4" w:space="0"/>
            </w:tcBorders>
            <w:shd w:val="clear" w:color="auto" w:fill="E0E0E0"/>
            <w:vAlign w:val="center"/>
          </w:tcPr>
          <w:p>
            <w:pPr>
              <w:spacing w:line="360" w:lineRule="auto"/>
            </w:pPr>
            <w:r>
              <w:rPr>
                <w:rFonts w:hint="eastAsia"/>
              </w:rPr>
              <w:t>课程名称</w:t>
            </w:r>
          </w:p>
        </w:tc>
      </w:tr>
      <w:tr>
        <w:tblPrEx>
          <w:tblLayout w:type="fixed"/>
          <w:tblCellMar>
            <w:top w:w="0" w:type="dxa"/>
            <w:left w:w="108" w:type="dxa"/>
            <w:bottom w:w="0" w:type="dxa"/>
            <w:right w:w="108" w:type="dxa"/>
          </w:tblCellMar>
        </w:tblPrEx>
        <w:trPr>
          <w:trHeight w:val="315" w:hRule="atLeast"/>
          <w:jc w:val="center"/>
        </w:trPr>
        <w:tc>
          <w:tcPr>
            <w:tcW w:w="875" w:type="dxa"/>
            <w:tcBorders>
              <w:top w:val="nil"/>
              <w:left w:val="single" w:color="auto" w:sz="4" w:space="0"/>
              <w:bottom w:val="single" w:color="auto" w:sz="4" w:space="0"/>
              <w:right w:val="single" w:color="auto" w:sz="4" w:space="0"/>
            </w:tcBorders>
            <w:vAlign w:val="center"/>
          </w:tcPr>
          <w:p>
            <w:pPr>
              <w:spacing w:line="360" w:lineRule="auto"/>
            </w:pPr>
            <w:r>
              <w:t>1</w:t>
            </w:r>
          </w:p>
        </w:tc>
        <w:tc>
          <w:tcPr>
            <w:tcW w:w="5785" w:type="dxa"/>
            <w:tcBorders>
              <w:top w:val="nil"/>
              <w:left w:val="nil"/>
              <w:bottom w:val="single" w:color="auto" w:sz="4" w:space="0"/>
              <w:right w:val="single" w:color="auto" w:sz="4" w:space="0"/>
            </w:tcBorders>
            <w:vAlign w:val="center"/>
          </w:tcPr>
          <w:p>
            <w:pPr>
              <w:spacing w:line="360" w:lineRule="auto"/>
            </w:pPr>
            <w:r>
              <w:rPr>
                <w:rFonts w:hint="eastAsia"/>
                <w:lang w:eastAsia="zh-CN"/>
              </w:rPr>
              <w:t>xx</w:t>
            </w:r>
            <w:r>
              <w:rPr>
                <w:rFonts w:hint="eastAsia"/>
              </w:rPr>
              <w:t>集团有限公司电子收费分公司发票管理系统项目背景和原理介绍</w:t>
            </w:r>
          </w:p>
        </w:tc>
      </w:tr>
      <w:tr>
        <w:tblPrEx>
          <w:tblLayout w:type="fixed"/>
          <w:tblCellMar>
            <w:top w:w="0" w:type="dxa"/>
            <w:left w:w="108" w:type="dxa"/>
            <w:bottom w:w="0" w:type="dxa"/>
            <w:right w:w="108" w:type="dxa"/>
          </w:tblCellMar>
        </w:tblPrEx>
        <w:trPr>
          <w:trHeight w:val="315" w:hRule="atLeast"/>
          <w:jc w:val="center"/>
        </w:trPr>
        <w:tc>
          <w:tcPr>
            <w:tcW w:w="875" w:type="dxa"/>
            <w:tcBorders>
              <w:top w:val="nil"/>
              <w:left w:val="single" w:color="auto" w:sz="4" w:space="0"/>
              <w:bottom w:val="single" w:color="auto" w:sz="4" w:space="0"/>
              <w:right w:val="single" w:color="auto" w:sz="4" w:space="0"/>
            </w:tcBorders>
            <w:vAlign w:val="center"/>
          </w:tcPr>
          <w:p>
            <w:pPr>
              <w:spacing w:line="360" w:lineRule="auto"/>
            </w:pPr>
            <w:r>
              <w:t>2</w:t>
            </w:r>
          </w:p>
        </w:tc>
        <w:tc>
          <w:tcPr>
            <w:tcW w:w="5785" w:type="dxa"/>
            <w:tcBorders>
              <w:top w:val="nil"/>
              <w:left w:val="nil"/>
              <w:bottom w:val="single" w:color="auto" w:sz="4" w:space="0"/>
              <w:right w:val="single" w:color="auto" w:sz="4" w:space="0"/>
            </w:tcBorders>
            <w:vAlign w:val="center"/>
          </w:tcPr>
          <w:p>
            <w:pPr>
              <w:spacing w:line="360" w:lineRule="auto"/>
            </w:pPr>
            <w:r>
              <w:rPr>
                <w:rFonts w:hint="eastAsia"/>
                <w:lang w:eastAsia="zh-CN"/>
              </w:rPr>
              <w:t>xx</w:t>
            </w:r>
            <w:r>
              <w:rPr>
                <w:rFonts w:hint="eastAsia"/>
              </w:rPr>
              <w:t>集团有限公司电子收费分公司发票管理系统安装与配置培训</w:t>
            </w:r>
          </w:p>
        </w:tc>
      </w:tr>
      <w:tr>
        <w:tblPrEx>
          <w:tblLayout w:type="fixed"/>
          <w:tblCellMar>
            <w:top w:w="0" w:type="dxa"/>
            <w:left w:w="108" w:type="dxa"/>
            <w:bottom w:w="0" w:type="dxa"/>
            <w:right w:w="108" w:type="dxa"/>
          </w:tblCellMar>
        </w:tblPrEx>
        <w:trPr>
          <w:trHeight w:val="315" w:hRule="atLeast"/>
          <w:jc w:val="center"/>
        </w:trPr>
        <w:tc>
          <w:tcPr>
            <w:tcW w:w="875" w:type="dxa"/>
            <w:tcBorders>
              <w:top w:val="nil"/>
              <w:left w:val="single" w:color="auto" w:sz="4" w:space="0"/>
              <w:bottom w:val="single" w:color="auto" w:sz="4" w:space="0"/>
              <w:right w:val="single" w:color="auto" w:sz="4" w:space="0"/>
            </w:tcBorders>
            <w:vAlign w:val="center"/>
          </w:tcPr>
          <w:p>
            <w:pPr>
              <w:spacing w:line="360" w:lineRule="auto"/>
            </w:pPr>
            <w:r>
              <w:t>3</w:t>
            </w:r>
          </w:p>
        </w:tc>
        <w:tc>
          <w:tcPr>
            <w:tcW w:w="5785" w:type="dxa"/>
            <w:tcBorders>
              <w:top w:val="nil"/>
              <w:left w:val="nil"/>
              <w:bottom w:val="single" w:color="auto" w:sz="4" w:space="0"/>
              <w:right w:val="single" w:color="auto" w:sz="4" w:space="0"/>
            </w:tcBorders>
            <w:vAlign w:val="center"/>
          </w:tcPr>
          <w:p>
            <w:pPr>
              <w:spacing w:line="360" w:lineRule="auto"/>
            </w:pPr>
            <w:r>
              <w:rPr>
                <w:rFonts w:hint="eastAsia"/>
                <w:lang w:eastAsia="zh-CN"/>
              </w:rPr>
              <w:t>xx</w:t>
            </w:r>
            <w:r>
              <w:rPr>
                <w:rFonts w:hint="eastAsia"/>
              </w:rPr>
              <w:t>集团有限公司电子收费分公司发票管理系统操作培训</w:t>
            </w:r>
          </w:p>
        </w:tc>
      </w:tr>
      <w:tr>
        <w:tblPrEx>
          <w:tblLayout w:type="fixed"/>
          <w:tblCellMar>
            <w:top w:w="0" w:type="dxa"/>
            <w:left w:w="108" w:type="dxa"/>
            <w:bottom w:w="0" w:type="dxa"/>
            <w:right w:w="108" w:type="dxa"/>
          </w:tblCellMar>
        </w:tblPrEx>
        <w:trPr>
          <w:trHeight w:val="315" w:hRule="atLeast"/>
          <w:jc w:val="center"/>
        </w:trPr>
        <w:tc>
          <w:tcPr>
            <w:tcW w:w="875" w:type="dxa"/>
            <w:tcBorders>
              <w:top w:val="nil"/>
              <w:left w:val="single" w:color="auto" w:sz="4" w:space="0"/>
              <w:bottom w:val="single" w:color="auto" w:sz="4" w:space="0"/>
              <w:right w:val="single" w:color="auto" w:sz="4" w:space="0"/>
            </w:tcBorders>
            <w:vAlign w:val="center"/>
          </w:tcPr>
          <w:p>
            <w:pPr>
              <w:spacing w:line="360" w:lineRule="auto"/>
            </w:pPr>
            <w:r>
              <w:t>4</w:t>
            </w:r>
          </w:p>
        </w:tc>
        <w:tc>
          <w:tcPr>
            <w:tcW w:w="5785" w:type="dxa"/>
            <w:tcBorders>
              <w:top w:val="nil"/>
              <w:left w:val="nil"/>
              <w:bottom w:val="single" w:color="auto" w:sz="4" w:space="0"/>
              <w:right w:val="single" w:color="auto" w:sz="4" w:space="0"/>
            </w:tcBorders>
            <w:vAlign w:val="center"/>
          </w:tcPr>
          <w:p>
            <w:pPr>
              <w:spacing w:line="360" w:lineRule="auto"/>
            </w:pPr>
            <w:r>
              <w:rPr>
                <w:rFonts w:hint="eastAsia"/>
                <w:lang w:eastAsia="zh-CN"/>
              </w:rPr>
              <w:t>xx</w:t>
            </w:r>
            <w:r>
              <w:rPr>
                <w:rFonts w:hint="eastAsia"/>
              </w:rPr>
              <w:t>集团有限公司电子收费分公司发票管理系统升级培训</w:t>
            </w:r>
          </w:p>
        </w:tc>
      </w:tr>
      <w:tr>
        <w:tblPrEx>
          <w:tblLayout w:type="fixed"/>
          <w:tblCellMar>
            <w:top w:w="0" w:type="dxa"/>
            <w:left w:w="108" w:type="dxa"/>
            <w:bottom w:w="0" w:type="dxa"/>
            <w:right w:w="108" w:type="dxa"/>
          </w:tblCellMar>
        </w:tblPrEx>
        <w:trPr>
          <w:trHeight w:val="315" w:hRule="atLeast"/>
          <w:jc w:val="center"/>
        </w:trPr>
        <w:tc>
          <w:tcPr>
            <w:tcW w:w="875" w:type="dxa"/>
            <w:tcBorders>
              <w:top w:val="nil"/>
              <w:left w:val="single" w:color="auto" w:sz="4" w:space="0"/>
              <w:bottom w:val="single" w:color="auto" w:sz="4" w:space="0"/>
              <w:right w:val="single" w:color="auto" w:sz="4" w:space="0"/>
            </w:tcBorders>
            <w:vAlign w:val="center"/>
          </w:tcPr>
          <w:p>
            <w:pPr>
              <w:spacing w:line="360" w:lineRule="auto"/>
            </w:pPr>
            <w:r>
              <w:rPr>
                <w:rFonts w:hint="eastAsia"/>
              </w:rPr>
              <w:t>5</w:t>
            </w:r>
          </w:p>
        </w:tc>
        <w:tc>
          <w:tcPr>
            <w:tcW w:w="5785" w:type="dxa"/>
            <w:tcBorders>
              <w:top w:val="nil"/>
              <w:left w:val="nil"/>
              <w:bottom w:val="single" w:color="auto" w:sz="4" w:space="0"/>
              <w:right w:val="single" w:color="auto" w:sz="4" w:space="0"/>
            </w:tcBorders>
            <w:vAlign w:val="center"/>
          </w:tcPr>
          <w:p>
            <w:pPr>
              <w:spacing w:line="360" w:lineRule="auto"/>
            </w:pPr>
            <w:r>
              <w:rPr>
                <w:rFonts w:hint="eastAsia"/>
                <w:lang w:eastAsia="zh-CN"/>
              </w:rPr>
              <w:t>xx</w:t>
            </w:r>
            <w:r>
              <w:rPr>
                <w:rFonts w:hint="eastAsia"/>
              </w:rPr>
              <w:t>集团有限公司电子收费分公司发票管理系统故障排除培训</w:t>
            </w:r>
          </w:p>
        </w:tc>
      </w:tr>
    </w:tbl>
    <w:p>
      <w:pPr>
        <w:spacing w:line="360" w:lineRule="auto"/>
        <w:rPr>
          <w:rFonts w:hint="eastAsia"/>
        </w:rPr>
      </w:pPr>
    </w:p>
    <w:p>
      <w:pPr>
        <w:spacing w:line="360" w:lineRule="auto"/>
      </w:pPr>
      <w:r>
        <w:rPr>
          <w:rFonts w:hint="eastAsia"/>
        </w:rPr>
        <w:t>二、培训日程</w:t>
      </w:r>
    </w:p>
    <w:tbl>
      <w:tblPr>
        <w:tblStyle w:val="34"/>
        <w:tblW w:w="6520" w:type="dxa"/>
        <w:jc w:val="center"/>
        <w:tblInd w:w="0" w:type="dxa"/>
        <w:tblLayout w:type="fixed"/>
        <w:tblCellMar>
          <w:top w:w="0" w:type="dxa"/>
          <w:left w:w="108" w:type="dxa"/>
          <w:bottom w:w="0" w:type="dxa"/>
          <w:right w:w="108" w:type="dxa"/>
        </w:tblCellMar>
      </w:tblPr>
      <w:tblGrid>
        <w:gridCol w:w="1798"/>
        <w:gridCol w:w="4722"/>
      </w:tblGrid>
      <w:tr>
        <w:tblPrEx>
          <w:tblLayout w:type="fixed"/>
          <w:tblCellMar>
            <w:top w:w="0" w:type="dxa"/>
            <w:left w:w="108" w:type="dxa"/>
            <w:bottom w:w="0" w:type="dxa"/>
            <w:right w:w="108" w:type="dxa"/>
          </w:tblCellMar>
        </w:tblPrEx>
        <w:trPr>
          <w:trHeight w:val="270" w:hRule="atLeast"/>
          <w:tblHeader/>
          <w:jc w:val="center"/>
        </w:trPr>
        <w:tc>
          <w:tcPr>
            <w:tcW w:w="1798" w:type="dxa"/>
            <w:tcBorders>
              <w:top w:val="single" w:color="auto" w:sz="4" w:space="0"/>
              <w:left w:val="single" w:color="auto" w:sz="4" w:space="0"/>
              <w:bottom w:val="single" w:color="auto" w:sz="4" w:space="0"/>
              <w:right w:val="single" w:color="auto" w:sz="4" w:space="0"/>
            </w:tcBorders>
            <w:shd w:val="clear" w:color="auto" w:fill="E0E0E0"/>
            <w:vAlign w:val="center"/>
          </w:tcPr>
          <w:p>
            <w:pPr>
              <w:spacing w:line="360" w:lineRule="auto"/>
            </w:pPr>
            <w:r>
              <w:rPr>
                <w:rFonts w:hint="eastAsia"/>
              </w:rPr>
              <w:t>日期</w:t>
            </w:r>
          </w:p>
        </w:tc>
        <w:tc>
          <w:tcPr>
            <w:tcW w:w="4722" w:type="dxa"/>
            <w:tcBorders>
              <w:top w:val="single" w:color="auto" w:sz="4" w:space="0"/>
              <w:left w:val="nil"/>
              <w:bottom w:val="single" w:color="auto" w:sz="4" w:space="0"/>
              <w:right w:val="single" w:color="auto" w:sz="4" w:space="0"/>
            </w:tcBorders>
            <w:shd w:val="clear" w:color="auto" w:fill="E0E0E0"/>
            <w:vAlign w:val="center"/>
          </w:tcPr>
          <w:p>
            <w:pPr>
              <w:spacing w:line="360" w:lineRule="auto"/>
            </w:pPr>
            <w:r>
              <w:rPr>
                <w:rFonts w:hint="eastAsia"/>
              </w:rPr>
              <w:t>活动内容</w:t>
            </w:r>
          </w:p>
        </w:tc>
      </w:tr>
      <w:tr>
        <w:tblPrEx>
          <w:tblLayout w:type="fixed"/>
          <w:tblCellMar>
            <w:top w:w="0" w:type="dxa"/>
            <w:left w:w="108" w:type="dxa"/>
            <w:bottom w:w="0" w:type="dxa"/>
            <w:right w:w="108" w:type="dxa"/>
          </w:tblCellMar>
        </w:tblPrEx>
        <w:trPr>
          <w:trHeight w:val="285" w:hRule="atLeast"/>
          <w:jc w:val="center"/>
        </w:trPr>
        <w:tc>
          <w:tcPr>
            <w:tcW w:w="1798" w:type="dxa"/>
            <w:tcBorders>
              <w:top w:val="nil"/>
              <w:left w:val="single" w:color="auto" w:sz="4" w:space="0"/>
              <w:bottom w:val="single" w:color="auto" w:sz="4" w:space="0"/>
              <w:right w:val="single" w:color="auto" w:sz="4" w:space="0"/>
            </w:tcBorders>
            <w:vAlign w:val="center"/>
          </w:tcPr>
          <w:p>
            <w:pPr>
              <w:spacing w:line="360" w:lineRule="auto"/>
            </w:pPr>
            <w:r>
              <w:rPr>
                <w:rFonts w:hint="eastAsia"/>
              </w:rPr>
              <w:t>第1天上午</w:t>
            </w:r>
          </w:p>
        </w:tc>
        <w:tc>
          <w:tcPr>
            <w:tcW w:w="4722" w:type="dxa"/>
            <w:tcBorders>
              <w:top w:val="nil"/>
              <w:left w:val="nil"/>
              <w:bottom w:val="single" w:color="auto" w:sz="4" w:space="0"/>
              <w:right w:val="single" w:color="auto" w:sz="4" w:space="0"/>
            </w:tcBorders>
          </w:tcPr>
          <w:p>
            <w:pPr>
              <w:spacing w:line="360" w:lineRule="auto"/>
            </w:pPr>
            <w:r>
              <w:rPr>
                <w:rFonts w:hint="eastAsia"/>
                <w:lang w:eastAsia="zh-CN"/>
              </w:rPr>
              <w:t>xx</w:t>
            </w:r>
            <w:r>
              <w:rPr>
                <w:rFonts w:hint="eastAsia"/>
              </w:rPr>
              <w:t>集团有限公司电子收费分公司发票管理系统项目背景和原理介绍</w:t>
            </w:r>
          </w:p>
        </w:tc>
      </w:tr>
      <w:tr>
        <w:tblPrEx>
          <w:tblLayout w:type="fixed"/>
          <w:tblCellMar>
            <w:top w:w="0" w:type="dxa"/>
            <w:left w:w="108" w:type="dxa"/>
            <w:bottom w:w="0" w:type="dxa"/>
            <w:right w:w="108" w:type="dxa"/>
          </w:tblCellMar>
        </w:tblPrEx>
        <w:trPr>
          <w:trHeight w:val="285" w:hRule="atLeast"/>
          <w:jc w:val="center"/>
        </w:trPr>
        <w:tc>
          <w:tcPr>
            <w:tcW w:w="1798" w:type="dxa"/>
            <w:tcBorders>
              <w:top w:val="nil"/>
              <w:left w:val="single" w:color="auto" w:sz="4" w:space="0"/>
              <w:bottom w:val="single" w:color="auto" w:sz="4" w:space="0"/>
              <w:right w:val="single" w:color="auto" w:sz="4" w:space="0"/>
            </w:tcBorders>
            <w:vAlign w:val="center"/>
          </w:tcPr>
          <w:p>
            <w:pPr>
              <w:spacing w:line="360" w:lineRule="auto"/>
            </w:pPr>
            <w:r>
              <w:rPr>
                <w:rFonts w:hint="eastAsia"/>
              </w:rPr>
              <w:t>第1天下午</w:t>
            </w:r>
          </w:p>
        </w:tc>
        <w:tc>
          <w:tcPr>
            <w:tcW w:w="4722" w:type="dxa"/>
            <w:tcBorders>
              <w:top w:val="nil"/>
              <w:left w:val="nil"/>
              <w:bottom w:val="single" w:color="auto" w:sz="4" w:space="0"/>
              <w:right w:val="single" w:color="auto" w:sz="4" w:space="0"/>
            </w:tcBorders>
            <w:vAlign w:val="center"/>
          </w:tcPr>
          <w:p>
            <w:pPr>
              <w:spacing w:line="360" w:lineRule="auto"/>
            </w:pPr>
            <w:r>
              <w:rPr>
                <w:rFonts w:hint="eastAsia"/>
                <w:lang w:eastAsia="zh-CN"/>
              </w:rPr>
              <w:t>xx</w:t>
            </w:r>
            <w:r>
              <w:rPr>
                <w:rFonts w:hint="eastAsia"/>
              </w:rPr>
              <w:t>集团有限公司电子收费分公司发票管理系统安装与配置培训</w:t>
            </w:r>
          </w:p>
        </w:tc>
      </w:tr>
      <w:tr>
        <w:tblPrEx>
          <w:tblLayout w:type="fixed"/>
          <w:tblCellMar>
            <w:top w:w="0" w:type="dxa"/>
            <w:left w:w="108" w:type="dxa"/>
            <w:bottom w:w="0" w:type="dxa"/>
            <w:right w:w="108" w:type="dxa"/>
          </w:tblCellMar>
        </w:tblPrEx>
        <w:trPr>
          <w:trHeight w:val="285" w:hRule="atLeast"/>
          <w:jc w:val="center"/>
        </w:trPr>
        <w:tc>
          <w:tcPr>
            <w:tcW w:w="1798" w:type="dxa"/>
            <w:tcBorders>
              <w:top w:val="nil"/>
              <w:left w:val="single" w:color="auto" w:sz="4" w:space="0"/>
              <w:bottom w:val="single" w:color="auto" w:sz="4" w:space="0"/>
              <w:right w:val="single" w:color="auto" w:sz="4" w:space="0"/>
            </w:tcBorders>
            <w:vAlign w:val="center"/>
          </w:tcPr>
          <w:p>
            <w:pPr>
              <w:spacing w:line="360" w:lineRule="auto"/>
            </w:pPr>
            <w:r>
              <w:rPr>
                <w:rFonts w:hint="eastAsia"/>
              </w:rPr>
              <w:t>第2天上午</w:t>
            </w:r>
          </w:p>
        </w:tc>
        <w:tc>
          <w:tcPr>
            <w:tcW w:w="4722" w:type="dxa"/>
            <w:tcBorders>
              <w:top w:val="nil"/>
              <w:left w:val="nil"/>
              <w:bottom w:val="single" w:color="auto" w:sz="4" w:space="0"/>
              <w:right w:val="single" w:color="auto" w:sz="4" w:space="0"/>
            </w:tcBorders>
          </w:tcPr>
          <w:p>
            <w:pPr>
              <w:spacing w:line="360" w:lineRule="auto"/>
            </w:pPr>
            <w:r>
              <w:rPr>
                <w:rFonts w:hint="eastAsia"/>
                <w:lang w:eastAsia="zh-CN"/>
              </w:rPr>
              <w:t>xx</w:t>
            </w:r>
            <w:r>
              <w:rPr>
                <w:rFonts w:hint="eastAsia"/>
              </w:rPr>
              <w:t>集团有限公司电子收费分公司发票管理系统安装与配置培训</w:t>
            </w:r>
          </w:p>
        </w:tc>
      </w:tr>
      <w:tr>
        <w:tblPrEx>
          <w:tblLayout w:type="fixed"/>
          <w:tblCellMar>
            <w:top w:w="0" w:type="dxa"/>
            <w:left w:w="108" w:type="dxa"/>
            <w:bottom w:w="0" w:type="dxa"/>
            <w:right w:w="108" w:type="dxa"/>
          </w:tblCellMar>
        </w:tblPrEx>
        <w:trPr>
          <w:trHeight w:val="285" w:hRule="atLeast"/>
          <w:jc w:val="center"/>
        </w:trPr>
        <w:tc>
          <w:tcPr>
            <w:tcW w:w="1798" w:type="dxa"/>
            <w:tcBorders>
              <w:top w:val="nil"/>
              <w:left w:val="single" w:color="auto" w:sz="4" w:space="0"/>
              <w:bottom w:val="single" w:color="auto" w:sz="4" w:space="0"/>
              <w:right w:val="single" w:color="auto" w:sz="4" w:space="0"/>
            </w:tcBorders>
            <w:vAlign w:val="center"/>
          </w:tcPr>
          <w:p>
            <w:pPr>
              <w:spacing w:line="360" w:lineRule="auto"/>
            </w:pPr>
            <w:r>
              <w:rPr>
                <w:rFonts w:hint="eastAsia"/>
              </w:rPr>
              <w:t>第2天下午</w:t>
            </w:r>
          </w:p>
        </w:tc>
        <w:tc>
          <w:tcPr>
            <w:tcW w:w="4722" w:type="dxa"/>
            <w:tcBorders>
              <w:top w:val="nil"/>
              <w:left w:val="nil"/>
              <w:bottom w:val="single" w:color="auto" w:sz="4" w:space="0"/>
              <w:right w:val="single" w:color="auto" w:sz="4" w:space="0"/>
            </w:tcBorders>
            <w:vAlign w:val="center"/>
          </w:tcPr>
          <w:p>
            <w:pPr>
              <w:spacing w:line="360" w:lineRule="auto"/>
            </w:pPr>
            <w:r>
              <w:rPr>
                <w:rFonts w:hint="eastAsia"/>
                <w:lang w:eastAsia="zh-CN"/>
              </w:rPr>
              <w:t>xx</w:t>
            </w:r>
            <w:r>
              <w:rPr>
                <w:rFonts w:hint="eastAsia"/>
              </w:rPr>
              <w:t>集团有限公司电子收费分公司发票管理系统操作培训</w:t>
            </w:r>
          </w:p>
        </w:tc>
      </w:tr>
      <w:tr>
        <w:tblPrEx>
          <w:tblLayout w:type="fixed"/>
          <w:tblCellMar>
            <w:top w:w="0" w:type="dxa"/>
            <w:left w:w="108" w:type="dxa"/>
            <w:bottom w:w="0" w:type="dxa"/>
            <w:right w:w="108" w:type="dxa"/>
          </w:tblCellMar>
        </w:tblPrEx>
        <w:trPr>
          <w:trHeight w:val="285" w:hRule="atLeast"/>
          <w:jc w:val="center"/>
        </w:trPr>
        <w:tc>
          <w:tcPr>
            <w:tcW w:w="1798" w:type="dxa"/>
            <w:tcBorders>
              <w:top w:val="nil"/>
              <w:left w:val="single" w:color="auto" w:sz="4" w:space="0"/>
              <w:bottom w:val="single" w:color="auto" w:sz="4" w:space="0"/>
              <w:right w:val="single" w:color="auto" w:sz="4" w:space="0"/>
            </w:tcBorders>
            <w:vAlign w:val="center"/>
          </w:tcPr>
          <w:p>
            <w:pPr>
              <w:spacing w:line="360" w:lineRule="auto"/>
            </w:pPr>
            <w:r>
              <w:rPr>
                <w:rFonts w:hint="eastAsia"/>
              </w:rPr>
              <w:t>第3天</w:t>
            </w:r>
            <w:r>
              <w:rPr>
                <w:rFonts w:hint="eastAsia"/>
                <w:lang w:eastAsia="zh-CN"/>
              </w:rPr>
              <w:t>上午</w:t>
            </w:r>
          </w:p>
        </w:tc>
        <w:tc>
          <w:tcPr>
            <w:tcW w:w="4722" w:type="dxa"/>
            <w:tcBorders>
              <w:top w:val="nil"/>
              <w:left w:val="nil"/>
              <w:bottom w:val="single" w:color="auto" w:sz="4" w:space="0"/>
              <w:right w:val="single" w:color="auto" w:sz="4" w:space="0"/>
            </w:tcBorders>
          </w:tcPr>
          <w:p>
            <w:pPr>
              <w:spacing w:line="360" w:lineRule="auto"/>
            </w:pPr>
            <w:r>
              <w:rPr>
                <w:rFonts w:hint="eastAsia"/>
                <w:lang w:eastAsia="zh-CN"/>
              </w:rPr>
              <w:t>xx</w:t>
            </w:r>
            <w:r>
              <w:rPr>
                <w:rFonts w:hint="eastAsia"/>
              </w:rPr>
              <w:t>集团有限公司电子收费分公司发票管理系统操作培训</w:t>
            </w:r>
          </w:p>
        </w:tc>
      </w:tr>
      <w:tr>
        <w:tblPrEx>
          <w:tblLayout w:type="fixed"/>
          <w:tblCellMar>
            <w:top w:w="0" w:type="dxa"/>
            <w:left w:w="108" w:type="dxa"/>
            <w:bottom w:w="0" w:type="dxa"/>
            <w:right w:w="108" w:type="dxa"/>
          </w:tblCellMar>
        </w:tblPrEx>
        <w:trPr>
          <w:trHeight w:val="285" w:hRule="atLeast"/>
          <w:jc w:val="center"/>
        </w:trPr>
        <w:tc>
          <w:tcPr>
            <w:tcW w:w="1798" w:type="dxa"/>
            <w:tcBorders>
              <w:top w:val="nil"/>
              <w:left w:val="single" w:color="auto" w:sz="4" w:space="0"/>
              <w:bottom w:val="single" w:color="auto" w:sz="4" w:space="0"/>
              <w:right w:val="single" w:color="auto" w:sz="4" w:space="0"/>
            </w:tcBorders>
            <w:vAlign w:val="center"/>
          </w:tcPr>
          <w:p>
            <w:pPr>
              <w:spacing w:line="360" w:lineRule="auto"/>
              <w:rPr>
                <w:rFonts w:hint="eastAsia"/>
              </w:rPr>
            </w:pPr>
            <w:r>
              <w:rPr>
                <w:rFonts w:hint="eastAsia"/>
              </w:rPr>
              <w:t>第3天</w:t>
            </w:r>
            <w:r>
              <w:rPr>
                <w:rFonts w:hint="eastAsia"/>
                <w:lang w:eastAsia="zh-CN"/>
              </w:rPr>
              <w:t>下午</w:t>
            </w:r>
          </w:p>
        </w:tc>
        <w:tc>
          <w:tcPr>
            <w:tcW w:w="4722" w:type="dxa"/>
            <w:tcBorders>
              <w:top w:val="nil"/>
              <w:left w:val="nil"/>
              <w:bottom w:val="single" w:color="auto" w:sz="4" w:space="0"/>
              <w:right w:val="single" w:color="auto" w:sz="4" w:space="0"/>
            </w:tcBorders>
          </w:tcPr>
          <w:p>
            <w:pPr>
              <w:spacing w:line="360" w:lineRule="auto"/>
              <w:rPr>
                <w:rFonts w:hint="eastAsia"/>
              </w:rPr>
            </w:pPr>
            <w:r>
              <w:rPr>
                <w:rFonts w:hint="eastAsia"/>
                <w:lang w:eastAsia="zh-CN"/>
              </w:rPr>
              <w:t>xx</w:t>
            </w:r>
            <w:r>
              <w:rPr>
                <w:rFonts w:hint="eastAsia"/>
              </w:rPr>
              <w:t>集团有限公司电子收费分公司发票管理系统升级培训</w:t>
            </w:r>
          </w:p>
        </w:tc>
      </w:tr>
      <w:tr>
        <w:tblPrEx>
          <w:tblLayout w:type="fixed"/>
          <w:tblCellMar>
            <w:top w:w="0" w:type="dxa"/>
            <w:left w:w="108" w:type="dxa"/>
            <w:bottom w:w="0" w:type="dxa"/>
            <w:right w:w="108" w:type="dxa"/>
          </w:tblCellMar>
        </w:tblPrEx>
        <w:trPr>
          <w:trHeight w:val="285" w:hRule="atLeast"/>
          <w:jc w:val="center"/>
        </w:trPr>
        <w:tc>
          <w:tcPr>
            <w:tcW w:w="1798" w:type="dxa"/>
            <w:tcBorders>
              <w:top w:val="nil"/>
              <w:left w:val="single" w:color="auto" w:sz="4" w:space="0"/>
              <w:bottom w:val="single" w:color="auto" w:sz="4" w:space="0"/>
              <w:right w:val="single" w:color="auto" w:sz="4" w:space="0"/>
            </w:tcBorders>
            <w:vAlign w:val="center"/>
          </w:tcPr>
          <w:p>
            <w:pPr>
              <w:spacing w:line="360" w:lineRule="auto"/>
            </w:pPr>
            <w:r>
              <w:rPr>
                <w:rFonts w:hint="eastAsia"/>
              </w:rPr>
              <w:t>第4天上午</w:t>
            </w:r>
          </w:p>
        </w:tc>
        <w:tc>
          <w:tcPr>
            <w:tcW w:w="4722" w:type="dxa"/>
            <w:tcBorders>
              <w:top w:val="nil"/>
              <w:left w:val="nil"/>
              <w:bottom w:val="single" w:color="auto" w:sz="4" w:space="0"/>
              <w:right w:val="single" w:color="auto" w:sz="4" w:space="0"/>
            </w:tcBorders>
          </w:tcPr>
          <w:p>
            <w:pPr>
              <w:spacing w:line="360" w:lineRule="auto"/>
            </w:pPr>
            <w:r>
              <w:rPr>
                <w:rFonts w:hint="eastAsia"/>
                <w:lang w:eastAsia="zh-CN"/>
              </w:rPr>
              <w:t>xx</w:t>
            </w:r>
            <w:r>
              <w:rPr>
                <w:rFonts w:hint="eastAsia"/>
              </w:rPr>
              <w:t>集团有限公司电子收费分公司发票管理系统故障排除培训</w:t>
            </w:r>
          </w:p>
        </w:tc>
      </w:tr>
      <w:tr>
        <w:tblPrEx>
          <w:tblLayout w:type="fixed"/>
          <w:tblCellMar>
            <w:top w:w="0" w:type="dxa"/>
            <w:left w:w="108" w:type="dxa"/>
            <w:bottom w:w="0" w:type="dxa"/>
            <w:right w:w="108" w:type="dxa"/>
          </w:tblCellMar>
        </w:tblPrEx>
        <w:trPr>
          <w:trHeight w:val="393" w:hRule="atLeast"/>
          <w:jc w:val="center"/>
        </w:trPr>
        <w:tc>
          <w:tcPr>
            <w:tcW w:w="1798" w:type="dxa"/>
            <w:tcBorders>
              <w:top w:val="nil"/>
              <w:left w:val="single" w:color="auto" w:sz="4" w:space="0"/>
              <w:bottom w:val="single" w:color="auto" w:sz="4" w:space="0"/>
              <w:right w:val="single" w:color="auto" w:sz="4" w:space="0"/>
            </w:tcBorders>
            <w:vAlign w:val="center"/>
          </w:tcPr>
          <w:p>
            <w:pPr>
              <w:spacing w:line="360" w:lineRule="auto"/>
            </w:pPr>
            <w:r>
              <w:rPr>
                <w:rFonts w:hint="eastAsia"/>
              </w:rPr>
              <w:t>第4天下午</w:t>
            </w:r>
          </w:p>
        </w:tc>
        <w:tc>
          <w:tcPr>
            <w:tcW w:w="4722" w:type="dxa"/>
            <w:tcBorders>
              <w:top w:val="nil"/>
              <w:left w:val="nil"/>
              <w:bottom w:val="single" w:color="auto" w:sz="4" w:space="0"/>
              <w:right w:val="single" w:color="auto" w:sz="4" w:space="0"/>
            </w:tcBorders>
            <w:vAlign w:val="center"/>
          </w:tcPr>
          <w:p>
            <w:pPr>
              <w:spacing w:line="360" w:lineRule="auto"/>
            </w:pPr>
            <w:r>
              <w:rPr>
                <w:rFonts w:hint="eastAsia"/>
              </w:rPr>
              <w:t>学员考核</w:t>
            </w:r>
          </w:p>
        </w:tc>
      </w:tr>
    </w:tbl>
    <w:p>
      <w:pPr>
        <w:spacing w:line="360" w:lineRule="auto"/>
      </w:pPr>
    </w:p>
    <w:p>
      <w:pPr>
        <w:pStyle w:val="4"/>
        <w:numPr>
          <w:ilvl w:val="2"/>
          <w:numId w:val="85"/>
        </w:numPr>
        <w:spacing w:before="0" w:after="0" w:line="360" w:lineRule="auto"/>
        <w:ind w:left="0" w:leftChars="0" w:firstLine="402" w:firstLineChars="0"/>
      </w:pPr>
      <w:bookmarkStart w:id="420" w:name="_Toc16063"/>
      <w:bookmarkStart w:id="421" w:name="_Toc444186084"/>
      <w:r>
        <w:rPr>
          <w:rFonts w:hint="eastAsia"/>
        </w:rPr>
        <w:t>业务培训</w:t>
      </w:r>
      <w:bookmarkEnd w:id="420"/>
      <w:bookmarkEnd w:id="421"/>
    </w:p>
    <w:p>
      <w:pPr>
        <w:pStyle w:val="5"/>
        <w:numPr>
          <w:ilvl w:val="3"/>
          <w:numId w:val="0"/>
        </w:numPr>
        <w:tabs>
          <w:tab w:val="left" w:pos="0"/>
        </w:tabs>
        <w:spacing w:before="0" w:after="0" w:line="360" w:lineRule="auto"/>
        <w:ind w:left="402" w:leftChars="0"/>
      </w:pPr>
      <w:bookmarkStart w:id="422" w:name="_Toc444186085"/>
      <w:bookmarkStart w:id="423" w:name="_Toc8740"/>
      <w:r>
        <w:rPr>
          <w:rFonts w:hint="eastAsia"/>
        </w:rPr>
        <w:t>2.1培训目标</w:t>
      </w:r>
      <w:bookmarkEnd w:id="422"/>
      <w:bookmarkEnd w:id="423"/>
    </w:p>
    <w:p>
      <w:pPr>
        <w:spacing w:line="360" w:lineRule="auto"/>
        <w:ind w:firstLine="480" w:firstLineChars="200"/>
      </w:pPr>
      <w:r>
        <w:rPr>
          <w:rFonts w:hint="eastAsia"/>
          <w:sz w:val="24"/>
          <w:szCs w:val="24"/>
          <w:lang w:eastAsia="zh-CN"/>
        </w:rPr>
        <w:t>**公司</w:t>
      </w:r>
      <w:r>
        <w:rPr>
          <w:rFonts w:hint="eastAsia"/>
          <w:sz w:val="24"/>
          <w:szCs w:val="24"/>
        </w:rPr>
        <w:t>通过对操作员培训，使其能够了解</w:t>
      </w:r>
      <w:r>
        <w:rPr>
          <w:rFonts w:hint="eastAsia"/>
          <w:sz w:val="24"/>
          <w:szCs w:val="24"/>
          <w:lang w:eastAsia="zh-CN"/>
        </w:rPr>
        <w:t>xx</w:t>
      </w:r>
      <w:r>
        <w:rPr>
          <w:rFonts w:hint="eastAsia"/>
          <w:sz w:val="24"/>
          <w:szCs w:val="24"/>
        </w:rPr>
        <w:t>集团有限公司电子收费分公司发票管理的整体情况，全面掌握系统的操作方法、技巧以及注意事项，了解日常工作的处理和业务流程，并能够进行简单的日常维护与管理，同时具备培训其他操作人员的能力。</w:t>
      </w:r>
    </w:p>
    <w:p>
      <w:pPr>
        <w:pStyle w:val="5"/>
        <w:numPr>
          <w:ilvl w:val="3"/>
          <w:numId w:val="0"/>
        </w:numPr>
        <w:tabs>
          <w:tab w:val="left" w:pos="0"/>
        </w:tabs>
        <w:spacing w:before="0" w:after="0" w:line="360" w:lineRule="auto"/>
        <w:ind w:left="402" w:leftChars="0"/>
      </w:pPr>
      <w:bookmarkStart w:id="424" w:name="_Toc444186086"/>
      <w:bookmarkStart w:id="425" w:name="_Toc25540"/>
      <w:r>
        <w:rPr>
          <w:rFonts w:hint="eastAsia"/>
        </w:rPr>
        <w:t>2.2</w:t>
      </w:r>
      <w:bookmarkEnd w:id="424"/>
      <w:r>
        <w:rPr>
          <w:rFonts w:hint="eastAsia"/>
        </w:rPr>
        <w:t>培训对象及时间要求</w:t>
      </w:r>
      <w:bookmarkEnd w:id="425"/>
    </w:p>
    <w:p>
      <w:pPr>
        <w:spacing w:line="360" w:lineRule="auto"/>
        <w:rPr>
          <w:rFonts w:hint="eastAsia"/>
          <w:sz w:val="24"/>
          <w:szCs w:val="24"/>
        </w:rPr>
      </w:pPr>
      <w:r>
        <w:rPr>
          <w:rFonts w:hint="eastAsia"/>
          <w:sz w:val="24"/>
          <w:szCs w:val="24"/>
        </w:rPr>
        <w:t>培训对象主要包括招标方业务操作人员</w:t>
      </w:r>
    </w:p>
    <w:p>
      <w:pPr>
        <w:spacing w:line="360" w:lineRule="auto"/>
        <w:rPr>
          <w:rFonts w:hint="eastAsia"/>
          <w:sz w:val="24"/>
          <w:szCs w:val="24"/>
        </w:rPr>
      </w:pPr>
      <w:r>
        <w:rPr>
          <w:rFonts w:hint="eastAsia"/>
          <w:sz w:val="24"/>
          <w:szCs w:val="24"/>
        </w:rPr>
        <w:t>培训时间为2天/期</w:t>
      </w:r>
    </w:p>
    <w:p>
      <w:pPr>
        <w:pStyle w:val="5"/>
        <w:numPr>
          <w:ilvl w:val="3"/>
          <w:numId w:val="0"/>
        </w:numPr>
        <w:tabs>
          <w:tab w:val="left" w:pos="0"/>
        </w:tabs>
        <w:spacing w:before="0" w:after="0" w:line="360" w:lineRule="auto"/>
        <w:ind w:left="402" w:leftChars="0"/>
      </w:pPr>
      <w:bookmarkStart w:id="426" w:name="_Toc444186087"/>
      <w:bookmarkStart w:id="427" w:name="_Toc27751"/>
      <w:r>
        <w:rPr>
          <w:rFonts w:hint="eastAsia"/>
        </w:rPr>
        <w:t>2.3课程安排</w:t>
      </w:r>
      <w:bookmarkEnd w:id="426"/>
      <w:bookmarkEnd w:id="427"/>
    </w:p>
    <w:p>
      <w:pPr>
        <w:spacing w:line="360" w:lineRule="auto"/>
        <w:ind w:firstLine="480" w:firstLineChars="200"/>
        <w:rPr>
          <w:sz w:val="24"/>
          <w:szCs w:val="24"/>
        </w:rPr>
      </w:pPr>
      <w:r>
        <w:rPr>
          <w:rFonts w:hint="eastAsia"/>
          <w:sz w:val="24"/>
          <w:szCs w:val="24"/>
        </w:rPr>
        <w:t>培训内容包括</w:t>
      </w:r>
      <w:r>
        <w:rPr>
          <w:rFonts w:hint="eastAsia"/>
          <w:sz w:val="24"/>
          <w:szCs w:val="24"/>
          <w:lang w:eastAsia="zh-CN"/>
        </w:rPr>
        <w:t>xx</w:t>
      </w:r>
      <w:r>
        <w:rPr>
          <w:rFonts w:hint="eastAsia"/>
          <w:sz w:val="24"/>
          <w:szCs w:val="24"/>
        </w:rPr>
        <w:t>集团有限公司电子收费分公司发票管理系统的整体业务流程，日常业务操作及练习等。</w:t>
      </w:r>
    </w:p>
    <w:p>
      <w:pPr>
        <w:spacing w:line="360" w:lineRule="auto"/>
      </w:pPr>
      <w:r>
        <w:rPr>
          <w:rFonts w:hint="eastAsia"/>
          <w:sz w:val="24"/>
          <w:szCs w:val="24"/>
        </w:rPr>
        <w:t>一、培训课程</w:t>
      </w:r>
    </w:p>
    <w:tbl>
      <w:tblPr>
        <w:tblStyle w:val="34"/>
        <w:tblpPr w:leftFromText="180" w:rightFromText="180" w:vertAnchor="text" w:horzAnchor="margin" w:tblpXSpec="center" w:tblpY="128"/>
        <w:tblW w:w="6660" w:type="dxa"/>
        <w:tblInd w:w="0"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5500"/>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blHeader/>
        </w:trPr>
        <w:tc>
          <w:tcPr>
            <w:tcW w:w="1160" w:type="dxa"/>
            <w:shd w:val="clear" w:color="auto" w:fill="E0E0E0"/>
            <w:vAlign w:val="center"/>
          </w:tcPr>
          <w:p>
            <w:pPr>
              <w:spacing w:line="360" w:lineRule="auto"/>
            </w:pPr>
            <w:r>
              <w:rPr>
                <w:rFonts w:hint="eastAsia"/>
              </w:rPr>
              <w:t>序号</w:t>
            </w:r>
          </w:p>
        </w:tc>
        <w:tc>
          <w:tcPr>
            <w:tcW w:w="5500" w:type="dxa"/>
            <w:shd w:val="clear" w:color="auto" w:fill="E0E0E0"/>
            <w:vAlign w:val="center"/>
          </w:tcPr>
          <w:p>
            <w:pPr>
              <w:spacing w:line="360" w:lineRule="auto"/>
            </w:pPr>
            <w:r>
              <w:rPr>
                <w:rFonts w:hint="eastAsia"/>
              </w:rPr>
              <w:t>课程名称</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160" w:type="dxa"/>
            <w:vAlign w:val="center"/>
          </w:tcPr>
          <w:p>
            <w:pPr>
              <w:spacing w:line="360" w:lineRule="auto"/>
            </w:pPr>
            <w:r>
              <w:t>1</w:t>
            </w:r>
          </w:p>
        </w:tc>
        <w:tc>
          <w:tcPr>
            <w:tcW w:w="5500" w:type="dxa"/>
            <w:vAlign w:val="center"/>
          </w:tcPr>
          <w:p>
            <w:pPr>
              <w:spacing w:line="360" w:lineRule="auto"/>
            </w:pPr>
            <w:r>
              <w:rPr>
                <w:rFonts w:hint="eastAsia"/>
                <w:lang w:eastAsia="zh-CN"/>
              </w:rPr>
              <w:t>xx</w:t>
            </w:r>
            <w:r>
              <w:rPr>
                <w:rFonts w:hint="eastAsia"/>
              </w:rPr>
              <w:t>集团有限公司电子收费分公司发票管理系统背景和原理介绍</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1160" w:type="dxa"/>
            <w:vAlign w:val="center"/>
          </w:tcPr>
          <w:p>
            <w:pPr>
              <w:spacing w:line="360" w:lineRule="auto"/>
            </w:pPr>
            <w:r>
              <w:t>2</w:t>
            </w:r>
          </w:p>
        </w:tc>
        <w:tc>
          <w:tcPr>
            <w:tcW w:w="5500" w:type="dxa"/>
            <w:vAlign w:val="center"/>
          </w:tcPr>
          <w:p>
            <w:pPr>
              <w:spacing w:line="360" w:lineRule="auto"/>
            </w:pPr>
            <w:r>
              <w:rPr>
                <w:rFonts w:hint="eastAsia"/>
                <w:lang w:eastAsia="zh-CN"/>
              </w:rPr>
              <w:t>xx</w:t>
            </w:r>
            <w:r>
              <w:rPr>
                <w:rFonts w:hint="eastAsia"/>
              </w:rPr>
              <w:t>集团有限公司电子收费分公司发票管理系统业务基础介绍和</w:t>
            </w:r>
            <w:r>
              <w:t>操作练习</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160" w:type="dxa"/>
            <w:vAlign w:val="center"/>
          </w:tcPr>
          <w:p>
            <w:pPr>
              <w:spacing w:line="360" w:lineRule="auto"/>
            </w:pPr>
            <w:r>
              <w:rPr>
                <w:rFonts w:hint="eastAsia"/>
              </w:rPr>
              <w:t>3</w:t>
            </w:r>
          </w:p>
        </w:tc>
        <w:tc>
          <w:tcPr>
            <w:tcW w:w="5500" w:type="dxa"/>
            <w:vAlign w:val="center"/>
          </w:tcPr>
          <w:p>
            <w:pPr>
              <w:spacing w:line="360" w:lineRule="auto"/>
            </w:pPr>
            <w:r>
              <w:rPr>
                <w:rFonts w:hint="eastAsia"/>
                <w:lang w:eastAsia="zh-CN"/>
              </w:rPr>
              <w:t>xx</w:t>
            </w:r>
            <w:r>
              <w:rPr>
                <w:rFonts w:hint="eastAsia"/>
              </w:rPr>
              <w:t>集团有限公司电子收费分公司发票管理系统常见操作问题及解决处理方法</w:t>
            </w:r>
          </w:p>
        </w:tc>
      </w:tr>
    </w:tbl>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rPr>
          <w:rFonts w:hint="eastAsia"/>
        </w:rPr>
      </w:pPr>
    </w:p>
    <w:p>
      <w:pPr>
        <w:spacing w:line="360" w:lineRule="auto"/>
        <w:rPr>
          <w:rFonts w:hint="eastAsia"/>
        </w:rPr>
      </w:pPr>
    </w:p>
    <w:p>
      <w:pPr>
        <w:spacing w:line="360" w:lineRule="auto"/>
      </w:pPr>
      <w:r>
        <w:rPr>
          <w:rFonts w:hint="eastAsia"/>
        </w:rPr>
        <w:t>二、培训日程</w:t>
      </w:r>
    </w:p>
    <w:tbl>
      <w:tblPr>
        <w:tblStyle w:val="34"/>
        <w:tblW w:w="6485" w:type="dxa"/>
        <w:jc w:val="center"/>
        <w:tblInd w:w="0" w:type="dxa"/>
        <w:tblLayout w:type="fixed"/>
        <w:tblCellMar>
          <w:top w:w="0" w:type="dxa"/>
          <w:left w:w="108" w:type="dxa"/>
          <w:bottom w:w="0" w:type="dxa"/>
          <w:right w:w="108" w:type="dxa"/>
        </w:tblCellMar>
      </w:tblPr>
      <w:tblGrid>
        <w:gridCol w:w="1497"/>
        <w:gridCol w:w="4988"/>
      </w:tblGrid>
      <w:tr>
        <w:tblPrEx>
          <w:tblLayout w:type="fixed"/>
          <w:tblCellMar>
            <w:top w:w="0" w:type="dxa"/>
            <w:left w:w="108" w:type="dxa"/>
            <w:bottom w:w="0" w:type="dxa"/>
            <w:right w:w="108" w:type="dxa"/>
          </w:tblCellMar>
        </w:tblPrEx>
        <w:trPr>
          <w:trHeight w:val="270" w:hRule="atLeast"/>
          <w:tblHeader/>
          <w:jc w:val="center"/>
        </w:trPr>
        <w:tc>
          <w:tcPr>
            <w:tcW w:w="1497" w:type="dxa"/>
            <w:tcBorders>
              <w:top w:val="single" w:color="auto" w:sz="4" w:space="0"/>
              <w:left w:val="single" w:color="auto" w:sz="4" w:space="0"/>
              <w:bottom w:val="single" w:color="auto" w:sz="4" w:space="0"/>
              <w:right w:val="single" w:color="auto" w:sz="4" w:space="0"/>
            </w:tcBorders>
            <w:shd w:val="clear" w:color="auto" w:fill="E0E0E0"/>
            <w:vAlign w:val="center"/>
          </w:tcPr>
          <w:p>
            <w:pPr>
              <w:spacing w:line="360" w:lineRule="auto"/>
            </w:pPr>
            <w:r>
              <w:rPr>
                <w:rFonts w:hint="eastAsia"/>
              </w:rPr>
              <w:t>日期</w:t>
            </w:r>
          </w:p>
        </w:tc>
        <w:tc>
          <w:tcPr>
            <w:tcW w:w="4988" w:type="dxa"/>
            <w:tcBorders>
              <w:top w:val="single" w:color="auto" w:sz="4" w:space="0"/>
              <w:left w:val="nil"/>
              <w:bottom w:val="single" w:color="auto" w:sz="4" w:space="0"/>
              <w:right w:val="single" w:color="auto" w:sz="4" w:space="0"/>
            </w:tcBorders>
            <w:shd w:val="clear" w:color="auto" w:fill="E0E0E0"/>
            <w:vAlign w:val="center"/>
          </w:tcPr>
          <w:p>
            <w:pPr>
              <w:spacing w:line="360" w:lineRule="auto"/>
            </w:pPr>
            <w:r>
              <w:rPr>
                <w:rFonts w:hint="eastAsia"/>
              </w:rPr>
              <w:t>活动内容</w:t>
            </w:r>
          </w:p>
        </w:tc>
      </w:tr>
      <w:tr>
        <w:tblPrEx>
          <w:tblLayout w:type="fixed"/>
          <w:tblCellMar>
            <w:top w:w="0" w:type="dxa"/>
            <w:left w:w="108" w:type="dxa"/>
            <w:bottom w:w="0" w:type="dxa"/>
            <w:right w:w="108" w:type="dxa"/>
          </w:tblCellMar>
        </w:tblPrEx>
        <w:trPr>
          <w:trHeight w:val="435" w:hRule="atLeast"/>
          <w:jc w:val="center"/>
        </w:trPr>
        <w:tc>
          <w:tcPr>
            <w:tcW w:w="1497" w:type="dxa"/>
            <w:tcBorders>
              <w:top w:val="nil"/>
              <w:left w:val="single" w:color="auto" w:sz="4" w:space="0"/>
              <w:bottom w:val="single" w:color="auto" w:sz="4" w:space="0"/>
              <w:right w:val="single" w:color="auto" w:sz="4" w:space="0"/>
            </w:tcBorders>
            <w:vAlign w:val="center"/>
          </w:tcPr>
          <w:p>
            <w:pPr>
              <w:spacing w:line="360" w:lineRule="auto"/>
            </w:pPr>
            <w:r>
              <w:rPr>
                <w:rFonts w:hint="eastAsia"/>
              </w:rPr>
              <w:t>第1天上午</w:t>
            </w:r>
          </w:p>
        </w:tc>
        <w:tc>
          <w:tcPr>
            <w:tcW w:w="4988" w:type="dxa"/>
            <w:tcBorders>
              <w:top w:val="nil"/>
              <w:left w:val="nil"/>
              <w:bottom w:val="single" w:color="auto" w:sz="4" w:space="0"/>
              <w:right w:val="single" w:color="auto" w:sz="4" w:space="0"/>
            </w:tcBorders>
            <w:vAlign w:val="center"/>
          </w:tcPr>
          <w:p>
            <w:pPr>
              <w:spacing w:line="360" w:lineRule="auto"/>
            </w:pPr>
            <w:r>
              <w:rPr>
                <w:rFonts w:hint="eastAsia"/>
                <w:lang w:eastAsia="zh-CN"/>
              </w:rPr>
              <w:t>xx</w:t>
            </w:r>
            <w:r>
              <w:rPr>
                <w:rFonts w:hint="eastAsia"/>
              </w:rPr>
              <w:t>集团有限公司电子收费分公司发票管理系统项目背景和原理介绍</w:t>
            </w:r>
          </w:p>
        </w:tc>
      </w:tr>
      <w:tr>
        <w:tblPrEx>
          <w:tblLayout w:type="fixed"/>
          <w:tblCellMar>
            <w:top w:w="0" w:type="dxa"/>
            <w:left w:w="108" w:type="dxa"/>
            <w:bottom w:w="0" w:type="dxa"/>
            <w:right w:w="108" w:type="dxa"/>
          </w:tblCellMar>
        </w:tblPrEx>
        <w:trPr>
          <w:trHeight w:val="401" w:hRule="atLeast"/>
          <w:jc w:val="center"/>
        </w:trPr>
        <w:tc>
          <w:tcPr>
            <w:tcW w:w="1497" w:type="dxa"/>
            <w:tcBorders>
              <w:top w:val="nil"/>
              <w:left w:val="single" w:color="auto" w:sz="4" w:space="0"/>
              <w:bottom w:val="single" w:color="auto" w:sz="4" w:space="0"/>
              <w:right w:val="single" w:color="auto" w:sz="4" w:space="0"/>
            </w:tcBorders>
            <w:vAlign w:val="center"/>
          </w:tcPr>
          <w:p>
            <w:pPr>
              <w:spacing w:line="360" w:lineRule="auto"/>
            </w:pPr>
            <w:r>
              <w:rPr>
                <w:rFonts w:hint="eastAsia"/>
              </w:rPr>
              <w:t>第1天下午</w:t>
            </w:r>
          </w:p>
        </w:tc>
        <w:tc>
          <w:tcPr>
            <w:tcW w:w="4988" w:type="dxa"/>
            <w:tcBorders>
              <w:top w:val="nil"/>
              <w:left w:val="nil"/>
              <w:bottom w:val="single" w:color="auto" w:sz="4" w:space="0"/>
              <w:right w:val="single" w:color="auto" w:sz="4" w:space="0"/>
            </w:tcBorders>
          </w:tcPr>
          <w:p>
            <w:pPr>
              <w:spacing w:line="360" w:lineRule="auto"/>
            </w:pPr>
            <w:r>
              <w:rPr>
                <w:rFonts w:hint="eastAsia"/>
                <w:lang w:eastAsia="zh-CN"/>
              </w:rPr>
              <w:t>xx</w:t>
            </w:r>
            <w:r>
              <w:rPr>
                <w:rFonts w:hint="eastAsia"/>
              </w:rPr>
              <w:t>集团有限公司电子收费分公司发票管理系统业务基础培训和操作联系</w:t>
            </w:r>
          </w:p>
        </w:tc>
      </w:tr>
      <w:tr>
        <w:tblPrEx>
          <w:tblLayout w:type="fixed"/>
          <w:tblCellMar>
            <w:top w:w="0" w:type="dxa"/>
            <w:left w:w="108" w:type="dxa"/>
            <w:bottom w:w="0" w:type="dxa"/>
            <w:right w:w="108" w:type="dxa"/>
          </w:tblCellMar>
        </w:tblPrEx>
        <w:trPr>
          <w:trHeight w:val="421" w:hRule="atLeast"/>
          <w:jc w:val="center"/>
        </w:trPr>
        <w:tc>
          <w:tcPr>
            <w:tcW w:w="1497" w:type="dxa"/>
            <w:tcBorders>
              <w:top w:val="nil"/>
              <w:left w:val="single" w:color="auto" w:sz="4" w:space="0"/>
              <w:bottom w:val="single" w:color="auto" w:sz="4" w:space="0"/>
              <w:right w:val="single" w:color="auto" w:sz="4" w:space="0"/>
            </w:tcBorders>
            <w:vAlign w:val="center"/>
          </w:tcPr>
          <w:p>
            <w:pPr>
              <w:spacing w:line="360" w:lineRule="auto"/>
            </w:pPr>
            <w:r>
              <w:rPr>
                <w:rFonts w:hint="eastAsia"/>
              </w:rPr>
              <w:t>第2天上午</w:t>
            </w:r>
          </w:p>
        </w:tc>
        <w:tc>
          <w:tcPr>
            <w:tcW w:w="4988" w:type="dxa"/>
            <w:tcBorders>
              <w:top w:val="nil"/>
              <w:left w:val="nil"/>
              <w:bottom w:val="single" w:color="auto" w:sz="4" w:space="0"/>
              <w:right w:val="single" w:color="auto" w:sz="4" w:space="0"/>
            </w:tcBorders>
          </w:tcPr>
          <w:p>
            <w:pPr>
              <w:spacing w:line="360" w:lineRule="auto"/>
            </w:pPr>
            <w:r>
              <w:rPr>
                <w:rFonts w:hint="eastAsia"/>
                <w:lang w:eastAsia="zh-CN"/>
              </w:rPr>
              <w:t>xx</w:t>
            </w:r>
            <w:r>
              <w:rPr>
                <w:rFonts w:hint="eastAsia"/>
              </w:rPr>
              <w:t>集团有限公司电子收费分公司发票管理系统常见操作问题及解决处理方法</w:t>
            </w:r>
          </w:p>
        </w:tc>
      </w:tr>
      <w:tr>
        <w:tblPrEx>
          <w:tblLayout w:type="fixed"/>
          <w:tblCellMar>
            <w:top w:w="0" w:type="dxa"/>
            <w:left w:w="108" w:type="dxa"/>
            <w:bottom w:w="0" w:type="dxa"/>
            <w:right w:w="108" w:type="dxa"/>
          </w:tblCellMar>
        </w:tblPrEx>
        <w:trPr>
          <w:trHeight w:val="285" w:hRule="atLeast"/>
          <w:jc w:val="center"/>
        </w:trPr>
        <w:tc>
          <w:tcPr>
            <w:tcW w:w="1497" w:type="dxa"/>
            <w:tcBorders>
              <w:top w:val="nil"/>
              <w:left w:val="single" w:color="auto" w:sz="4" w:space="0"/>
              <w:bottom w:val="single" w:color="auto" w:sz="4" w:space="0"/>
              <w:right w:val="single" w:color="auto" w:sz="4" w:space="0"/>
            </w:tcBorders>
            <w:vAlign w:val="center"/>
          </w:tcPr>
          <w:p>
            <w:pPr>
              <w:spacing w:line="360" w:lineRule="auto"/>
            </w:pPr>
            <w:r>
              <w:rPr>
                <w:rFonts w:hint="eastAsia"/>
              </w:rPr>
              <w:t>第2天下午</w:t>
            </w:r>
          </w:p>
        </w:tc>
        <w:tc>
          <w:tcPr>
            <w:tcW w:w="4988" w:type="dxa"/>
            <w:tcBorders>
              <w:top w:val="nil"/>
              <w:left w:val="nil"/>
              <w:bottom w:val="single" w:color="auto" w:sz="4" w:space="0"/>
              <w:right w:val="single" w:color="auto" w:sz="4" w:space="0"/>
            </w:tcBorders>
          </w:tcPr>
          <w:p>
            <w:pPr>
              <w:spacing w:line="360" w:lineRule="auto"/>
            </w:pPr>
            <w:r>
              <w:rPr>
                <w:rFonts w:hint="eastAsia"/>
              </w:rPr>
              <w:t>学员考核</w:t>
            </w:r>
          </w:p>
        </w:tc>
      </w:tr>
    </w:tbl>
    <w:p>
      <w:pPr>
        <w:spacing w:line="360" w:lineRule="auto"/>
        <w:rPr>
          <w:rFonts w:hint="eastAsia"/>
        </w:rPr>
      </w:pPr>
    </w:p>
    <w:p>
      <w:pPr>
        <w:pStyle w:val="3"/>
        <w:numPr>
          <w:ilvl w:val="1"/>
          <w:numId w:val="85"/>
        </w:numPr>
        <w:spacing w:before="0" w:after="0" w:line="360" w:lineRule="auto"/>
        <w:ind w:left="0" w:leftChars="0" w:firstLine="402" w:firstLineChars="0"/>
      </w:pPr>
      <w:bookmarkStart w:id="428" w:name="_Toc30505"/>
      <w:bookmarkStart w:id="429" w:name="_Toc444186090"/>
      <w:r>
        <w:rPr>
          <w:rFonts w:hint="eastAsia"/>
        </w:rPr>
        <w:t>培训进度安排</w:t>
      </w:r>
      <w:bookmarkEnd w:id="428"/>
      <w:bookmarkEnd w:id="429"/>
    </w:p>
    <w:p>
      <w:pPr>
        <w:spacing w:line="360" w:lineRule="auto"/>
        <w:ind w:firstLine="480" w:firstLineChars="200"/>
      </w:pPr>
      <w:r>
        <w:rPr>
          <w:rFonts w:hint="eastAsia"/>
          <w:sz w:val="24"/>
          <w:szCs w:val="24"/>
        </w:rPr>
        <w:t>根据招标方的项目建设过程中对培训工作的相关要求，同时投标方结合项目的总体实施计划，对培训工作安排如下：</w:t>
      </w:r>
    </w:p>
    <w:tbl>
      <w:tblPr>
        <w:tblStyle w:val="34"/>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418"/>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tblHeader/>
        </w:trPr>
        <w:tc>
          <w:tcPr>
            <w:tcW w:w="1384" w:type="dxa"/>
            <w:tcBorders>
              <w:top w:val="single" w:color="auto" w:sz="4" w:space="0"/>
              <w:left w:val="single" w:color="auto" w:sz="4" w:space="0"/>
              <w:bottom w:val="single" w:color="auto" w:sz="4" w:space="0"/>
              <w:right w:val="single" w:color="auto" w:sz="4" w:space="0"/>
            </w:tcBorders>
            <w:shd w:val="clear" w:color="auto" w:fill="E0E0E0"/>
            <w:vAlign w:val="center"/>
          </w:tcPr>
          <w:p>
            <w:pPr>
              <w:spacing w:line="360" w:lineRule="auto"/>
            </w:pPr>
            <w:r>
              <w:rPr>
                <w:rFonts w:hint="eastAsia"/>
              </w:rPr>
              <w:t>阶段名称</w:t>
            </w:r>
          </w:p>
        </w:tc>
        <w:tc>
          <w:tcPr>
            <w:tcW w:w="1418" w:type="dxa"/>
            <w:tcBorders>
              <w:top w:val="single" w:color="auto" w:sz="4" w:space="0"/>
              <w:left w:val="single" w:color="auto" w:sz="4" w:space="0"/>
              <w:bottom w:val="single" w:color="auto" w:sz="4" w:space="0"/>
              <w:right w:val="single" w:color="auto" w:sz="4" w:space="0"/>
            </w:tcBorders>
            <w:shd w:val="clear" w:color="auto" w:fill="E0E0E0"/>
            <w:vAlign w:val="center"/>
          </w:tcPr>
          <w:p>
            <w:pPr>
              <w:spacing w:line="360" w:lineRule="auto"/>
            </w:pPr>
            <w:r>
              <w:rPr>
                <w:rFonts w:hint="eastAsia"/>
              </w:rPr>
              <w:t>任务名称</w:t>
            </w:r>
          </w:p>
        </w:tc>
        <w:tc>
          <w:tcPr>
            <w:tcW w:w="5670" w:type="dxa"/>
            <w:tcBorders>
              <w:top w:val="single" w:color="auto" w:sz="4" w:space="0"/>
              <w:left w:val="single" w:color="auto" w:sz="4" w:space="0"/>
              <w:bottom w:val="single" w:color="auto" w:sz="4" w:space="0"/>
              <w:right w:val="single" w:color="auto" w:sz="4" w:space="0"/>
            </w:tcBorders>
            <w:shd w:val="clear" w:color="auto" w:fill="E0E0E0"/>
            <w:vAlign w:val="center"/>
          </w:tcPr>
          <w:p>
            <w:pPr>
              <w:spacing w:line="360" w:lineRule="auto"/>
            </w:pPr>
            <w:r>
              <w:rPr>
                <w:rFonts w:hint="eastAsia"/>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84" w:type="dxa"/>
            <w:vMerge w:val="restart"/>
            <w:tcBorders>
              <w:top w:val="single" w:color="auto" w:sz="4" w:space="0"/>
              <w:left w:val="single" w:color="auto" w:sz="4" w:space="0"/>
              <w:right w:val="single" w:color="auto" w:sz="4" w:space="0"/>
            </w:tcBorders>
            <w:shd w:val="clear" w:color="auto" w:fill="FFFFFF"/>
            <w:vAlign w:val="center"/>
          </w:tcPr>
          <w:p>
            <w:pPr>
              <w:spacing w:line="360" w:lineRule="auto"/>
            </w:pPr>
            <w:r>
              <w:rPr>
                <w:rFonts w:hint="eastAsia"/>
              </w:rPr>
              <w:t>项目开发阶段</w:t>
            </w:r>
          </w:p>
        </w:tc>
        <w:tc>
          <w:tcPr>
            <w:tcW w:w="141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pPr>
            <w:r>
              <w:rPr>
                <w:rFonts w:hint="eastAsia"/>
              </w:rPr>
              <w:t>培训需求调研</w:t>
            </w:r>
          </w:p>
        </w:tc>
        <w:tc>
          <w:tcPr>
            <w:tcW w:w="5670" w:type="dxa"/>
            <w:tcBorders>
              <w:top w:val="single" w:color="auto" w:sz="4" w:space="0"/>
              <w:left w:val="single" w:color="auto" w:sz="4" w:space="0"/>
              <w:right w:val="single" w:color="auto" w:sz="4" w:space="0"/>
            </w:tcBorders>
            <w:shd w:val="clear" w:color="auto" w:fill="FFFFFF"/>
            <w:vAlign w:val="center"/>
          </w:tcPr>
          <w:p>
            <w:pPr>
              <w:spacing w:line="360" w:lineRule="auto"/>
            </w:pPr>
            <w:r>
              <w:rPr>
                <w:rFonts w:hint="eastAsia"/>
              </w:rPr>
              <w:t>收集招标方的培训需求，对培训需求进行分析，结合用户的实际情况和本项目开发、实施、运维的相关内容，确定用户需求，制定《</w:t>
            </w:r>
            <w:r>
              <w:rPr>
                <w:rFonts w:hint="eastAsia"/>
                <w:lang w:eastAsia="zh-CN"/>
              </w:rPr>
              <w:t>xx</w:t>
            </w:r>
            <w:r>
              <w:rPr>
                <w:rFonts w:hint="eastAsia"/>
              </w:rPr>
              <w:t>集团有限公司电子收费分公司发票管理项目培训总体计划》。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84" w:type="dxa"/>
            <w:vMerge w:val="continue"/>
            <w:tcBorders>
              <w:left w:val="single" w:color="auto" w:sz="4" w:space="0"/>
              <w:bottom w:val="nil"/>
              <w:right w:val="single" w:color="auto" w:sz="4" w:space="0"/>
            </w:tcBorders>
            <w:shd w:val="clear" w:color="auto" w:fill="FFFFFF"/>
            <w:vAlign w:val="center"/>
          </w:tcPr>
          <w:p>
            <w:pPr>
              <w:spacing w:line="360" w:lineRule="auto"/>
            </w:pPr>
          </w:p>
        </w:tc>
        <w:tc>
          <w:tcPr>
            <w:tcW w:w="141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pPr>
            <w:r>
              <w:rPr>
                <w:rFonts w:hint="eastAsia"/>
              </w:rPr>
              <w:t>教材编写</w:t>
            </w:r>
          </w:p>
        </w:tc>
        <w:tc>
          <w:tcPr>
            <w:tcW w:w="5670" w:type="dxa"/>
            <w:tcBorders>
              <w:left w:val="single" w:color="auto" w:sz="4" w:space="0"/>
              <w:right w:val="single" w:color="auto" w:sz="4" w:space="0"/>
            </w:tcBorders>
            <w:shd w:val="clear" w:color="auto" w:fill="FFFFFF"/>
            <w:vAlign w:val="center"/>
          </w:tcPr>
          <w:p>
            <w:pPr>
              <w:spacing w:line="360" w:lineRule="auto"/>
            </w:pPr>
            <w:r>
              <w:rPr>
                <w:rFonts w:hint="eastAsia"/>
              </w:rPr>
              <w:t>编写项目培训中所需的教材。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84" w:type="dxa"/>
            <w:vMerge w:val="restart"/>
            <w:tcBorders>
              <w:top w:val="single" w:color="auto" w:sz="4" w:space="0"/>
              <w:left w:val="single" w:color="auto" w:sz="4" w:space="0"/>
              <w:right w:val="single" w:color="auto" w:sz="4" w:space="0"/>
            </w:tcBorders>
            <w:shd w:val="clear" w:color="auto" w:fill="FFFFFF"/>
            <w:vAlign w:val="center"/>
          </w:tcPr>
          <w:p>
            <w:pPr>
              <w:spacing w:line="360" w:lineRule="auto"/>
            </w:pPr>
            <w:r>
              <w:rPr>
                <w:rFonts w:hint="eastAsia"/>
              </w:rPr>
              <w:t>项目测试阶段</w:t>
            </w:r>
          </w:p>
        </w:tc>
        <w:tc>
          <w:tcPr>
            <w:tcW w:w="1418" w:type="dxa"/>
            <w:tcBorders>
              <w:top w:val="single" w:color="auto" w:sz="4" w:space="0"/>
              <w:left w:val="single" w:color="auto" w:sz="4" w:space="0"/>
              <w:bottom w:val="nil"/>
              <w:right w:val="single" w:color="auto" w:sz="4" w:space="0"/>
            </w:tcBorders>
            <w:shd w:val="clear" w:color="auto" w:fill="FFFFFF"/>
            <w:vAlign w:val="center"/>
          </w:tcPr>
          <w:p>
            <w:pPr>
              <w:spacing w:line="360" w:lineRule="auto"/>
            </w:pPr>
            <w:r>
              <w:rPr>
                <w:rFonts w:hint="eastAsia"/>
              </w:rPr>
              <w:t>测试中期</w:t>
            </w:r>
          </w:p>
        </w:tc>
        <w:tc>
          <w:tcPr>
            <w:tcW w:w="5670" w:type="dxa"/>
            <w:tcBorders>
              <w:top w:val="single" w:color="auto" w:sz="4" w:space="0"/>
              <w:left w:val="single" w:color="auto" w:sz="4" w:space="0"/>
              <w:right w:val="single" w:color="auto" w:sz="4" w:space="0"/>
            </w:tcBorders>
            <w:shd w:val="clear" w:color="auto" w:fill="FFFFFF"/>
            <w:vAlign w:val="center"/>
          </w:tcPr>
          <w:p>
            <w:pPr>
              <w:spacing w:line="360" w:lineRule="auto"/>
            </w:pPr>
            <w:r>
              <w:rPr>
                <w:rFonts w:hint="eastAsia"/>
              </w:rPr>
              <w:t>对招标方的IT技术人员就系统架构、系统部署等方面进行培训，使其提前了解系统的基本结构以及运维工作，熟悉系统各项管理功能。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2" w:hRule="atLeast"/>
        </w:trPr>
        <w:tc>
          <w:tcPr>
            <w:tcW w:w="1384" w:type="dxa"/>
            <w:vMerge w:val="continue"/>
            <w:tcBorders>
              <w:left w:val="single" w:color="auto" w:sz="4" w:space="0"/>
              <w:right w:val="single" w:color="auto" w:sz="4" w:space="0"/>
            </w:tcBorders>
            <w:shd w:val="clear" w:color="auto" w:fill="FFFFFF"/>
            <w:vAlign w:val="center"/>
          </w:tcPr>
          <w:p>
            <w:pPr>
              <w:spacing w:line="360" w:lineRule="auto"/>
            </w:pPr>
          </w:p>
        </w:tc>
        <w:tc>
          <w:tcPr>
            <w:tcW w:w="1418" w:type="dxa"/>
            <w:tcBorders>
              <w:top w:val="single" w:color="auto" w:sz="4" w:space="0"/>
              <w:left w:val="single" w:color="auto" w:sz="4" w:space="0"/>
              <w:right w:val="single" w:color="auto" w:sz="4" w:space="0"/>
            </w:tcBorders>
            <w:shd w:val="clear" w:color="auto" w:fill="FFFFFF"/>
            <w:vAlign w:val="center"/>
          </w:tcPr>
          <w:p>
            <w:pPr>
              <w:spacing w:line="360" w:lineRule="auto"/>
            </w:pPr>
            <w:r>
              <w:rPr>
                <w:rFonts w:hint="eastAsia"/>
              </w:rPr>
              <w:t>测试后期</w:t>
            </w:r>
          </w:p>
        </w:tc>
        <w:tc>
          <w:tcPr>
            <w:tcW w:w="5670" w:type="dxa"/>
            <w:tcBorders>
              <w:left w:val="single" w:color="auto" w:sz="4" w:space="0"/>
              <w:right w:val="single" w:color="auto" w:sz="4" w:space="0"/>
            </w:tcBorders>
            <w:shd w:val="clear" w:color="auto" w:fill="FFFFFF"/>
            <w:vAlign w:val="center"/>
          </w:tcPr>
          <w:p>
            <w:pPr>
              <w:spacing w:line="360" w:lineRule="auto"/>
            </w:pPr>
            <w:r>
              <w:rPr>
                <w:rFonts w:hint="eastAsia"/>
              </w:rPr>
              <w:t>开展用户培训，使使用该系统的相关服务人员和税务人员对系统功能进行熟悉，在培训过程中，收集用户对系统应用过程中的相关意见和建议，以便开发人员对系统的易用性、实用性功能进行优化。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trPr>
        <w:tc>
          <w:tcPr>
            <w:tcW w:w="1384" w:type="dxa"/>
            <w:vMerge w:val="continue"/>
            <w:tcBorders>
              <w:left w:val="single" w:color="auto" w:sz="4" w:space="0"/>
              <w:right w:val="single" w:color="auto" w:sz="4" w:space="0"/>
            </w:tcBorders>
            <w:shd w:val="clear" w:color="auto" w:fill="FFFFFF"/>
            <w:vAlign w:val="center"/>
          </w:tcPr>
          <w:p>
            <w:pPr>
              <w:spacing w:line="360" w:lineRule="auto"/>
            </w:pPr>
          </w:p>
        </w:tc>
        <w:tc>
          <w:tcPr>
            <w:tcW w:w="1418" w:type="dxa"/>
            <w:tcBorders>
              <w:top w:val="single" w:color="auto" w:sz="4" w:space="0"/>
              <w:left w:val="single" w:color="auto" w:sz="4" w:space="0"/>
              <w:right w:val="single" w:color="auto" w:sz="4" w:space="0"/>
            </w:tcBorders>
            <w:shd w:val="clear" w:color="auto" w:fill="FFFFFF"/>
            <w:vAlign w:val="center"/>
          </w:tcPr>
          <w:p>
            <w:pPr>
              <w:spacing w:line="360" w:lineRule="auto"/>
            </w:pPr>
            <w:r>
              <w:rPr>
                <w:rFonts w:hint="eastAsia"/>
              </w:rPr>
              <w:t>教材优化</w:t>
            </w:r>
          </w:p>
        </w:tc>
        <w:tc>
          <w:tcPr>
            <w:tcW w:w="5670" w:type="dxa"/>
            <w:tcBorders>
              <w:left w:val="single" w:color="auto" w:sz="4" w:space="0"/>
              <w:right w:val="single" w:color="auto" w:sz="4" w:space="0"/>
            </w:tcBorders>
            <w:shd w:val="clear" w:color="auto" w:fill="FFFFFF"/>
            <w:vAlign w:val="center"/>
          </w:tcPr>
          <w:p>
            <w:pPr>
              <w:spacing w:line="360" w:lineRule="auto"/>
            </w:pPr>
            <w:r>
              <w:rPr>
                <w:rFonts w:hint="eastAsia"/>
              </w:rPr>
              <w:t>对教材和培训内同进行丰富和完善。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84" w:type="dxa"/>
            <w:vMerge w:val="restart"/>
            <w:tcBorders>
              <w:top w:val="single" w:color="auto" w:sz="4" w:space="0"/>
              <w:left w:val="single" w:color="auto" w:sz="4" w:space="0"/>
              <w:right w:val="single" w:color="auto" w:sz="4" w:space="0"/>
            </w:tcBorders>
            <w:shd w:val="clear" w:color="auto" w:fill="FFFFFF"/>
            <w:vAlign w:val="center"/>
          </w:tcPr>
          <w:p>
            <w:pPr>
              <w:spacing w:line="360" w:lineRule="auto"/>
            </w:pPr>
            <w:r>
              <w:rPr>
                <w:rFonts w:hint="eastAsia"/>
              </w:rPr>
              <w:t>用户环境测试</w:t>
            </w:r>
          </w:p>
        </w:tc>
        <w:tc>
          <w:tcPr>
            <w:tcW w:w="141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pPr>
            <w:r>
              <w:rPr>
                <w:rFonts w:hint="eastAsia"/>
              </w:rPr>
              <w:t>测试后期</w:t>
            </w:r>
          </w:p>
        </w:tc>
        <w:tc>
          <w:tcPr>
            <w:tcW w:w="5670" w:type="dxa"/>
            <w:tcBorders>
              <w:top w:val="single" w:color="auto" w:sz="4" w:space="0"/>
              <w:left w:val="single" w:color="auto" w:sz="4" w:space="0"/>
              <w:right w:val="single" w:color="auto" w:sz="4" w:space="0"/>
            </w:tcBorders>
            <w:shd w:val="clear" w:color="auto" w:fill="FFFFFF"/>
            <w:vAlign w:val="center"/>
          </w:tcPr>
          <w:p>
            <w:pPr>
              <w:spacing w:line="360" w:lineRule="auto"/>
            </w:pPr>
            <w:r>
              <w:rPr>
                <w:rFonts w:hint="eastAsia"/>
              </w:rPr>
              <w:t>结合用户环境测试情况，对招标方的IT技术人员就系统架构、系统部署等方面进行更深入的技术培训；开展深层次的用户培训，使使用该系统的相关服务人员和税务人员对系统功能能熟练掌握，对系统的操作和使用更顺畅、快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84" w:type="dxa"/>
            <w:vMerge w:val="continue"/>
            <w:tcBorders>
              <w:top w:val="single" w:color="auto" w:sz="4" w:space="0"/>
              <w:left w:val="single" w:color="auto" w:sz="4" w:space="0"/>
              <w:right w:val="single" w:color="auto" w:sz="4" w:space="0"/>
            </w:tcBorders>
            <w:shd w:val="clear" w:color="auto" w:fill="FFFFFF"/>
            <w:vAlign w:val="center"/>
          </w:tcPr>
          <w:p>
            <w:pPr>
              <w:spacing w:line="360" w:lineRule="auto"/>
            </w:pPr>
          </w:p>
        </w:tc>
        <w:tc>
          <w:tcPr>
            <w:tcW w:w="141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pPr>
            <w:r>
              <w:rPr>
                <w:rFonts w:hint="eastAsia"/>
              </w:rPr>
              <w:t>教材等培训资料的优化</w:t>
            </w:r>
          </w:p>
        </w:tc>
        <w:tc>
          <w:tcPr>
            <w:tcW w:w="5670" w:type="dxa"/>
            <w:tcBorders>
              <w:top w:val="single" w:color="auto" w:sz="4" w:space="0"/>
              <w:left w:val="single" w:color="auto" w:sz="4" w:space="0"/>
              <w:right w:val="single" w:color="auto" w:sz="4" w:space="0"/>
            </w:tcBorders>
            <w:shd w:val="clear" w:color="auto" w:fill="FFFFFF"/>
            <w:vAlign w:val="center"/>
          </w:tcPr>
          <w:p>
            <w:pPr>
              <w:spacing w:line="360" w:lineRule="auto"/>
            </w:pPr>
            <w:r>
              <w:rPr>
                <w:rFonts w:hint="eastAsia"/>
              </w:rPr>
              <w:t>对教材和培训内容进行丰富和完善。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6" w:hRule="atLeast"/>
        </w:trPr>
        <w:tc>
          <w:tcPr>
            <w:tcW w:w="1384" w:type="dxa"/>
            <w:tcBorders>
              <w:top w:val="single" w:color="auto" w:sz="4" w:space="0"/>
              <w:left w:val="single" w:color="auto" w:sz="4" w:space="0"/>
              <w:right w:val="single" w:color="auto" w:sz="4" w:space="0"/>
            </w:tcBorders>
            <w:shd w:val="clear" w:color="auto" w:fill="FFFFFF"/>
            <w:vAlign w:val="center"/>
          </w:tcPr>
          <w:p>
            <w:pPr>
              <w:spacing w:line="360" w:lineRule="auto"/>
            </w:pPr>
            <w:r>
              <w:rPr>
                <w:rFonts w:hint="eastAsia"/>
              </w:rPr>
              <w:t>试运行</w:t>
            </w:r>
          </w:p>
        </w:tc>
        <w:tc>
          <w:tcPr>
            <w:tcW w:w="1418" w:type="dxa"/>
            <w:tcBorders>
              <w:top w:val="single" w:color="auto" w:sz="4" w:space="0"/>
              <w:left w:val="single" w:color="auto" w:sz="4" w:space="0"/>
              <w:right w:val="single" w:color="auto" w:sz="4" w:space="0"/>
            </w:tcBorders>
            <w:shd w:val="clear" w:color="auto" w:fill="FFFFFF"/>
            <w:vAlign w:val="center"/>
          </w:tcPr>
          <w:p>
            <w:pPr>
              <w:spacing w:line="360" w:lineRule="auto"/>
            </w:pPr>
            <w:r>
              <w:rPr>
                <w:rFonts w:hint="eastAsia"/>
              </w:rPr>
              <w:t>试运行地区用户培训</w:t>
            </w:r>
          </w:p>
        </w:tc>
        <w:tc>
          <w:tcPr>
            <w:tcW w:w="5670" w:type="dxa"/>
            <w:tcBorders>
              <w:top w:val="single" w:color="auto" w:sz="4" w:space="0"/>
              <w:left w:val="single" w:color="auto" w:sz="4" w:space="0"/>
              <w:right w:val="single" w:color="auto" w:sz="4" w:space="0"/>
            </w:tcBorders>
            <w:shd w:val="clear" w:color="auto" w:fill="FFFFFF"/>
            <w:vAlign w:val="center"/>
          </w:tcPr>
          <w:p>
            <w:pPr>
              <w:spacing w:line="360" w:lineRule="auto"/>
            </w:pPr>
            <w:r>
              <w:rPr>
                <w:rFonts w:hint="eastAsia"/>
              </w:rPr>
              <w:t>在试运行的同时，对招标方的IT技术人员就系统架构、系统部署等方面进行深入的技术培训；对操作人员进行培训，使其对系统功能能熟练掌握，对系统的操作和使用更顺畅、快捷，对使用过程中遇到的常见问题能够快速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84" w:type="dxa"/>
            <w:vMerge w:val="restart"/>
            <w:tcBorders>
              <w:top w:val="single" w:color="auto" w:sz="4" w:space="0"/>
              <w:left w:val="single" w:color="auto" w:sz="4" w:space="0"/>
              <w:right w:val="single" w:color="auto" w:sz="4" w:space="0"/>
            </w:tcBorders>
            <w:vAlign w:val="center"/>
          </w:tcPr>
          <w:p>
            <w:pPr>
              <w:spacing w:line="360" w:lineRule="auto"/>
            </w:pPr>
            <w:r>
              <w:rPr>
                <w:rFonts w:hint="eastAsia"/>
              </w:rPr>
              <w:t>集中培训</w:t>
            </w:r>
          </w:p>
        </w:tc>
        <w:tc>
          <w:tcPr>
            <w:tcW w:w="1418"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培训实施方案及培训资料移交</w:t>
            </w:r>
          </w:p>
        </w:tc>
        <w:tc>
          <w:tcPr>
            <w:tcW w:w="5670" w:type="dxa"/>
            <w:vMerge w:val="restart"/>
            <w:tcBorders>
              <w:top w:val="single" w:color="auto" w:sz="4" w:space="0"/>
              <w:left w:val="single" w:color="auto" w:sz="4" w:space="0"/>
              <w:right w:val="single" w:color="auto" w:sz="4" w:space="0"/>
            </w:tcBorders>
            <w:vAlign w:val="center"/>
          </w:tcPr>
          <w:p>
            <w:pPr>
              <w:spacing w:line="360" w:lineRule="auto"/>
            </w:pPr>
            <w:r>
              <w:rPr>
                <w:rFonts w:hint="eastAsia"/>
              </w:rPr>
              <w:t>根据推广和培训计划，分批次分对象地完成招标方相关人员的技术和业务培训工作；培训资料包括用户手册、系统维护手册、培训教材、培训讲义、培训幻灯片等内容进行不断的完善；对学员进行培训，使得参加培训的相关人员掌握相应的培训内容，以便为后面的全国推广实施做好培训和支持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84" w:type="dxa"/>
            <w:vMerge w:val="continue"/>
            <w:tcBorders>
              <w:left w:val="single" w:color="auto" w:sz="4" w:space="0"/>
              <w:right w:val="single" w:color="auto" w:sz="4" w:space="0"/>
            </w:tcBorders>
            <w:vAlign w:val="center"/>
          </w:tcPr>
          <w:p>
            <w:pPr>
              <w:spacing w:line="360" w:lineRule="auto"/>
            </w:pPr>
          </w:p>
        </w:tc>
        <w:tc>
          <w:tcPr>
            <w:tcW w:w="1418"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业务培训</w:t>
            </w:r>
          </w:p>
        </w:tc>
        <w:tc>
          <w:tcPr>
            <w:tcW w:w="5670" w:type="dxa"/>
            <w:vMerge w:val="continue"/>
            <w:tcBorders>
              <w:left w:val="single" w:color="auto" w:sz="4" w:space="0"/>
              <w:right w:val="sing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trPr>
        <w:tc>
          <w:tcPr>
            <w:tcW w:w="1384" w:type="dxa"/>
            <w:vMerge w:val="continue"/>
            <w:tcBorders>
              <w:left w:val="single" w:color="auto" w:sz="4" w:space="0"/>
              <w:right w:val="single" w:color="auto" w:sz="4" w:space="0"/>
            </w:tcBorders>
            <w:vAlign w:val="center"/>
          </w:tcPr>
          <w:p>
            <w:pPr>
              <w:spacing w:line="360" w:lineRule="auto"/>
            </w:pPr>
          </w:p>
        </w:tc>
        <w:tc>
          <w:tcPr>
            <w:tcW w:w="1418" w:type="dxa"/>
            <w:tcBorders>
              <w:top w:val="single" w:color="auto" w:sz="4" w:space="0"/>
              <w:left w:val="single" w:color="auto" w:sz="4" w:space="0"/>
              <w:right w:val="single" w:color="auto" w:sz="4" w:space="0"/>
            </w:tcBorders>
            <w:vAlign w:val="center"/>
          </w:tcPr>
          <w:p>
            <w:pPr>
              <w:spacing w:line="360" w:lineRule="auto"/>
            </w:pPr>
            <w:r>
              <w:rPr>
                <w:rFonts w:hint="eastAsia"/>
              </w:rPr>
              <w:t>技术培训</w:t>
            </w:r>
          </w:p>
        </w:tc>
        <w:tc>
          <w:tcPr>
            <w:tcW w:w="5670" w:type="dxa"/>
            <w:vMerge w:val="continue"/>
            <w:tcBorders>
              <w:left w:val="single" w:color="auto" w:sz="4" w:space="0"/>
              <w:right w:val="sing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trPr>
        <w:tc>
          <w:tcPr>
            <w:tcW w:w="1384" w:type="dxa"/>
            <w:vMerge w:val="continue"/>
            <w:tcBorders>
              <w:left w:val="single" w:color="auto" w:sz="4" w:space="0"/>
              <w:bottom w:val="single" w:color="auto" w:sz="4" w:space="0"/>
              <w:right w:val="single" w:color="auto" w:sz="4" w:space="0"/>
            </w:tcBorders>
            <w:vAlign w:val="center"/>
          </w:tcPr>
          <w:p>
            <w:pPr>
              <w:spacing w:line="360" w:lineRule="auto"/>
            </w:pPr>
          </w:p>
        </w:tc>
        <w:tc>
          <w:tcPr>
            <w:tcW w:w="1418"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培训总结</w:t>
            </w:r>
          </w:p>
        </w:tc>
        <w:tc>
          <w:tcPr>
            <w:tcW w:w="5670" w:type="dxa"/>
            <w:vMerge w:val="continue"/>
            <w:tcBorders>
              <w:left w:val="single" w:color="auto" w:sz="4" w:space="0"/>
              <w:bottom w:val="single" w:color="auto" w:sz="4" w:space="0"/>
              <w:right w:val="sing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0" w:hRule="atLeast"/>
        </w:trPr>
        <w:tc>
          <w:tcPr>
            <w:tcW w:w="1384" w:type="dxa"/>
            <w:tcBorders>
              <w:top w:val="single" w:color="auto" w:sz="4" w:space="0"/>
              <w:left w:val="single" w:color="auto" w:sz="4" w:space="0"/>
              <w:right w:val="single" w:color="auto" w:sz="4" w:space="0"/>
            </w:tcBorders>
            <w:shd w:val="clear" w:color="auto" w:fill="FFFFFF"/>
            <w:vAlign w:val="center"/>
          </w:tcPr>
          <w:p>
            <w:pPr>
              <w:spacing w:line="360" w:lineRule="auto"/>
            </w:pPr>
            <w:r>
              <w:rPr>
                <w:rFonts w:hint="eastAsia"/>
              </w:rPr>
              <w:t>推广实施</w:t>
            </w:r>
          </w:p>
        </w:tc>
        <w:tc>
          <w:tcPr>
            <w:tcW w:w="1418" w:type="dxa"/>
            <w:tcBorders>
              <w:top w:val="single" w:color="auto" w:sz="4" w:space="0"/>
              <w:left w:val="single" w:color="auto" w:sz="4" w:space="0"/>
              <w:right w:val="single" w:color="auto" w:sz="4" w:space="0"/>
            </w:tcBorders>
            <w:shd w:val="clear" w:color="auto" w:fill="FFFFFF"/>
            <w:vAlign w:val="center"/>
          </w:tcPr>
          <w:p>
            <w:pPr>
              <w:spacing w:line="360" w:lineRule="auto"/>
            </w:pPr>
            <w:r>
              <w:rPr>
                <w:rFonts w:hint="eastAsia"/>
              </w:rPr>
              <w:t>针对性培训</w:t>
            </w:r>
          </w:p>
        </w:tc>
        <w:tc>
          <w:tcPr>
            <w:tcW w:w="5670" w:type="dxa"/>
            <w:tcBorders>
              <w:top w:val="single" w:color="auto" w:sz="4" w:space="0"/>
              <w:left w:val="single" w:color="auto" w:sz="4" w:space="0"/>
              <w:right w:val="single" w:color="auto" w:sz="4" w:space="0"/>
            </w:tcBorders>
            <w:shd w:val="clear" w:color="auto" w:fill="FFFFFF"/>
            <w:vAlign w:val="center"/>
          </w:tcPr>
          <w:p>
            <w:pPr>
              <w:spacing w:line="360" w:lineRule="auto"/>
            </w:pPr>
            <w:r>
              <w:rPr>
                <w:rFonts w:hint="eastAsia"/>
              </w:rPr>
              <w:t>对有特定需求的用户提供满足需求的针对性培训，以保障用户地区系统的顺利推广和应用。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1384" w:type="dxa"/>
            <w:vMerge w:val="restart"/>
            <w:tcBorders>
              <w:top w:val="single" w:color="auto" w:sz="4" w:space="0"/>
              <w:left w:val="single" w:color="auto" w:sz="4" w:space="0"/>
              <w:right w:val="single" w:color="auto" w:sz="4" w:space="0"/>
            </w:tcBorders>
            <w:shd w:val="clear" w:color="auto" w:fill="FFFFFF"/>
            <w:vAlign w:val="center"/>
          </w:tcPr>
          <w:p>
            <w:pPr>
              <w:spacing w:line="360" w:lineRule="auto"/>
            </w:pPr>
            <w:r>
              <w:rPr>
                <w:rFonts w:hint="eastAsia"/>
              </w:rPr>
              <w:t>系统运维</w:t>
            </w:r>
          </w:p>
        </w:tc>
        <w:tc>
          <w:tcPr>
            <w:tcW w:w="141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pPr>
            <w:r>
              <w:rPr>
                <w:rFonts w:hint="eastAsia"/>
              </w:rPr>
              <w:t>针对性培训</w:t>
            </w:r>
          </w:p>
        </w:tc>
        <w:tc>
          <w:tcPr>
            <w:tcW w:w="5670" w:type="dxa"/>
            <w:vMerge w:val="restart"/>
            <w:tcBorders>
              <w:top w:val="single" w:color="auto" w:sz="4" w:space="0"/>
              <w:left w:val="single" w:color="auto" w:sz="4" w:space="0"/>
              <w:right w:val="single" w:color="auto" w:sz="4" w:space="0"/>
            </w:tcBorders>
            <w:shd w:val="clear" w:color="auto" w:fill="FFFFFF"/>
            <w:vAlign w:val="center"/>
          </w:tcPr>
          <w:p>
            <w:pPr>
              <w:spacing w:line="360" w:lineRule="auto"/>
            </w:pPr>
            <w:r>
              <w:rPr>
                <w:rFonts w:hint="eastAsia"/>
              </w:rPr>
              <w:t>对有特定需求的用户提供满足需求的针对性培训，以保障用户地区系统的顺利运行和应用。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8" w:hRule="atLeast"/>
        </w:trPr>
        <w:tc>
          <w:tcPr>
            <w:tcW w:w="1384" w:type="dxa"/>
            <w:vMerge w:val="continue"/>
            <w:tcBorders>
              <w:left w:val="single" w:color="auto" w:sz="4" w:space="0"/>
              <w:right w:val="single" w:color="auto" w:sz="4" w:space="0"/>
            </w:tcBorders>
            <w:shd w:val="clear" w:color="auto" w:fill="FFFFFF"/>
            <w:vAlign w:val="center"/>
          </w:tcPr>
          <w:p>
            <w:pPr>
              <w:spacing w:line="360" w:lineRule="auto"/>
            </w:pPr>
          </w:p>
        </w:tc>
        <w:tc>
          <w:tcPr>
            <w:tcW w:w="1418" w:type="dxa"/>
            <w:tcBorders>
              <w:top w:val="single" w:color="auto" w:sz="4" w:space="0"/>
              <w:left w:val="single" w:color="auto" w:sz="4" w:space="0"/>
              <w:right w:val="single" w:color="auto" w:sz="4" w:space="0"/>
            </w:tcBorders>
            <w:shd w:val="clear" w:color="auto" w:fill="FFFFFF"/>
            <w:vAlign w:val="center"/>
          </w:tcPr>
          <w:p>
            <w:pPr>
              <w:spacing w:line="360" w:lineRule="auto"/>
            </w:pPr>
            <w:r>
              <w:rPr>
                <w:rFonts w:hint="eastAsia"/>
              </w:rPr>
              <w:t>操作与运维工作内容培训</w:t>
            </w:r>
          </w:p>
        </w:tc>
        <w:tc>
          <w:tcPr>
            <w:tcW w:w="5670" w:type="dxa"/>
            <w:vMerge w:val="continue"/>
            <w:tcBorders>
              <w:left w:val="single" w:color="auto" w:sz="4" w:space="0"/>
              <w:right w:val="single" w:color="auto" w:sz="4" w:space="0"/>
            </w:tcBorders>
            <w:shd w:val="clear" w:color="auto" w:fill="FFFFFF"/>
            <w:vAlign w:val="center"/>
          </w:tcPr>
          <w:p>
            <w:pPr>
              <w:spacing w:line="360" w:lineRule="auto"/>
            </w:pPr>
          </w:p>
        </w:tc>
      </w:tr>
    </w:tbl>
    <w:p>
      <w:pPr>
        <w:spacing w:line="360" w:lineRule="auto"/>
        <w:rPr>
          <w:sz w:val="24"/>
          <w:szCs w:val="24"/>
        </w:rPr>
      </w:pPr>
      <w:r>
        <w:rPr>
          <w:rFonts w:hint="eastAsia"/>
          <w:sz w:val="24"/>
          <w:szCs w:val="24"/>
        </w:rPr>
        <w:t>一、技术培训</w:t>
      </w:r>
    </w:p>
    <w:p>
      <w:pPr>
        <w:spacing w:line="360" w:lineRule="auto"/>
        <w:ind w:firstLine="480" w:firstLineChars="200"/>
        <w:rPr>
          <w:sz w:val="24"/>
          <w:szCs w:val="24"/>
        </w:rPr>
      </w:pPr>
      <w:r>
        <w:rPr>
          <w:rFonts w:hint="eastAsia"/>
          <w:sz w:val="24"/>
          <w:szCs w:val="24"/>
        </w:rPr>
        <w:t>在系统进入测试阶段之前，就开始组织相关的培训需求调研和教材编写工作；</w:t>
      </w:r>
    </w:p>
    <w:p>
      <w:pPr>
        <w:spacing w:line="360" w:lineRule="auto"/>
        <w:ind w:firstLine="480" w:firstLineChars="200"/>
        <w:rPr>
          <w:sz w:val="24"/>
          <w:szCs w:val="24"/>
        </w:rPr>
      </w:pPr>
      <w:r>
        <w:rPr>
          <w:rFonts w:hint="eastAsia"/>
          <w:sz w:val="24"/>
          <w:szCs w:val="24"/>
        </w:rPr>
        <w:t>系统进入测试之后，即开始进行技术培训，旨在让招标方信息化运维人员提前掌握系统框架、了解系统部署和运维工作，并熟悉系统的各项管理功能；</w:t>
      </w:r>
    </w:p>
    <w:p>
      <w:pPr>
        <w:spacing w:line="360" w:lineRule="auto"/>
        <w:ind w:firstLine="480" w:firstLineChars="200"/>
        <w:rPr>
          <w:sz w:val="24"/>
          <w:szCs w:val="24"/>
        </w:rPr>
      </w:pPr>
      <w:r>
        <w:rPr>
          <w:rFonts w:hint="eastAsia"/>
          <w:sz w:val="24"/>
          <w:szCs w:val="24"/>
        </w:rPr>
        <w:t>系统进入测试中期，即开展业务培训，旨在让各类使用该系统的操作人员对系统功能进行熟悉，同时对某些功能的易用性、实用性等功能进行优化。</w:t>
      </w:r>
    </w:p>
    <w:p>
      <w:pPr>
        <w:spacing w:line="360" w:lineRule="auto"/>
        <w:ind w:firstLine="480" w:firstLineChars="200"/>
        <w:rPr>
          <w:sz w:val="24"/>
          <w:szCs w:val="24"/>
        </w:rPr>
      </w:pPr>
      <w:r>
        <w:rPr>
          <w:rFonts w:hint="eastAsia"/>
          <w:sz w:val="24"/>
          <w:szCs w:val="24"/>
        </w:rPr>
        <w:t>二、业务培训</w:t>
      </w:r>
    </w:p>
    <w:p>
      <w:pPr>
        <w:spacing w:line="360" w:lineRule="auto"/>
        <w:ind w:firstLine="480" w:firstLineChars="200"/>
        <w:rPr>
          <w:sz w:val="24"/>
          <w:szCs w:val="24"/>
        </w:rPr>
      </w:pPr>
      <w:r>
        <w:rPr>
          <w:rFonts w:hint="eastAsia"/>
          <w:sz w:val="24"/>
          <w:szCs w:val="24"/>
        </w:rPr>
        <w:t>系统试运行前，即需要确定试点地区，并对该地区的相关人员进行系统性的培训，通过培训来确保试点地区使用该系统的相关操作人员和税务人员能够掌握该系统的各项功能，通过本系统能顺畅的完成各项业务操作；同时，在培训过程中，不断总结培训经验，对培训课程的设置、培训内容的讲解、培训教材、培训课件、上机实验等环节进行持续改进，提高培训水平，加强培训效果；</w:t>
      </w:r>
    </w:p>
    <w:p>
      <w:pPr>
        <w:spacing w:line="360" w:lineRule="auto"/>
        <w:ind w:firstLine="480" w:firstLineChars="200"/>
      </w:pPr>
      <w:r>
        <w:rPr>
          <w:rFonts w:hint="eastAsia"/>
          <w:sz w:val="24"/>
          <w:szCs w:val="24"/>
        </w:rPr>
        <w:t>系统试运行稳定后，在总结试运行工作经验的基础上，即进入全</w:t>
      </w:r>
      <w:r>
        <w:rPr>
          <w:rFonts w:hint="eastAsia"/>
          <w:sz w:val="24"/>
          <w:szCs w:val="24"/>
          <w:lang w:eastAsia="zh-CN"/>
        </w:rPr>
        <w:t>范围</w:t>
      </w:r>
      <w:r>
        <w:rPr>
          <w:rFonts w:hint="eastAsia"/>
          <w:sz w:val="24"/>
          <w:szCs w:val="24"/>
        </w:rPr>
        <w:t>推广阶段，此时将进入大规模培训阶段；根据推广计划和进度，确定具体的培训时间安排，分批分次对相关人员进行培训，使得相关培训师资、运维人员、操作人员掌握本系统的使用、操作、维护方法，为本系统的顺利推广打下坚实基础，储备好保证本系统稳定、有效运行的各方面人才。</w:t>
      </w:r>
    </w:p>
    <w:p>
      <w:pPr>
        <w:pStyle w:val="3"/>
        <w:numPr>
          <w:ilvl w:val="1"/>
          <w:numId w:val="85"/>
        </w:numPr>
        <w:spacing w:before="0" w:after="0" w:line="360" w:lineRule="auto"/>
        <w:ind w:left="0" w:leftChars="0" w:firstLine="402" w:firstLineChars="0"/>
      </w:pPr>
      <w:bookmarkStart w:id="430" w:name="_Toc444186091"/>
      <w:bookmarkStart w:id="431" w:name="_Toc337"/>
      <w:r>
        <w:rPr>
          <w:rFonts w:hint="eastAsia"/>
        </w:rPr>
        <w:t>培训师资</w:t>
      </w:r>
      <w:bookmarkEnd w:id="430"/>
      <w:bookmarkEnd w:id="431"/>
    </w:p>
    <w:p>
      <w:pPr>
        <w:pStyle w:val="4"/>
        <w:numPr>
          <w:ilvl w:val="2"/>
          <w:numId w:val="85"/>
        </w:numPr>
        <w:spacing w:before="0" w:after="0" w:line="360" w:lineRule="auto"/>
        <w:ind w:left="0" w:leftChars="0" w:firstLine="402" w:firstLineChars="0"/>
      </w:pPr>
      <w:bookmarkStart w:id="432" w:name="_Toc444186092"/>
      <w:bookmarkStart w:id="433" w:name="_Toc23104"/>
      <w:r>
        <w:rPr>
          <w:rFonts w:hint="eastAsia"/>
        </w:rPr>
        <w:t>总体要求</w:t>
      </w:r>
      <w:bookmarkEnd w:id="432"/>
      <w:bookmarkEnd w:id="433"/>
    </w:p>
    <w:p>
      <w:pPr>
        <w:spacing w:line="360" w:lineRule="auto"/>
        <w:ind w:firstLine="480" w:firstLineChars="200"/>
        <w:rPr>
          <w:sz w:val="24"/>
          <w:szCs w:val="24"/>
        </w:rPr>
      </w:pPr>
      <w:r>
        <w:rPr>
          <w:rFonts w:hint="eastAsia"/>
          <w:sz w:val="24"/>
          <w:szCs w:val="24"/>
          <w:lang w:eastAsia="zh-CN"/>
        </w:rPr>
        <w:t>**公司</w:t>
      </w:r>
      <w:r>
        <w:rPr>
          <w:rFonts w:hint="eastAsia"/>
          <w:sz w:val="24"/>
          <w:szCs w:val="24"/>
        </w:rPr>
        <w:t>将配合该项目成立专门的培训</w:t>
      </w:r>
      <w:r>
        <w:rPr>
          <w:rFonts w:hint="eastAsia"/>
          <w:sz w:val="24"/>
          <w:szCs w:val="24"/>
          <w:lang w:eastAsia="zh-CN"/>
        </w:rPr>
        <w:t>部门</w:t>
      </w:r>
      <w:r>
        <w:rPr>
          <w:rFonts w:hint="eastAsia"/>
          <w:sz w:val="24"/>
          <w:szCs w:val="24"/>
        </w:rPr>
        <w:t>，保证培训任务的顺利完成。</w:t>
      </w:r>
    </w:p>
    <w:p>
      <w:pPr>
        <w:spacing w:line="360" w:lineRule="auto"/>
        <w:ind w:firstLine="480" w:firstLineChars="200"/>
      </w:pPr>
      <w:r>
        <w:rPr>
          <w:rFonts w:hint="eastAsia"/>
          <w:sz w:val="24"/>
          <w:szCs w:val="24"/>
          <w:lang w:eastAsia="zh-CN"/>
        </w:rPr>
        <w:t>**公司</w:t>
      </w:r>
      <w:r>
        <w:rPr>
          <w:rFonts w:hint="eastAsia"/>
          <w:sz w:val="24"/>
          <w:szCs w:val="24"/>
        </w:rPr>
        <w:t>将根据培训级别（技术培训、业务培训）选派能够胜任的培训讲师；培训教师熟练掌握所授课程的内容，授课时思路清晰、条理分明，能够突出重点，并善于归纳总结。培训前须进行培训试讲工作，由培训</w:t>
      </w:r>
      <w:r>
        <w:rPr>
          <w:rFonts w:hint="eastAsia"/>
          <w:sz w:val="24"/>
          <w:szCs w:val="24"/>
          <w:lang w:eastAsia="zh-CN"/>
        </w:rPr>
        <w:t>部门</w:t>
      </w:r>
      <w:r>
        <w:rPr>
          <w:rFonts w:hint="eastAsia"/>
          <w:sz w:val="24"/>
          <w:szCs w:val="24"/>
        </w:rPr>
        <w:t>负责人、培训</w:t>
      </w:r>
      <w:r>
        <w:rPr>
          <w:rFonts w:hint="eastAsia"/>
          <w:sz w:val="24"/>
          <w:szCs w:val="24"/>
          <w:lang w:eastAsia="zh-CN"/>
        </w:rPr>
        <w:t>部门</w:t>
      </w:r>
      <w:r>
        <w:rPr>
          <w:rFonts w:hint="eastAsia"/>
          <w:sz w:val="24"/>
          <w:szCs w:val="24"/>
        </w:rPr>
        <w:t>项目经理等组成评价组，对培训教师的授课技能、沟通能力、表达能力等进行综合评价。</w:t>
      </w:r>
    </w:p>
    <w:p>
      <w:pPr>
        <w:pStyle w:val="4"/>
        <w:numPr>
          <w:ilvl w:val="2"/>
          <w:numId w:val="85"/>
        </w:numPr>
        <w:spacing w:before="0" w:after="0" w:line="360" w:lineRule="auto"/>
        <w:ind w:left="0" w:leftChars="0" w:firstLine="402" w:firstLineChars="0"/>
      </w:pPr>
      <w:bookmarkStart w:id="434" w:name="_Toc17713"/>
      <w:bookmarkStart w:id="435" w:name="_Toc444186093"/>
      <w:r>
        <w:rPr>
          <w:rFonts w:hint="eastAsia"/>
        </w:rPr>
        <w:t>教师名单</w:t>
      </w:r>
      <w:bookmarkEnd w:id="434"/>
      <w:bookmarkEnd w:id="435"/>
    </w:p>
    <w:p>
      <w:pPr>
        <w:spacing w:line="360" w:lineRule="auto"/>
        <w:rPr>
          <w:sz w:val="24"/>
          <w:szCs w:val="24"/>
        </w:rPr>
      </w:pPr>
      <w:r>
        <w:rPr>
          <w:rFonts w:hint="eastAsia"/>
          <w:sz w:val="24"/>
          <w:szCs w:val="24"/>
        </w:rPr>
        <w:t>本项目培训教师名单如下：</w:t>
      </w:r>
    </w:p>
    <w:p>
      <w:pPr>
        <w:spacing w:line="360" w:lineRule="auto"/>
      </w:pPr>
    </w:p>
    <w:tbl>
      <w:tblPr>
        <w:tblStyle w:val="34"/>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992"/>
        <w:gridCol w:w="1488"/>
        <w:gridCol w:w="1560"/>
        <w:gridCol w:w="2020"/>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blHeader/>
        </w:trPr>
        <w:tc>
          <w:tcPr>
            <w:tcW w:w="711" w:type="dxa"/>
            <w:shd w:val="clear" w:color="auto" w:fill="EEECE1"/>
            <w:vAlign w:val="center"/>
          </w:tcPr>
          <w:p>
            <w:pPr>
              <w:spacing w:line="360" w:lineRule="auto"/>
            </w:pPr>
            <w:r>
              <w:rPr>
                <w:rFonts w:hint="eastAsia"/>
              </w:rPr>
              <w:t>序号</w:t>
            </w:r>
          </w:p>
        </w:tc>
        <w:tc>
          <w:tcPr>
            <w:tcW w:w="992" w:type="dxa"/>
            <w:shd w:val="clear" w:color="auto" w:fill="EEECE1"/>
            <w:vAlign w:val="center"/>
          </w:tcPr>
          <w:p>
            <w:pPr>
              <w:spacing w:line="360" w:lineRule="auto"/>
            </w:pPr>
            <w:r>
              <w:rPr>
                <w:rFonts w:hint="eastAsia"/>
              </w:rPr>
              <w:t>姓 名</w:t>
            </w:r>
          </w:p>
        </w:tc>
        <w:tc>
          <w:tcPr>
            <w:tcW w:w="1488" w:type="dxa"/>
            <w:shd w:val="clear" w:color="auto" w:fill="EEECE1"/>
            <w:vAlign w:val="center"/>
          </w:tcPr>
          <w:p>
            <w:pPr>
              <w:spacing w:line="360" w:lineRule="auto"/>
            </w:pPr>
            <w:r>
              <w:rPr>
                <w:rFonts w:hint="eastAsia"/>
              </w:rPr>
              <w:t>学历及学位</w:t>
            </w:r>
          </w:p>
        </w:tc>
        <w:tc>
          <w:tcPr>
            <w:tcW w:w="1560" w:type="dxa"/>
            <w:shd w:val="clear" w:color="auto" w:fill="EEECE1"/>
            <w:vAlign w:val="center"/>
          </w:tcPr>
          <w:p>
            <w:pPr>
              <w:spacing w:line="360" w:lineRule="auto"/>
            </w:pPr>
            <w:r>
              <w:rPr>
                <w:rFonts w:hint="eastAsia"/>
              </w:rPr>
              <w:t>技术职称</w:t>
            </w:r>
          </w:p>
        </w:tc>
        <w:tc>
          <w:tcPr>
            <w:tcW w:w="2020" w:type="dxa"/>
            <w:shd w:val="clear" w:color="auto" w:fill="EEECE1"/>
            <w:vAlign w:val="center"/>
          </w:tcPr>
          <w:p>
            <w:pPr>
              <w:spacing w:line="360" w:lineRule="auto"/>
            </w:pPr>
            <w:r>
              <w:rPr>
                <w:rFonts w:hint="eastAsia"/>
              </w:rPr>
              <w:t>本项目中担任职务</w:t>
            </w:r>
          </w:p>
        </w:tc>
        <w:tc>
          <w:tcPr>
            <w:tcW w:w="1842" w:type="dxa"/>
            <w:shd w:val="clear" w:color="auto" w:fill="EEECE1"/>
            <w:vAlign w:val="center"/>
          </w:tcPr>
          <w:p>
            <w:pPr>
              <w:spacing w:line="360" w:lineRule="auto"/>
            </w:pPr>
            <w:r>
              <w:rPr>
                <w:rFonts w:hint="eastAsia"/>
              </w:rPr>
              <w:t>认证情况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711"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1</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eastAsiaTheme="minorEastAsia"/>
                <w:lang w:val="en-US" w:eastAsia="zh-CN"/>
              </w:rPr>
            </w:pPr>
            <w:r>
              <w:rPr>
                <w:rFonts w:hint="eastAsia"/>
                <w:lang w:val="en-US" w:eastAsia="zh-CN"/>
              </w:rPr>
              <w:t>付少庆</w:t>
            </w:r>
          </w:p>
        </w:tc>
        <w:tc>
          <w:tcPr>
            <w:tcW w:w="1488"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eastAsiaTheme="minorEastAsia"/>
                <w:lang w:val="en-US" w:eastAsia="zh-CN"/>
              </w:rPr>
            </w:pPr>
            <w:r>
              <w:rPr>
                <w:rFonts w:hint="eastAsia"/>
                <w:lang w:val="en-US" w:eastAsia="zh-CN"/>
              </w:rPr>
              <w:t>硕士研究生</w:t>
            </w: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eastAsiaTheme="minorEastAsia"/>
                <w:lang w:val="en-US" w:eastAsia="zh-CN"/>
              </w:rPr>
            </w:pPr>
          </w:p>
        </w:tc>
        <w:tc>
          <w:tcPr>
            <w:tcW w:w="2020"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eastAsiaTheme="minorEastAsia"/>
                <w:lang w:val="en-US" w:eastAsia="zh-CN"/>
              </w:rPr>
            </w:pPr>
            <w:r>
              <w:rPr>
                <w:rFonts w:hint="eastAsia"/>
                <w:lang w:val="en-US" w:eastAsia="zh-CN"/>
              </w:rPr>
              <w:t>项目总监</w:t>
            </w:r>
          </w:p>
        </w:tc>
        <w:tc>
          <w:tcPr>
            <w:tcW w:w="1842" w:type="dxa"/>
            <w:tcBorders>
              <w:top w:val="single" w:color="auto" w:sz="4" w:space="0"/>
              <w:left w:val="single" w:color="auto" w:sz="4" w:space="0"/>
              <w:bottom w:val="single" w:color="auto" w:sz="4" w:space="0"/>
              <w:right w:val="sing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711"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2</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eastAsiaTheme="minorEastAsia"/>
                <w:lang w:val="en-US" w:eastAsia="zh-CN"/>
              </w:rPr>
            </w:pPr>
            <w:r>
              <w:rPr>
                <w:rFonts w:hint="eastAsia"/>
                <w:lang w:val="en-US" w:eastAsia="zh-CN"/>
              </w:rPr>
              <w:t>饶森林</w:t>
            </w:r>
          </w:p>
        </w:tc>
        <w:tc>
          <w:tcPr>
            <w:tcW w:w="1488"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eastAsiaTheme="minorEastAsia"/>
                <w:lang w:val="en-US" w:eastAsia="zh-CN"/>
              </w:rPr>
            </w:pPr>
            <w:r>
              <w:rPr>
                <w:rFonts w:hint="eastAsia"/>
                <w:lang w:val="en-US" w:eastAsia="zh-CN"/>
              </w:rPr>
              <w:t>本科学士</w:t>
            </w: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pPr>
          </w:p>
        </w:tc>
        <w:tc>
          <w:tcPr>
            <w:tcW w:w="202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lang w:val="en-US" w:eastAsia="zh-CN"/>
              </w:rPr>
              <w:t>产品经理</w:t>
            </w:r>
          </w:p>
        </w:tc>
        <w:tc>
          <w:tcPr>
            <w:tcW w:w="1842" w:type="dxa"/>
            <w:tcBorders>
              <w:top w:val="single" w:color="auto" w:sz="4" w:space="0"/>
              <w:left w:val="single" w:color="auto" w:sz="4" w:space="0"/>
              <w:bottom w:val="single" w:color="auto" w:sz="4" w:space="0"/>
              <w:right w:val="sing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tblHeader/>
        </w:trPr>
        <w:tc>
          <w:tcPr>
            <w:tcW w:w="711"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3</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eastAsiaTheme="minorEastAsia"/>
                <w:lang w:val="en-US" w:eastAsia="zh-CN"/>
              </w:rPr>
            </w:pPr>
            <w:r>
              <w:rPr>
                <w:rFonts w:hint="eastAsia"/>
                <w:lang w:val="en-US" w:eastAsia="zh-CN"/>
              </w:rPr>
              <w:t>邸建峰</w:t>
            </w:r>
          </w:p>
        </w:tc>
        <w:tc>
          <w:tcPr>
            <w:tcW w:w="1488"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eastAsiaTheme="minorEastAsia"/>
                <w:lang w:val="en-US" w:eastAsia="zh-CN"/>
              </w:rPr>
            </w:pPr>
            <w:r>
              <w:rPr>
                <w:rFonts w:hint="eastAsia"/>
                <w:lang w:val="en-US" w:eastAsia="zh-CN"/>
              </w:rPr>
              <w:t>本科学士</w:t>
            </w: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pPr>
          </w:p>
        </w:tc>
        <w:tc>
          <w:tcPr>
            <w:tcW w:w="2020"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eastAsiaTheme="minorEastAsia"/>
                <w:lang w:val="en-US" w:eastAsia="zh-CN"/>
              </w:rPr>
            </w:pPr>
            <w:r>
              <w:rPr>
                <w:rFonts w:hint="eastAsia"/>
                <w:lang w:val="en-US" w:eastAsia="zh-CN"/>
              </w:rPr>
              <w:t>实施经理</w:t>
            </w:r>
          </w:p>
        </w:tc>
        <w:tc>
          <w:tcPr>
            <w:tcW w:w="1842" w:type="dxa"/>
            <w:tcBorders>
              <w:top w:val="single" w:color="auto" w:sz="4" w:space="0"/>
              <w:left w:val="single" w:color="auto" w:sz="4" w:space="0"/>
              <w:bottom w:val="single" w:color="auto" w:sz="4" w:space="0"/>
              <w:right w:val="sing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711"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4</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eastAsiaTheme="minorEastAsia"/>
                <w:lang w:val="en-US" w:eastAsia="zh-CN"/>
              </w:rPr>
            </w:pPr>
            <w:r>
              <w:rPr>
                <w:rFonts w:hint="eastAsia"/>
                <w:lang w:val="en-US" w:eastAsia="zh-CN"/>
              </w:rPr>
              <w:t>贾文和</w:t>
            </w:r>
          </w:p>
        </w:tc>
        <w:tc>
          <w:tcPr>
            <w:tcW w:w="1488"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eastAsiaTheme="minorEastAsia"/>
                <w:lang w:val="en-US" w:eastAsia="zh-CN"/>
              </w:rPr>
            </w:pPr>
            <w:r>
              <w:rPr>
                <w:rFonts w:hint="eastAsia"/>
                <w:lang w:val="en-US" w:eastAsia="zh-CN"/>
              </w:rPr>
              <w:t>本科学士</w:t>
            </w: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pPr>
          </w:p>
        </w:tc>
        <w:tc>
          <w:tcPr>
            <w:tcW w:w="2020"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eastAsiaTheme="minorEastAsia"/>
                <w:lang w:val="en-US" w:eastAsia="zh-CN"/>
              </w:rPr>
            </w:pPr>
            <w:r>
              <w:rPr>
                <w:rFonts w:hint="eastAsia"/>
                <w:lang w:val="en-US" w:eastAsia="zh-CN"/>
              </w:rPr>
              <w:t>架构师</w:t>
            </w:r>
          </w:p>
        </w:tc>
        <w:tc>
          <w:tcPr>
            <w:tcW w:w="1842" w:type="dxa"/>
            <w:tcBorders>
              <w:top w:val="single" w:color="auto" w:sz="4" w:space="0"/>
              <w:left w:val="single" w:color="auto" w:sz="4" w:space="0"/>
              <w:bottom w:val="single" w:color="auto" w:sz="4" w:space="0"/>
              <w:right w:val="sing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711"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5</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pPr>
          </w:p>
        </w:tc>
        <w:tc>
          <w:tcPr>
            <w:tcW w:w="1488" w:type="dxa"/>
            <w:tcBorders>
              <w:top w:val="single" w:color="auto" w:sz="4" w:space="0"/>
              <w:left w:val="single" w:color="auto" w:sz="4" w:space="0"/>
              <w:bottom w:val="single" w:color="auto" w:sz="4" w:space="0"/>
              <w:right w:val="single" w:color="auto" w:sz="4" w:space="0"/>
            </w:tcBorders>
            <w:vAlign w:val="center"/>
          </w:tcPr>
          <w:p>
            <w:pPr>
              <w:spacing w:line="360" w:lineRule="auto"/>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pPr>
          </w:p>
        </w:tc>
        <w:tc>
          <w:tcPr>
            <w:tcW w:w="2020" w:type="dxa"/>
            <w:tcBorders>
              <w:top w:val="single" w:color="auto" w:sz="4" w:space="0"/>
              <w:left w:val="single" w:color="auto" w:sz="4" w:space="0"/>
              <w:bottom w:val="single" w:color="auto" w:sz="4" w:space="0"/>
              <w:right w:val="single" w:color="auto" w:sz="4" w:space="0"/>
            </w:tcBorders>
            <w:vAlign w:val="center"/>
          </w:tcPr>
          <w:p>
            <w:pPr>
              <w:spacing w:line="360" w:lineRule="auto"/>
            </w:pPr>
          </w:p>
        </w:tc>
        <w:tc>
          <w:tcPr>
            <w:tcW w:w="1842" w:type="dxa"/>
            <w:tcBorders>
              <w:top w:val="single" w:color="auto" w:sz="4" w:space="0"/>
              <w:left w:val="single" w:color="auto" w:sz="4" w:space="0"/>
              <w:bottom w:val="single" w:color="auto" w:sz="4" w:space="0"/>
              <w:right w:val="single" w:color="auto" w:sz="4" w:space="0"/>
            </w:tcBorders>
            <w:vAlign w:val="center"/>
          </w:tcPr>
          <w:p>
            <w:pPr>
              <w:spacing w:line="360" w:lineRule="auto"/>
            </w:pPr>
          </w:p>
        </w:tc>
      </w:tr>
    </w:tbl>
    <w:p>
      <w:pPr>
        <w:spacing w:line="360" w:lineRule="auto"/>
        <w:ind w:firstLine="420" w:firstLineChars="200"/>
        <w:rPr>
          <w:rFonts w:hint="eastAsia"/>
        </w:rPr>
      </w:pPr>
    </w:p>
    <w:p>
      <w:pPr>
        <w:pStyle w:val="3"/>
        <w:numPr>
          <w:ilvl w:val="1"/>
          <w:numId w:val="85"/>
        </w:numPr>
        <w:spacing w:before="0" w:after="0" w:line="360" w:lineRule="auto"/>
        <w:ind w:left="0" w:leftChars="0" w:firstLine="402" w:firstLineChars="0"/>
      </w:pPr>
      <w:bookmarkStart w:id="436" w:name="_Toc444186095"/>
      <w:bookmarkStart w:id="437" w:name="_Toc20310"/>
      <w:r>
        <w:rPr>
          <w:rFonts w:hint="eastAsia"/>
        </w:rPr>
        <w:t>培训教材</w:t>
      </w:r>
      <w:bookmarkEnd w:id="436"/>
      <w:bookmarkEnd w:id="437"/>
    </w:p>
    <w:p>
      <w:pPr>
        <w:pStyle w:val="4"/>
        <w:numPr>
          <w:ilvl w:val="2"/>
          <w:numId w:val="85"/>
        </w:numPr>
        <w:spacing w:before="0" w:after="0" w:line="360" w:lineRule="auto"/>
        <w:ind w:left="0" w:leftChars="0" w:firstLine="402" w:firstLineChars="0"/>
      </w:pPr>
      <w:bookmarkStart w:id="438" w:name="_Toc2925"/>
      <w:bookmarkStart w:id="439" w:name="_Toc444186096"/>
      <w:r>
        <w:rPr>
          <w:rFonts w:hint="eastAsia"/>
        </w:rPr>
        <w:t>总体要求</w:t>
      </w:r>
      <w:bookmarkEnd w:id="438"/>
      <w:bookmarkEnd w:id="439"/>
    </w:p>
    <w:p>
      <w:pPr>
        <w:spacing w:line="360" w:lineRule="auto"/>
        <w:ind w:firstLine="480" w:firstLineChars="200"/>
        <w:rPr>
          <w:sz w:val="24"/>
          <w:szCs w:val="24"/>
        </w:rPr>
      </w:pPr>
      <w:r>
        <w:rPr>
          <w:rFonts w:hint="eastAsia"/>
          <w:sz w:val="24"/>
          <w:szCs w:val="24"/>
          <w:lang w:eastAsia="zh-CN"/>
        </w:rPr>
        <w:t>**公司</w:t>
      </w:r>
      <w:r>
        <w:rPr>
          <w:rFonts w:hint="eastAsia"/>
          <w:sz w:val="24"/>
          <w:szCs w:val="24"/>
        </w:rPr>
        <w:t>将结合培训目标和项目实际情况提前编制相应的电子版培训教材，不同的教材适用于不同的培训对象；</w:t>
      </w:r>
    </w:p>
    <w:p>
      <w:pPr>
        <w:spacing w:line="360" w:lineRule="auto"/>
        <w:ind w:firstLine="480" w:firstLineChars="200"/>
        <w:rPr>
          <w:sz w:val="24"/>
          <w:szCs w:val="24"/>
        </w:rPr>
      </w:pPr>
      <w:r>
        <w:rPr>
          <w:rFonts w:hint="eastAsia"/>
          <w:sz w:val="24"/>
          <w:szCs w:val="24"/>
        </w:rPr>
        <w:t>在编制的培训教材中，将包含该系统详细的操作手册及相关培训文档（包括PPT格式的课件）；</w:t>
      </w:r>
    </w:p>
    <w:p>
      <w:pPr>
        <w:spacing w:line="360" w:lineRule="auto"/>
        <w:ind w:firstLine="480" w:firstLineChars="200"/>
        <w:rPr>
          <w:sz w:val="24"/>
          <w:szCs w:val="24"/>
        </w:rPr>
      </w:pPr>
      <w:r>
        <w:rPr>
          <w:rFonts w:hint="eastAsia"/>
          <w:sz w:val="24"/>
          <w:szCs w:val="24"/>
        </w:rPr>
        <w:t>编写的所有培训教材在投入使用前，需先经招标人审核，并按照审核意见进行修改完善，确保最终通过审核；</w:t>
      </w:r>
    </w:p>
    <w:p>
      <w:pPr>
        <w:spacing w:line="360" w:lineRule="auto"/>
        <w:ind w:firstLine="480" w:firstLineChars="200"/>
      </w:pPr>
      <w:r>
        <w:rPr>
          <w:rFonts w:hint="eastAsia"/>
          <w:sz w:val="24"/>
          <w:szCs w:val="24"/>
        </w:rPr>
        <w:t>培训时教材数量按参加人数的120％提供。由</w:t>
      </w:r>
      <w:r>
        <w:rPr>
          <w:rFonts w:hint="eastAsia"/>
          <w:sz w:val="24"/>
          <w:szCs w:val="24"/>
          <w:lang w:eastAsia="zh-CN"/>
        </w:rPr>
        <w:t>**公司</w:t>
      </w:r>
      <w:r>
        <w:rPr>
          <w:rFonts w:hint="eastAsia"/>
          <w:sz w:val="24"/>
          <w:szCs w:val="24"/>
        </w:rPr>
        <w:t>提供</w:t>
      </w:r>
      <w:r>
        <w:rPr>
          <w:rFonts w:hint="eastAsia"/>
        </w:rPr>
        <w:t>。</w:t>
      </w:r>
    </w:p>
    <w:p>
      <w:pPr>
        <w:pStyle w:val="4"/>
        <w:numPr>
          <w:ilvl w:val="2"/>
          <w:numId w:val="85"/>
        </w:numPr>
        <w:spacing w:before="0" w:after="0" w:line="360" w:lineRule="auto"/>
        <w:ind w:left="0" w:leftChars="0" w:firstLine="402" w:firstLineChars="0"/>
      </w:pPr>
      <w:bookmarkStart w:id="440" w:name="_Toc444186097"/>
      <w:bookmarkStart w:id="441" w:name="_Toc21827"/>
      <w:r>
        <w:rPr>
          <w:rFonts w:hint="eastAsia"/>
        </w:rPr>
        <w:t>教材名称</w:t>
      </w:r>
      <w:bookmarkEnd w:id="440"/>
      <w:bookmarkEnd w:id="441"/>
    </w:p>
    <w:p>
      <w:pPr>
        <w:pStyle w:val="5"/>
        <w:numPr>
          <w:ilvl w:val="3"/>
          <w:numId w:val="0"/>
        </w:numPr>
        <w:tabs>
          <w:tab w:val="left" w:pos="0"/>
        </w:tabs>
        <w:spacing w:before="0" w:after="0" w:line="360" w:lineRule="auto"/>
        <w:ind w:left="402" w:leftChars="0"/>
      </w:pPr>
      <w:bookmarkStart w:id="442" w:name="_Toc444186098"/>
      <w:bookmarkStart w:id="443" w:name="_Toc5222"/>
      <w:r>
        <w:rPr>
          <w:rFonts w:hint="eastAsia"/>
        </w:rPr>
        <w:t>2.1培训资料清单</w:t>
      </w:r>
      <w:bookmarkEnd w:id="442"/>
      <w:bookmarkEnd w:id="443"/>
    </w:p>
    <w:tbl>
      <w:tblPr>
        <w:tblStyle w:val="34"/>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4253"/>
        <w:gridCol w:w="3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29" w:type="dxa"/>
            <w:shd w:val="clear" w:color="auto" w:fill="E0E0E0"/>
            <w:vAlign w:val="center"/>
          </w:tcPr>
          <w:p>
            <w:pPr>
              <w:spacing w:line="360" w:lineRule="auto"/>
            </w:pPr>
            <w:r>
              <w:rPr>
                <w:rFonts w:hint="eastAsia"/>
              </w:rPr>
              <w:t>序号</w:t>
            </w:r>
          </w:p>
        </w:tc>
        <w:tc>
          <w:tcPr>
            <w:tcW w:w="4253" w:type="dxa"/>
            <w:shd w:val="clear" w:color="auto" w:fill="E0E0E0"/>
            <w:vAlign w:val="center"/>
          </w:tcPr>
          <w:p>
            <w:pPr>
              <w:spacing w:line="360" w:lineRule="auto"/>
            </w:pPr>
            <w:r>
              <w:rPr>
                <w:rFonts w:hint="eastAsia"/>
              </w:rPr>
              <w:t>资料名称</w:t>
            </w:r>
          </w:p>
        </w:tc>
        <w:tc>
          <w:tcPr>
            <w:tcW w:w="3346" w:type="dxa"/>
            <w:shd w:val="clear" w:color="auto" w:fill="E0E0E0"/>
            <w:vAlign w:val="center"/>
          </w:tcPr>
          <w:p>
            <w:pPr>
              <w:spacing w:line="360" w:lineRule="auto"/>
            </w:pPr>
            <w:r>
              <w:rPr>
                <w:rFonts w:hint="eastAsia"/>
              </w:rPr>
              <w:t>介质形式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vAlign w:val="center"/>
          </w:tcPr>
          <w:p>
            <w:pPr>
              <w:spacing w:line="360" w:lineRule="auto"/>
            </w:pPr>
            <w:r>
              <w:rPr>
                <w:rFonts w:hint="eastAsia"/>
              </w:rPr>
              <w:t>1</w:t>
            </w:r>
          </w:p>
        </w:tc>
        <w:tc>
          <w:tcPr>
            <w:tcW w:w="4253" w:type="dxa"/>
          </w:tcPr>
          <w:p>
            <w:pPr>
              <w:spacing w:line="360" w:lineRule="auto"/>
            </w:pPr>
            <w:r>
              <w:rPr>
                <w:rFonts w:hint="eastAsia"/>
                <w:lang w:eastAsia="zh-CN"/>
              </w:rPr>
              <w:t>xx</w:t>
            </w:r>
            <w:r>
              <w:rPr>
                <w:rFonts w:hint="eastAsia"/>
              </w:rPr>
              <w:t>集团有限公司电子收费分公司发票管理系统用户手册</w:t>
            </w:r>
          </w:p>
        </w:tc>
        <w:tc>
          <w:tcPr>
            <w:tcW w:w="3346" w:type="dxa"/>
          </w:tcPr>
          <w:p>
            <w:pPr>
              <w:spacing w:line="360" w:lineRule="auto"/>
            </w:pPr>
            <w:r>
              <w:rPr>
                <w:rFonts w:hint="eastAsia"/>
              </w:rPr>
              <w:t>电子版、印刷品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vAlign w:val="center"/>
          </w:tcPr>
          <w:p>
            <w:pPr>
              <w:spacing w:line="360" w:lineRule="auto"/>
            </w:pPr>
            <w:r>
              <w:rPr>
                <w:rFonts w:hint="eastAsia"/>
              </w:rPr>
              <w:t>2</w:t>
            </w:r>
          </w:p>
        </w:tc>
        <w:tc>
          <w:tcPr>
            <w:tcW w:w="4253" w:type="dxa"/>
          </w:tcPr>
          <w:p>
            <w:pPr>
              <w:spacing w:line="360" w:lineRule="auto"/>
            </w:pPr>
            <w:r>
              <w:rPr>
                <w:rFonts w:hint="eastAsia"/>
                <w:lang w:eastAsia="zh-CN"/>
              </w:rPr>
              <w:t>xx</w:t>
            </w:r>
            <w:r>
              <w:rPr>
                <w:rFonts w:hint="eastAsia"/>
              </w:rPr>
              <w:t>集团有限公司电子收费分公司发票管理系统维护手册</w:t>
            </w:r>
          </w:p>
        </w:tc>
        <w:tc>
          <w:tcPr>
            <w:tcW w:w="3346" w:type="dxa"/>
          </w:tcPr>
          <w:p>
            <w:pPr>
              <w:spacing w:line="360" w:lineRule="auto"/>
            </w:pPr>
            <w:r>
              <w:rPr>
                <w:rFonts w:hint="eastAsia"/>
              </w:rPr>
              <w:t>电子版、印刷品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vAlign w:val="center"/>
          </w:tcPr>
          <w:p>
            <w:pPr>
              <w:spacing w:line="360" w:lineRule="auto"/>
            </w:pPr>
            <w:r>
              <w:rPr>
                <w:rFonts w:hint="eastAsia"/>
              </w:rPr>
              <w:t>3</w:t>
            </w:r>
          </w:p>
        </w:tc>
        <w:tc>
          <w:tcPr>
            <w:tcW w:w="4253" w:type="dxa"/>
          </w:tcPr>
          <w:p>
            <w:pPr>
              <w:spacing w:line="360" w:lineRule="auto"/>
            </w:pPr>
            <w:r>
              <w:rPr>
                <w:rFonts w:hint="eastAsia"/>
                <w:lang w:eastAsia="zh-CN"/>
              </w:rPr>
              <w:t>xx</w:t>
            </w:r>
            <w:r>
              <w:rPr>
                <w:rFonts w:hint="eastAsia"/>
              </w:rPr>
              <w:t>集团有限公司电子收费分公司发票管理系统操作常见问题</w:t>
            </w:r>
          </w:p>
        </w:tc>
        <w:tc>
          <w:tcPr>
            <w:tcW w:w="3346" w:type="dxa"/>
          </w:tcPr>
          <w:p>
            <w:pPr>
              <w:spacing w:line="360" w:lineRule="auto"/>
            </w:pPr>
            <w:r>
              <w:rPr>
                <w:rFonts w:hint="eastAsia"/>
              </w:rPr>
              <w:t>电子版、印刷品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vAlign w:val="center"/>
          </w:tcPr>
          <w:p>
            <w:pPr>
              <w:spacing w:line="360" w:lineRule="auto"/>
              <w:rPr>
                <w:rFonts w:hint="eastAsia" w:eastAsiaTheme="minorEastAsia"/>
                <w:lang w:eastAsia="zh-CN"/>
              </w:rPr>
            </w:pPr>
            <w:r>
              <w:rPr>
                <w:rFonts w:hint="eastAsia"/>
                <w:lang w:val="en-US" w:eastAsia="zh-CN"/>
              </w:rPr>
              <w:t>5</w:t>
            </w:r>
          </w:p>
        </w:tc>
        <w:tc>
          <w:tcPr>
            <w:tcW w:w="4253" w:type="dxa"/>
          </w:tcPr>
          <w:p>
            <w:pPr>
              <w:spacing w:line="360" w:lineRule="auto"/>
            </w:pPr>
            <w:r>
              <w:rPr>
                <w:rFonts w:hint="eastAsia"/>
              </w:rPr>
              <w:t>软件安装部署实施手册</w:t>
            </w:r>
          </w:p>
        </w:tc>
        <w:tc>
          <w:tcPr>
            <w:tcW w:w="3346" w:type="dxa"/>
          </w:tcPr>
          <w:p>
            <w:pPr>
              <w:spacing w:line="360" w:lineRule="auto"/>
            </w:pPr>
            <w:r>
              <w:rPr>
                <w:rFonts w:hint="eastAsia"/>
              </w:rPr>
              <w:t>电子版、印刷品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vAlign w:val="center"/>
          </w:tcPr>
          <w:p>
            <w:pPr>
              <w:spacing w:line="360" w:lineRule="auto"/>
              <w:rPr>
                <w:rFonts w:hint="eastAsia" w:eastAsiaTheme="minorEastAsia"/>
                <w:lang w:eastAsia="zh-CN"/>
              </w:rPr>
            </w:pPr>
            <w:r>
              <w:rPr>
                <w:rFonts w:hint="eastAsia"/>
                <w:lang w:val="en-US" w:eastAsia="zh-CN"/>
              </w:rPr>
              <w:t>6</w:t>
            </w:r>
          </w:p>
        </w:tc>
        <w:tc>
          <w:tcPr>
            <w:tcW w:w="4253" w:type="dxa"/>
          </w:tcPr>
          <w:p>
            <w:pPr>
              <w:spacing w:line="360" w:lineRule="auto"/>
            </w:pPr>
            <w:r>
              <w:rPr>
                <w:rFonts w:hint="eastAsia"/>
              </w:rPr>
              <w:t>接口规范技术手册</w:t>
            </w:r>
          </w:p>
        </w:tc>
        <w:tc>
          <w:tcPr>
            <w:tcW w:w="3346" w:type="dxa"/>
          </w:tcPr>
          <w:p>
            <w:pPr>
              <w:spacing w:line="360" w:lineRule="auto"/>
            </w:pPr>
            <w:r>
              <w:rPr>
                <w:rFonts w:hint="eastAsia"/>
              </w:rPr>
              <w:t>电子版、印刷品</w:t>
            </w:r>
          </w:p>
        </w:tc>
      </w:tr>
    </w:tbl>
    <w:p>
      <w:pPr>
        <w:spacing w:line="360" w:lineRule="auto"/>
      </w:pPr>
    </w:p>
    <w:p>
      <w:pPr>
        <w:pStyle w:val="5"/>
        <w:numPr>
          <w:ilvl w:val="3"/>
          <w:numId w:val="0"/>
        </w:numPr>
        <w:tabs>
          <w:tab w:val="left" w:pos="0"/>
        </w:tabs>
        <w:spacing w:before="0" w:after="0" w:line="360" w:lineRule="auto"/>
        <w:ind w:left="402" w:leftChars="0"/>
      </w:pPr>
      <w:bookmarkStart w:id="444" w:name="_Toc444186099"/>
      <w:bookmarkStart w:id="445" w:name="_Toc31805"/>
      <w:r>
        <w:rPr>
          <w:rFonts w:hint="eastAsia"/>
        </w:rPr>
        <w:t>2.2业务培训资料清单</w:t>
      </w:r>
      <w:bookmarkEnd w:id="444"/>
      <w:bookmarkEnd w:id="445"/>
    </w:p>
    <w:tbl>
      <w:tblPr>
        <w:tblStyle w:val="34"/>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748"/>
        <w:gridCol w:w="5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47" w:type="dxa"/>
            <w:shd w:val="clear" w:color="auto" w:fill="E0E0E0"/>
            <w:vAlign w:val="center"/>
          </w:tcPr>
          <w:p>
            <w:pPr>
              <w:spacing w:line="360" w:lineRule="auto"/>
            </w:pPr>
            <w:r>
              <w:rPr>
                <w:rFonts w:hint="eastAsia"/>
              </w:rPr>
              <w:t>序号</w:t>
            </w:r>
          </w:p>
        </w:tc>
        <w:tc>
          <w:tcPr>
            <w:tcW w:w="1748" w:type="dxa"/>
            <w:shd w:val="clear" w:color="auto" w:fill="E0E0E0"/>
            <w:vAlign w:val="center"/>
          </w:tcPr>
          <w:p>
            <w:pPr>
              <w:spacing w:line="360" w:lineRule="auto"/>
            </w:pPr>
            <w:r>
              <w:rPr>
                <w:rFonts w:hint="eastAsia"/>
              </w:rPr>
              <w:t>资料名称</w:t>
            </w:r>
          </w:p>
        </w:tc>
        <w:tc>
          <w:tcPr>
            <w:tcW w:w="5833" w:type="dxa"/>
            <w:shd w:val="clear" w:color="auto" w:fill="E0E0E0"/>
            <w:vAlign w:val="center"/>
          </w:tcPr>
          <w:p>
            <w:pPr>
              <w:spacing w:line="360" w:lineRule="auto"/>
            </w:pPr>
            <w:r>
              <w:rPr>
                <w:rFonts w:hint="eastAsia"/>
              </w:rPr>
              <w:t>资料内容介绍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7" w:type="dxa"/>
            <w:vAlign w:val="center"/>
          </w:tcPr>
          <w:p>
            <w:pPr>
              <w:spacing w:line="360" w:lineRule="auto"/>
            </w:pPr>
            <w:r>
              <w:rPr>
                <w:rFonts w:hint="eastAsia"/>
              </w:rPr>
              <w:t>1</w:t>
            </w:r>
          </w:p>
        </w:tc>
        <w:tc>
          <w:tcPr>
            <w:tcW w:w="1748" w:type="dxa"/>
          </w:tcPr>
          <w:p>
            <w:pPr>
              <w:spacing w:line="360" w:lineRule="auto"/>
            </w:pPr>
            <w:r>
              <w:rPr>
                <w:rFonts w:hint="eastAsia"/>
                <w:lang w:eastAsia="zh-CN"/>
              </w:rPr>
              <w:t>xx</w:t>
            </w:r>
            <w:r>
              <w:rPr>
                <w:rFonts w:hint="eastAsia"/>
              </w:rPr>
              <w:t>集团有限公司电子收费分公司发票管理系统用户手册</w:t>
            </w:r>
          </w:p>
        </w:tc>
        <w:tc>
          <w:tcPr>
            <w:tcW w:w="5833" w:type="dxa"/>
          </w:tcPr>
          <w:p>
            <w:pPr>
              <w:spacing w:line="360" w:lineRule="auto"/>
            </w:pPr>
            <w:r>
              <w:rPr>
                <w:rFonts w:hint="eastAsia"/>
              </w:rPr>
              <w:t>为了让招标方操作人员尽快掌握</w:t>
            </w:r>
            <w:r>
              <w:rPr>
                <w:rFonts w:hint="eastAsia"/>
                <w:lang w:eastAsia="zh-CN"/>
              </w:rPr>
              <w:t>xx</w:t>
            </w:r>
            <w:r>
              <w:rPr>
                <w:rFonts w:hint="eastAsia"/>
              </w:rPr>
              <w:t>集团有限公司电子收费分公司发票管理系统的使用方法，该手册对</w:t>
            </w:r>
            <w:r>
              <w:rPr>
                <w:rFonts w:hint="eastAsia"/>
                <w:lang w:eastAsia="zh-CN"/>
              </w:rPr>
              <w:t>xx</w:t>
            </w:r>
            <w:r>
              <w:rPr>
                <w:rFonts w:hint="eastAsia"/>
              </w:rPr>
              <w:t>集团有限公司电子收费分公司发票管理系统的各项功能和日常操作流程进行详细介绍，以简单明了的流程图及操作说明列出了用户日常操作各项功能的使用方法和注意事项。用户在日常操作中遇到的功能不清楚、操作不明确的问题，可以通过查询用户手册得到答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7" w:type="dxa"/>
            <w:vAlign w:val="center"/>
          </w:tcPr>
          <w:p>
            <w:pPr>
              <w:spacing w:line="360" w:lineRule="auto"/>
            </w:pPr>
            <w:r>
              <w:rPr>
                <w:rFonts w:hint="eastAsia"/>
              </w:rPr>
              <w:t>2</w:t>
            </w:r>
          </w:p>
        </w:tc>
        <w:tc>
          <w:tcPr>
            <w:tcW w:w="1748" w:type="dxa"/>
          </w:tcPr>
          <w:p>
            <w:pPr>
              <w:spacing w:line="360" w:lineRule="auto"/>
            </w:pPr>
            <w:r>
              <w:rPr>
                <w:rFonts w:hint="eastAsia"/>
                <w:lang w:eastAsia="zh-CN"/>
              </w:rPr>
              <w:t>xx</w:t>
            </w:r>
            <w:r>
              <w:rPr>
                <w:rFonts w:hint="eastAsia"/>
              </w:rPr>
              <w:t>集团有限公司电子收费分公司发票管理系统维护手册</w:t>
            </w:r>
          </w:p>
        </w:tc>
        <w:tc>
          <w:tcPr>
            <w:tcW w:w="5833" w:type="dxa"/>
          </w:tcPr>
          <w:p>
            <w:pPr>
              <w:spacing w:line="360" w:lineRule="auto"/>
            </w:pPr>
            <w:r>
              <w:rPr>
                <w:rFonts w:hint="eastAsia"/>
                <w:lang w:eastAsia="zh-CN"/>
              </w:rPr>
              <w:t>xx</w:t>
            </w:r>
            <w:r>
              <w:rPr>
                <w:rFonts w:hint="eastAsia"/>
              </w:rPr>
              <w:t>集团有限公司电子收费分公司发票管理系统总体架构、工作原理、程序实现、数据库结构、功能菜单和数据库之间的关系等进行详细说明，并对</w:t>
            </w:r>
            <w:r>
              <w:rPr>
                <w:rFonts w:hint="eastAsia"/>
                <w:lang w:eastAsia="zh-CN"/>
              </w:rPr>
              <w:t>xx</w:t>
            </w:r>
            <w:r>
              <w:rPr>
                <w:rFonts w:hint="eastAsia"/>
              </w:rPr>
              <w:t>集团有限公司电子收费分公司发票管理系统日常运维过程中可能出现的问题进行分析，提供排查问题的思路和解决问题的方法。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7" w:type="dxa"/>
            <w:vAlign w:val="center"/>
          </w:tcPr>
          <w:p>
            <w:pPr>
              <w:spacing w:line="360" w:lineRule="auto"/>
            </w:pPr>
            <w:r>
              <w:rPr>
                <w:rFonts w:hint="eastAsia"/>
              </w:rPr>
              <w:t>3</w:t>
            </w:r>
          </w:p>
        </w:tc>
        <w:tc>
          <w:tcPr>
            <w:tcW w:w="1748" w:type="dxa"/>
          </w:tcPr>
          <w:p>
            <w:pPr>
              <w:spacing w:line="360" w:lineRule="auto"/>
            </w:pPr>
            <w:r>
              <w:rPr>
                <w:rFonts w:hint="eastAsia"/>
                <w:lang w:eastAsia="zh-CN"/>
              </w:rPr>
              <w:t>xx</w:t>
            </w:r>
            <w:r>
              <w:rPr>
                <w:rFonts w:hint="eastAsia"/>
              </w:rPr>
              <w:t>集团有限公司电子收费分公司发票管理系统操作常见问题</w:t>
            </w:r>
          </w:p>
        </w:tc>
        <w:tc>
          <w:tcPr>
            <w:tcW w:w="5833" w:type="dxa"/>
          </w:tcPr>
          <w:p>
            <w:pPr>
              <w:spacing w:line="360" w:lineRule="auto"/>
            </w:pPr>
            <w:r>
              <w:rPr>
                <w:rFonts w:hint="eastAsia"/>
              </w:rPr>
              <w:t>对</w:t>
            </w:r>
            <w:r>
              <w:rPr>
                <w:rFonts w:hint="eastAsia"/>
                <w:lang w:eastAsia="zh-CN"/>
              </w:rPr>
              <w:t>xx</w:t>
            </w:r>
            <w:r>
              <w:rPr>
                <w:rFonts w:hint="eastAsia"/>
              </w:rPr>
              <w:t>集团有限公司电子收费分公司发票管理系统的常见问题进行归纳总结，详细说明问题的故障现象、系统所提示的报错信息、问题发生的原因、相关影响以及相应的解决办法。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7" w:type="dxa"/>
            <w:vAlign w:val="center"/>
          </w:tcPr>
          <w:p>
            <w:pPr>
              <w:spacing w:line="360" w:lineRule="auto"/>
            </w:pPr>
            <w:r>
              <w:rPr>
                <w:rFonts w:hint="eastAsia"/>
              </w:rPr>
              <w:t>4</w:t>
            </w:r>
          </w:p>
        </w:tc>
        <w:tc>
          <w:tcPr>
            <w:tcW w:w="1748" w:type="dxa"/>
          </w:tcPr>
          <w:p>
            <w:pPr>
              <w:spacing w:line="360" w:lineRule="auto"/>
            </w:pPr>
            <w:r>
              <w:rPr>
                <w:rFonts w:hint="eastAsia"/>
                <w:lang w:eastAsia="zh-CN"/>
              </w:rPr>
              <w:t>xx</w:t>
            </w:r>
            <w:r>
              <w:rPr>
                <w:rFonts w:hint="eastAsia"/>
              </w:rPr>
              <w:t>集团有限公司电子收费分公司发票管理系统操作培训幻灯片</w:t>
            </w:r>
          </w:p>
        </w:tc>
        <w:tc>
          <w:tcPr>
            <w:tcW w:w="5833" w:type="dxa"/>
          </w:tcPr>
          <w:p>
            <w:pPr>
              <w:spacing w:line="360" w:lineRule="auto"/>
            </w:pPr>
            <w:r>
              <w:rPr>
                <w:rFonts w:hint="eastAsia"/>
              </w:rPr>
              <w:t>对</w:t>
            </w:r>
            <w:r>
              <w:rPr>
                <w:rFonts w:hint="eastAsia"/>
                <w:lang w:eastAsia="zh-CN"/>
              </w:rPr>
              <w:t>xx</w:t>
            </w:r>
            <w:r>
              <w:rPr>
                <w:rFonts w:hint="eastAsia"/>
              </w:rPr>
              <w:t>集团有限公司电子收费分公司发票管理系统进行整体介绍，详细说明各个模块的功能，业务操作的基本流程，使用过程中的注意事项等。</w:t>
            </w:r>
          </w:p>
        </w:tc>
      </w:tr>
    </w:tbl>
    <w:p>
      <w:pPr>
        <w:spacing w:line="360" w:lineRule="auto"/>
      </w:pPr>
    </w:p>
    <w:p>
      <w:pPr>
        <w:pStyle w:val="5"/>
        <w:numPr>
          <w:ilvl w:val="3"/>
          <w:numId w:val="0"/>
        </w:numPr>
        <w:tabs>
          <w:tab w:val="left" w:pos="0"/>
        </w:tabs>
        <w:spacing w:before="0" w:after="0" w:line="360" w:lineRule="auto"/>
        <w:ind w:left="402" w:leftChars="0"/>
      </w:pPr>
      <w:bookmarkStart w:id="446" w:name="_Toc9061"/>
      <w:bookmarkStart w:id="447" w:name="_Toc444186100"/>
      <w:r>
        <w:rPr>
          <w:rFonts w:hint="eastAsia"/>
        </w:rPr>
        <w:t>2.3技术培训资料清单</w:t>
      </w:r>
      <w:bookmarkEnd w:id="446"/>
      <w:bookmarkEnd w:id="447"/>
    </w:p>
    <w:tbl>
      <w:tblPr>
        <w:tblStyle w:val="34"/>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3860"/>
        <w:gridCol w:w="3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88" w:type="dxa"/>
            <w:shd w:val="clear" w:color="auto" w:fill="E0E0E0"/>
            <w:vAlign w:val="center"/>
          </w:tcPr>
          <w:p>
            <w:pPr>
              <w:spacing w:line="360" w:lineRule="auto"/>
            </w:pPr>
            <w:r>
              <w:rPr>
                <w:rFonts w:hint="eastAsia"/>
              </w:rPr>
              <w:t>序号</w:t>
            </w:r>
          </w:p>
        </w:tc>
        <w:tc>
          <w:tcPr>
            <w:tcW w:w="3860" w:type="dxa"/>
            <w:shd w:val="clear" w:color="auto" w:fill="E0E0E0"/>
            <w:vAlign w:val="center"/>
          </w:tcPr>
          <w:p>
            <w:pPr>
              <w:spacing w:line="360" w:lineRule="auto"/>
            </w:pPr>
            <w:r>
              <w:rPr>
                <w:rFonts w:hint="eastAsia"/>
              </w:rPr>
              <w:t>资料名称</w:t>
            </w:r>
          </w:p>
        </w:tc>
        <w:tc>
          <w:tcPr>
            <w:tcW w:w="3780" w:type="dxa"/>
            <w:shd w:val="clear" w:color="auto" w:fill="E0E0E0"/>
            <w:vAlign w:val="center"/>
          </w:tcPr>
          <w:p>
            <w:pPr>
              <w:spacing w:line="360" w:lineRule="auto"/>
            </w:pPr>
            <w:r>
              <w:rPr>
                <w:rFonts w:hint="eastAsia"/>
              </w:rPr>
              <w:t>资料内容介绍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8" w:type="dxa"/>
            <w:vAlign w:val="center"/>
          </w:tcPr>
          <w:p>
            <w:pPr>
              <w:spacing w:line="360" w:lineRule="auto"/>
              <w:rPr>
                <w:rFonts w:hint="eastAsia" w:eastAsiaTheme="minorEastAsia"/>
                <w:lang w:eastAsia="zh-CN"/>
              </w:rPr>
            </w:pPr>
            <w:r>
              <w:rPr>
                <w:rFonts w:hint="eastAsia"/>
                <w:lang w:val="en-US" w:eastAsia="zh-CN"/>
              </w:rPr>
              <w:t>1</w:t>
            </w:r>
          </w:p>
        </w:tc>
        <w:tc>
          <w:tcPr>
            <w:tcW w:w="3860" w:type="dxa"/>
          </w:tcPr>
          <w:p>
            <w:pPr>
              <w:spacing w:line="360" w:lineRule="auto"/>
            </w:pPr>
            <w:r>
              <w:rPr>
                <w:rFonts w:hint="eastAsia"/>
              </w:rPr>
              <w:t>软件安装部署实施手册</w:t>
            </w:r>
          </w:p>
        </w:tc>
        <w:tc>
          <w:tcPr>
            <w:tcW w:w="3780" w:type="dxa"/>
          </w:tcPr>
          <w:p>
            <w:pPr>
              <w:spacing w:line="360" w:lineRule="auto"/>
            </w:pPr>
            <w:r>
              <w:rPr>
                <w:rFonts w:hint="eastAsia"/>
              </w:rPr>
              <w:t>对</w:t>
            </w:r>
            <w:r>
              <w:rPr>
                <w:rFonts w:hint="eastAsia"/>
                <w:lang w:eastAsia="zh-CN"/>
              </w:rPr>
              <w:t>xx</w:t>
            </w:r>
            <w:r>
              <w:rPr>
                <w:rFonts w:hint="eastAsia"/>
              </w:rPr>
              <w:t>集团有限公司电子收费分公司发票管理系统的安装部署步骤和要求进行说明，并说明如何对部署工作进行验证。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jc w:val="center"/>
        </w:trPr>
        <w:tc>
          <w:tcPr>
            <w:tcW w:w="888" w:type="dxa"/>
            <w:vAlign w:val="center"/>
          </w:tcPr>
          <w:p>
            <w:pPr>
              <w:spacing w:line="360" w:lineRule="auto"/>
              <w:rPr>
                <w:rFonts w:hint="eastAsia" w:eastAsiaTheme="minorEastAsia"/>
                <w:lang w:eastAsia="zh-CN"/>
              </w:rPr>
            </w:pPr>
            <w:r>
              <w:rPr>
                <w:rFonts w:hint="eastAsia"/>
                <w:lang w:val="en-US" w:eastAsia="zh-CN"/>
              </w:rPr>
              <w:t>2</w:t>
            </w:r>
          </w:p>
        </w:tc>
        <w:tc>
          <w:tcPr>
            <w:tcW w:w="3860" w:type="dxa"/>
          </w:tcPr>
          <w:p>
            <w:pPr>
              <w:spacing w:line="360" w:lineRule="auto"/>
            </w:pPr>
            <w:r>
              <w:rPr>
                <w:rFonts w:hint="eastAsia"/>
              </w:rPr>
              <w:t>接口规范技术手册</w:t>
            </w:r>
          </w:p>
        </w:tc>
        <w:tc>
          <w:tcPr>
            <w:tcW w:w="3780" w:type="dxa"/>
          </w:tcPr>
          <w:p>
            <w:pPr>
              <w:spacing w:line="360" w:lineRule="auto"/>
            </w:pPr>
            <w:r>
              <w:rPr>
                <w:rFonts w:hint="eastAsia"/>
              </w:rPr>
              <w:t>详细说明本系统与其他系统接口的工作原理、设计规则、实现方式等，对输入、输出相关参数进行一一说明，为相关技术人员了解本系统的相关接口提供保障。</w:t>
            </w:r>
          </w:p>
        </w:tc>
      </w:tr>
    </w:tbl>
    <w:p>
      <w:pPr>
        <w:pStyle w:val="3"/>
        <w:numPr>
          <w:ilvl w:val="1"/>
          <w:numId w:val="85"/>
        </w:numPr>
        <w:spacing w:before="0" w:after="0" w:line="360" w:lineRule="auto"/>
        <w:ind w:left="0" w:leftChars="0" w:firstLine="402" w:firstLineChars="0"/>
      </w:pPr>
      <w:bookmarkStart w:id="448" w:name="_Toc26260"/>
      <w:bookmarkStart w:id="449" w:name="_Toc444186102"/>
      <w:r>
        <w:rPr>
          <w:rFonts w:hint="eastAsia"/>
        </w:rPr>
        <w:t>培训考试</w:t>
      </w:r>
      <w:bookmarkEnd w:id="448"/>
      <w:bookmarkEnd w:id="449"/>
    </w:p>
    <w:p>
      <w:pPr>
        <w:spacing w:line="360" w:lineRule="auto"/>
        <w:ind w:firstLine="480" w:firstLineChars="200"/>
        <w:rPr>
          <w:rFonts w:hint="eastAsia"/>
          <w:sz w:val="24"/>
          <w:szCs w:val="24"/>
        </w:rPr>
      </w:pPr>
      <w:r>
        <w:rPr>
          <w:rFonts w:hint="eastAsia"/>
          <w:sz w:val="24"/>
          <w:szCs w:val="24"/>
        </w:rPr>
        <w:t>每期培训结束，由用户单位和</w:t>
      </w:r>
      <w:r>
        <w:rPr>
          <w:rFonts w:hint="eastAsia"/>
          <w:sz w:val="24"/>
          <w:szCs w:val="24"/>
          <w:lang w:eastAsia="zh-CN"/>
        </w:rPr>
        <w:t>**公司</w:t>
      </w:r>
      <w:r>
        <w:rPr>
          <w:rFonts w:hint="eastAsia"/>
          <w:sz w:val="24"/>
          <w:szCs w:val="24"/>
        </w:rPr>
        <w:t>双方共同组织对学员的考试，培训拟采用笔试的考核方式，培训合格率应达到100%，对不合格学员将重新培训重新考试，最终确保全部学员掌握学习内容，通过考核。</w:t>
      </w:r>
      <w:bookmarkStart w:id="450" w:name="_Toc444186107"/>
    </w:p>
    <w:p>
      <w:pPr>
        <w:pStyle w:val="3"/>
        <w:numPr>
          <w:ilvl w:val="1"/>
          <w:numId w:val="85"/>
        </w:numPr>
        <w:spacing w:before="0" w:after="0" w:line="360" w:lineRule="auto"/>
        <w:ind w:left="0" w:leftChars="0" w:firstLine="402" w:firstLineChars="0"/>
        <w:rPr>
          <w:rFonts w:hint="eastAsia"/>
        </w:rPr>
      </w:pPr>
      <w:bookmarkStart w:id="451" w:name="_Toc13568"/>
      <w:r>
        <w:rPr>
          <w:rFonts w:hint="eastAsia"/>
        </w:rPr>
        <w:t>培训服务流程和规范</w:t>
      </w:r>
      <w:bookmarkEnd w:id="450"/>
      <w:bookmarkEnd w:id="451"/>
    </w:p>
    <w:p>
      <w:pPr>
        <w:pStyle w:val="4"/>
        <w:numPr>
          <w:ilvl w:val="2"/>
          <w:numId w:val="85"/>
        </w:numPr>
        <w:spacing w:before="0" w:after="0" w:line="360" w:lineRule="auto"/>
        <w:ind w:left="0" w:leftChars="0" w:firstLine="402" w:firstLineChars="0"/>
      </w:pPr>
      <w:bookmarkStart w:id="452" w:name="_Toc31747"/>
      <w:bookmarkStart w:id="453" w:name="_Toc444186108"/>
      <w:r>
        <w:rPr>
          <w:rFonts w:hint="eastAsia"/>
        </w:rPr>
        <w:t>培训服务流程</w:t>
      </w:r>
      <w:bookmarkEnd w:id="452"/>
      <w:bookmarkEnd w:id="453"/>
    </w:p>
    <w:p>
      <w:pPr>
        <w:spacing w:line="360" w:lineRule="auto"/>
      </w:pPr>
      <w:r>
        <w:drawing>
          <wp:inline distT="0" distB="0" distL="0" distR="0">
            <wp:extent cx="4345940" cy="7305675"/>
            <wp:effectExtent l="0" t="0" r="12700" b="9525"/>
            <wp:docPr id="4614" name="图片 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 name="图片 46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4345940" cy="7305675"/>
                    </a:xfrm>
                    <a:prstGeom prst="rect">
                      <a:avLst/>
                    </a:prstGeom>
                    <a:noFill/>
                    <a:ln>
                      <a:noFill/>
                    </a:ln>
                  </pic:spPr>
                </pic:pic>
              </a:graphicData>
            </a:graphic>
          </wp:inline>
        </w:drawing>
      </w:r>
    </w:p>
    <w:p>
      <w:pPr>
        <w:spacing w:line="360" w:lineRule="auto"/>
        <w:jc w:val="center"/>
      </w:pPr>
      <w:r>
        <w:rPr>
          <w:rFonts w:hint="eastAsia"/>
        </w:rPr>
        <w:t>培训服务流程</w:t>
      </w:r>
    </w:p>
    <w:p>
      <w:pPr>
        <w:pStyle w:val="4"/>
        <w:numPr>
          <w:ilvl w:val="2"/>
          <w:numId w:val="85"/>
        </w:numPr>
        <w:spacing w:before="0" w:after="0" w:line="360" w:lineRule="auto"/>
        <w:ind w:left="0" w:leftChars="0" w:firstLine="402" w:firstLineChars="0"/>
      </w:pPr>
      <w:bookmarkStart w:id="454" w:name="_Toc444186109"/>
      <w:bookmarkStart w:id="455" w:name="_Toc24983"/>
      <w:r>
        <w:rPr>
          <w:rFonts w:hint="eastAsia"/>
        </w:rPr>
        <w:t>培训总体流程说明</w:t>
      </w:r>
      <w:bookmarkEnd w:id="454"/>
      <w:bookmarkEnd w:id="455"/>
    </w:p>
    <w:tbl>
      <w:tblPr>
        <w:tblStyle w:val="34"/>
        <w:tblW w:w="8460" w:type="dxa"/>
        <w:tblInd w:w="93" w:type="dxa"/>
        <w:tblLayout w:type="fixed"/>
        <w:tblCellMar>
          <w:top w:w="0" w:type="dxa"/>
          <w:left w:w="108" w:type="dxa"/>
          <w:bottom w:w="0" w:type="dxa"/>
          <w:right w:w="108" w:type="dxa"/>
        </w:tblCellMar>
      </w:tblPr>
      <w:tblGrid>
        <w:gridCol w:w="724"/>
        <w:gridCol w:w="1476"/>
        <w:gridCol w:w="1220"/>
        <w:gridCol w:w="3020"/>
        <w:gridCol w:w="2020"/>
      </w:tblGrid>
      <w:tr>
        <w:tblPrEx>
          <w:tblLayout w:type="fixed"/>
          <w:tblCellMar>
            <w:top w:w="0" w:type="dxa"/>
            <w:left w:w="108" w:type="dxa"/>
            <w:bottom w:w="0" w:type="dxa"/>
            <w:right w:w="108" w:type="dxa"/>
          </w:tblCellMar>
        </w:tblPrEx>
        <w:trPr>
          <w:trHeight w:val="285" w:hRule="atLeast"/>
          <w:tblHeader/>
        </w:trPr>
        <w:tc>
          <w:tcPr>
            <w:tcW w:w="724" w:type="dxa"/>
            <w:tcBorders>
              <w:top w:val="single" w:color="auto" w:sz="4" w:space="0"/>
              <w:left w:val="single" w:color="auto" w:sz="4" w:space="0"/>
              <w:bottom w:val="single" w:color="auto" w:sz="4" w:space="0"/>
              <w:right w:val="single" w:color="auto" w:sz="4" w:space="0"/>
            </w:tcBorders>
            <w:shd w:val="clear" w:color="auto" w:fill="E0E0E0"/>
            <w:vAlign w:val="center"/>
          </w:tcPr>
          <w:p>
            <w:pPr>
              <w:spacing w:line="360" w:lineRule="auto"/>
            </w:pPr>
            <w:r>
              <w:rPr>
                <w:rFonts w:hint="eastAsia"/>
              </w:rPr>
              <w:t>序号</w:t>
            </w:r>
          </w:p>
        </w:tc>
        <w:tc>
          <w:tcPr>
            <w:tcW w:w="1476" w:type="dxa"/>
            <w:tcBorders>
              <w:top w:val="single" w:color="auto" w:sz="4" w:space="0"/>
              <w:left w:val="nil"/>
              <w:bottom w:val="single" w:color="auto" w:sz="4" w:space="0"/>
              <w:right w:val="single" w:color="auto" w:sz="4" w:space="0"/>
            </w:tcBorders>
            <w:shd w:val="clear" w:color="auto" w:fill="E0E0E0"/>
            <w:vAlign w:val="center"/>
          </w:tcPr>
          <w:p>
            <w:pPr>
              <w:spacing w:line="360" w:lineRule="auto"/>
            </w:pPr>
            <w:r>
              <w:rPr>
                <w:rFonts w:hint="eastAsia"/>
              </w:rPr>
              <w:t>节点</w:t>
            </w:r>
          </w:p>
        </w:tc>
        <w:tc>
          <w:tcPr>
            <w:tcW w:w="1220" w:type="dxa"/>
            <w:tcBorders>
              <w:top w:val="single" w:color="auto" w:sz="4" w:space="0"/>
              <w:left w:val="nil"/>
              <w:bottom w:val="single" w:color="auto" w:sz="4" w:space="0"/>
              <w:right w:val="single" w:color="auto" w:sz="4" w:space="0"/>
            </w:tcBorders>
            <w:shd w:val="clear" w:color="auto" w:fill="E0E0E0"/>
            <w:vAlign w:val="center"/>
          </w:tcPr>
          <w:p>
            <w:pPr>
              <w:spacing w:line="360" w:lineRule="auto"/>
            </w:pPr>
            <w:r>
              <w:rPr>
                <w:rFonts w:hint="eastAsia"/>
              </w:rPr>
              <w:t>责任人</w:t>
            </w:r>
          </w:p>
        </w:tc>
        <w:tc>
          <w:tcPr>
            <w:tcW w:w="3020" w:type="dxa"/>
            <w:tcBorders>
              <w:top w:val="single" w:color="auto" w:sz="4" w:space="0"/>
              <w:left w:val="nil"/>
              <w:bottom w:val="single" w:color="auto" w:sz="4" w:space="0"/>
              <w:right w:val="single" w:color="auto" w:sz="4" w:space="0"/>
            </w:tcBorders>
            <w:shd w:val="clear" w:color="auto" w:fill="E0E0E0"/>
            <w:vAlign w:val="center"/>
          </w:tcPr>
          <w:p>
            <w:pPr>
              <w:spacing w:line="360" w:lineRule="auto"/>
            </w:pPr>
            <w:r>
              <w:rPr>
                <w:rFonts w:hint="eastAsia"/>
              </w:rPr>
              <w:t>相关说明</w:t>
            </w:r>
          </w:p>
        </w:tc>
        <w:tc>
          <w:tcPr>
            <w:tcW w:w="2020" w:type="dxa"/>
            <w:tcBorders>
              <w:top w:val="single" w:color="auto" w:sz="4" w:space="0"/>
              <w:left w:val="nil"/>
              <w:bottom w:val="single" w:color="auto" w:sz="4" w:space="0"/>
              <w:right w:val="single" w:color="auto" w:sz="4" w:space="0"/>
            </w:tcBorders>
            <w:shd w:val="clear" w:color="auto" w:fill="E0E0E0"/>
            <w:vAlign w:val="center"/>
          </w:tcPr>
          <w:p>
            <w:pPr>
              <w:spacing w:line="360" w:lineRule="auto"/>
            </w:pPr>
            <w:r>
              <w:rPr>
                <w:rFonts w:hint="eastAsia"/>
              </w:rPr>
              <w:t>相关记录</w:t>
            </w:r>
          </w:p>
        </w:tc>
      </w:tr>
      <w:tr>
        <w:tblPrEx>
          <w:tblLayout w:type="fixed"/>
          <w:tblCellMar>
            <w:top w:w="0" w:type="dxa"/>
            <w:left w:w="108" w:type="dxa"/>
            <w:bottom w:w="0" w:type="dxa"/>
            <w:right w:w="108" w:type="dxa"/>
          </w:tblCellMar>
        </w:tblPrEx>
        <w:trPr>
          <w:trHeight w:val="510" w:hRule="atLeast"/>
        </w:trPr>
        <w:tc>
          <w:tcPr>
            <w:tcW w:w="724" w:type="dxa"/>
            <w:tcBorders>
              <w:top w:val="nil"/>
              <w:left w:val="single" w:color="auto" w:sz="4" w:space="0"/>
              <w:bottom w:val="single" w:color="auto" w:sz="4" w:space="0"/>
              <w:right w:val="single" w:color="auto" w:sz="4" w:space="0"/>
            </w:tcBorders>
            <w:vAlign w:val="center"/>
          </w:tcPr>
          <w:p>
            <w:pPr>
              <w:spacing w:line="360" w:lineRule="auto"/>
            </w:pPr>
            <w:r>
              <w:rPr>
                <w:rFonts w:hint="eastAsia"/>
              </w:rPr>
              <w:t>1</w:t>
            </w:r>
          </w:p>
        </w:tc>
        <w:tc>
          <w:tcPr>
            <w:tcW w:w="1476" w:type="dxa"/>
            <w:tcBorders>
              <w:top w:val="nil"/>
              <w:left w:val="nil"/>
              <w:bottom w:val="single" w:color="auto" w:sz="4" w:space="0"/>
              <w:right w:val="single" w:color="auto" w:sz="4" w:space="0"/>
            </w:tcBorders>
            <w:vAlign w:val="center"/>
          </w:tcPr>
          <w:p>
            <w:pPr>
              <w:spacing w:line="360" w:lineRule="auto"/>
            </w:pPr>
            <w:r>
              <w:rPr>
                <w:rFonts w:hint="eastAsia"/>
              </w:rPr>
              <w:t>培训申请</w:t>
            </w:r>
          </w:p>
        </w:tc>
        <w:tc>
          <w:tcPr>
            <w:tcW w:w="1220" w:type="dxa"/>
            <w:tcBorders>
              <w:top w:val="nil"/>
              <w:left w:val="nil"/>
              <w:bottom w:val="single" w:color="auto" w:sz="4" w:space="0"/>
              <w:right w:val="single" w:color="auto" w:sz="4" w:space="0"/>
            </w:tcBorders>
            <w:vAlign w:val="center"/>
          </w:tcPr>
          <w:p>
            <w:pPr>
              <w:spacing w:line="360" w:lineRule="auto"/>
            </w:pPr>
            <w:r>
              <w:rPr>
                <w:rFonts w:hint="eastAsia"/>
              </w:rPr>
              <w:t>招标方</w:t>
            </w:r>
          </w:p>
        </w:tc>
        <w:tc>
          <w:tcPr>
            <w:tcW w:w="3020" w:type="dxa"/>
            <w:tcBorders>
              <w:top w:val="nil"/>
              <w:left w:val="nil"/>
              <w:bottom w:val="single" w:color="auto" w:sz="4" w:space="0"/>
              <w:right w:val="single" w:color="auto" w:sz="4" w:space="0"/>
            </w:tcBorders>
            <w:vAlign w:val="center"/>
          </w:tcPr>
          <w:p>
            <w:pPr>
              <w:spacing w:line="360" w:lineRule="auto"/>
            </w:pPr>
            <w:r>
              <w:rPr>
                <w:rFonts w:hint="eastAsia"/>
              </w:rPr>
              <w:t>了解培训需求情况，提交培训申请。</w:t>
            </w:r>
          </w:p>
        </w:tc>
        <w:tc>
          <w:tcPr>
            <w:tcW w:w="2020" w:type="dxa"/>
            <w:tcBorders>
              <w:top w:val="nil"/>
              <w:left w:val="nil"/>
              <w:bottom w:val="single" w:color="auto" w:sz="4" w:space="0"/>
              <w:right w:val="single" w:color="auto" w:sz="4" w:space="0"/>
            </w:tcBorders>
            <w:vAlign w:val="center"/>
          </w:tcPr>
          <w:p>
            <w:pPr>
              <w:spacing w:line="360" w:lineRule="auto"/>
            </w:pPr>
            <w:r>
              <w:rPr>
                <w:rFonts w:hint="eastAsia"/>
              </w:rPr>
              <w:t>《技术服务申请表》</w:t>
            </w:r>
          </w:p>
        </w:tc>
      </w:tr>
      <w:tr>
        <w:tblPrEx>
          <w:tblLayout w:type="fixed"/>
          <w:tblCellMar>
            <w:top w:w="0" w:type="dxa"/>
            <w:left w:w="108" w:type="dxa"/>
            <w:bottom w:w="0" w:type="dxa"/>
            <w:right w:w="108" w:type="dxa"/>
          </w:tblCellMar>
        </w:tblPrEx>
        <w:trPr>
          <w:trHeight w:val="510" w:hRule="atLeast"/>
        </w:trPr>
        <w:tc>
          <w:tcPr>
            <w:tcW w:w="724" w:type="dxa"/>
            <w:tcBorders>
              <w:top w:val="nil"/>
              <w:left w:val="single" w:color="auto" w:sz="4" w:space="0"/>
              <w:bottom w:val="single" w:color="auto" w:sz="4" w:space="0"/>
              <w:right w:val="single" w:color="auto" w:sz="4" w:space="0"/>
            </w:tcBorders>
            <w:vAlign w:val="center"/>
          </w:tcPr>
          <w:p>
            <w:pPr>
              <w:spacing w:line="360" w:lineRule="auto"/>
            </w:pPr>
            <w:r>
              <w:rPr>
                <w:rFonts w:hint="eastAsia"/>
              </w:rPr>
              <w:t>2</w:t>
            </w:r>
          </w:p>
        </w:tc>
        <w:tc>
          <w:tcPr>
            <w:tcW w:w="1476" w:type="dxa"/>
            <w:tcBorders>
              <w:top w:val="nil"/>
              <w:left w:val="nil"/>
              <w:bottom w:val="single" w:color="auto" w:sz="4" w:space="0"/>
              <w:right w:val="single" w:color="auto" w:sz="4" w:space="0"/>
            </w:tcBorders>
            <w:vAlign w:val="center"/>
          </w:tcPr>
          <w:p>
            <w:pPr>
              <w:spacing w:line="360" w:lineRule="auto"/>
            </w:pPr>
            <w:r>
              <w:rPr>
                <w:rFonts w:hint="eastAsia"/>
              </w:rPr>
              <w:t>落实培训任务</w:t>
            </w:r>
          </w:p>
        </w:tc>
        <w:tc>
          <w:tcPr>
            <w:tcW w:w="1220" w:type="dxa"/>
            <w:tcBorders>
              <w:top w:val="nil"/>
              <w:left w:val="nil"/>
              <w:bottom w:val="single" w:color="auto" w:sz="4" w:space="0"/>
              <w:right w:val="single" w:color="auto" w:sz="4" w:space="0"/>
            </w:tcBorders>
            <w:vAlign w:val="center"/>
          </w:tcPr>
          <w:p>
            <w:pPr>
              <w:spacing w:line="360" w:lineRule="auto"/>
            </w:pPr>
            <w:r>
              <w:rPr>
                <w:rFonts w:hint="eastAsia"/>
              </w:rPr>
              <w:t>培训经理</w:t>
            </w:r>
          </w:p>
        </w:tc>
        <w:tc>
          <w:tcPr>
            <w:tcW w:w="3020" w:type="dxa"/>
            <w:tcBorders>
              <w:top w:val="nil"/>
              <w:left w:val="nil"/>
              <w:bottom w:val="single" w:color="auto" w:sz="4" w:space="0"/>
              <w:right w:val="single" w:color="auto" w:sz="4" w:space="0"/>
            </w:tcBorders>
            <w:vAlign w:val="center"/>
          </w:tcPr>
          <w:p>
            <w:pPr>
              <w:spacing w:line="360" w:lineRule="auto"/>
            </w:pPr>
            <w:r>
              <w:rPr>
                <w:rFonts w:hint="eastAsia"/>
              </w:rPr>
              <w:t>根据培训申请，确定培训的基本内容，落实培训任务。</w:t>
            </w:r>
          </w:p>
        </w:tc>
        <w:tc>
          <w:tcPr>
            <w:tcW w:w="2020" w:type="dxa"/>
            <w:tcBorders>
              <w:top w:val="nil"/>
              <w:left w:val="nil"/>
              <w:bottom w:val="single" w:color="auto" w:sz="4" w:space="0"/>
              <w:right w:val="single" w:color="auto" w:sz="4" w:space="0"/>
            </w:tcBorders>
            <w:vAlign w:val="center"/>
          </w:tcPr>
          <w:p>
            <w:pPr>
              <w:spacing w:line="360" w:lineRule="auto"/>
            </w:pPr>
            <w:r>
              <w:rPr>
                <w:rFonts w:hint="eastAsia"/>
              </w:rPr>
              <w:t>《技术服务申请表》</w:t>
            </w:r>
          </w:p>
        </w:tc>
      </w:tr>
      <w:tr>
        <w:tblPrEx>
          <w:tblLayout w:type="fixed"/>
          <w:tblCellMar>
            <w:top w:w="0" w:type="dxa"/>
            <w:left w:w="108" w:type="dxa"/>
            <w:bottom w:w="0" w:type="dxa"/>
            <w:right w:w="108" w:type="dxa"/>
          </w:tblCellMar>
        </w:tblPrEx>
        <w:trPr>
          <w:trHeight w:val="1275" w:hRule="atLeast"/>
        </w:trPr>
        <w:tc>
          <w:tcPr>
            <w:tcW w:w="724" w:type="dxa"/>
            <w:tcBorders>
              <w:top w:val="nil"/>
              <w:left w:val="single" w:color="auto" w:sz="4" w:space="0"/>
              <w:bottom w:val="single" w:color="auto" w:sz="4" w:space="0"/>
              <w:right w:val="single" w:color="auto" w:sz="4" w:space="0"/>
            </w:tcBorders>
            <w:vAlign w:val="center"/>
          </w:tcPr>
          <w:p>
            <w:pPr>
              <w:spacing w:line="360" w:lineRule="auto"/>
            </w:pPr>
            <w:r>
              <w:rPr>
                <w:rFonts w:hint="eastAsia"/>
              </w:rPr>
              <w:t>3</w:t>
            </w:r>
          </w:p>
        </w:tc>
        <w:tc>
          <w:tcPr>
            <w:tcW w:w="1476" w:type="dxa"/>
            <w:tcBorders>
              <w:top w:val="nil"/>
              <w:left w:val="nil"/>
              <w:bottom w:val="single" w:color="auto" w:sz="4" w:space="0"/>
              <w:right w:val="single" w:color="auto" w:sz="4" w:space="0"/>
            </w:tcBorders>
            <w:vAlign w:val="center"/>
          </w:tcPr>
          <w:p>
            <w:pPr>
              <w:spacing w:line="360" w:lineRule="auto"/>
            </w:pPr>
            <w:r>
              <w:rPr>
                <w:rFonts w:hint="eastAsia"/>
              </w:rPr>
              <w:t>培训需求调研</w:t>
            </w:r>
          </w:p>
        </w:tc>
        <w:tc>
          <w:tcPr>
            <w:tcW w:w="1220" w:type="dxa"/>
            <w:tcBorders>
              <w:top w:val="nil"/>
              <w:left w:val="nil"/>
              <w:bottom w:val="single" w:color="auto" w:sz="4" w:space="0"/>
              <w:right w:val="single" w:color="auto" w:sz="4" w:space="0"/>
            </w:tcBorders>
            <w:vAlign w:val="center"/>
          </w:tcPr>
          <w:p>
            <w:pPr>
              <w:spacing w:line="360" w:lineRule="auto"/>
            </w:pPr>
            <w:r>
              <w:rPr>
                <w:rFonts w:hint="eastAsia"/>
              </w:rPr>
              <w:t>培训工作组</w:t>
            </w:r>
          </w:p>
        </w:tc>
        <w:tc>
          <w:tcPr>
            <w:tcW w:w="3020" w:type="dxa"/>
            <w:tcBorders>
              <w:top w:val="nil"/>
              <w:left w:val="nil"/>
              <w:bottom w:val="single" w:color="auto" w:sz="4" w:space="0"/>
              <w:right w:val="single" w:color="auto" w:sz="4" w:space="0"/>
            </w:tcBorders>
            <w:vAlign w:val="center"/>
          </w:tcPr>
          <w:p>
            <w:pPr>
              <w:spacing w:line="360" w:lineRule="auto"/>
            </w:pPr>
            <w:r>
              <w:rPr>
                <w:rFonts w:hint="eastAsia"/>
              </w:rPr>
              <w:t>培训工作组对申请方的培训需求进行深入调研，了解申请方的培训目的、培训时间、培训地点、培训对象、培训内容等。</w:t>
            </w:r>
          </w:p>
        </w:tc>
        <w:tc>
          <w:tcPr>
            <w:tcW w:w="2020" w:type="dxa"/>
            <w:tcBorders>
              <w:top w:val="nil"/>
              <w:left w:val="nil"/>
              <w:bottom w:val="single" w:color="auto" w:sz="4" w:space="0"/>
              <w:right w:val="single" w:color="auto" w:sz="4" w:space="0"/>
            </w:tcBorders>
            <w:vAlign w:val="center"/>
          </w:tcPr>
          <w:p>
            <w:pPr>
              <w:spacing w:line="360" w:lineRule="auto"/>
            </w:pPr>
            <w:r>
              <w:rPr>
                <w:rFonts w:hint="eastAsia"/>
              </w:rPr>
              <w:t>　</w:t>
            </w:r>
          </w:p>
        </w:tc>
      </w:tr>
      <w:tr>
        <w:tblPrEx>
          <w:tblLayout w:type="fixed"/>
          <w:tblCellMar>
            <w:top w:w="0" w:type="dxa"/>
            <w:left w:w="108" w:type="dxa"/>
            <w:bottom w:w="0" w:type="dxa"/>
            <w:right w:w="108" w:type="dxa"/>
          </w:tblCellMar>
        </w:tblPrEx>
        <w:trPr>
          <w:trHeight w:val="765" w:hRule="atLeast"/>
        </w:trPr>
        <w:tc>
          <w:tcPr>
            <w:tcW w:w="724" w:type="dxa"/>
            <w:tcBorders>
              <w:top w:val="nil"/>
              <w:left w:val="single" w:color="auto" w:sz="4" w:space="0"/>
              <w:bottom w:val="single" w:color="auto" w:sz="4" w:space="0"/>
              <w:right w:val="single" w:color="auto" w:sz="4" w:space="0"/>
            </w:tcBorders>
            <w:vAlign w:val="center"/>
          </w:tcPr>
          <w:p>
            <w:pPr>
              <w:spacing w:line="360" w:lineRule="auto"/>
            </w:pPr>
            <w:r>
              <w:rPr>
                <w:rFonts w:hint="eastAsia"/>
              </w:rPr>
              <w:t>4</w:t>
            </w:r>
          </w:p>
        </w:tc>
        <w:tc>
          <w:tcPr>
            <w:tcW w:w="1476" w:type="dxa"/>
            <w:tcBorders>
              <w:top w:val="nil"/>
              <w:left w:val="nil"/>
              <w:bottom w:val="single" w:color="auto" w:sz="4" w:space="0"/>
              <w:right w:val="single" w:color="auto" w:sz="4" w:space="0"/>
            </w:tcBorders>
            <w:vAlign w:val="center"/>
          </w:tcPr>
          <w:p>
            <w:pPr>
              <w:spacing w:line="360" w:lineRule="auto"/>
            </w:pPr>
            <w:r>
              <w:rPr>
                <w:rFonts w:hint="eastAsia"/>
              </w:rPr>
              <w:t>制定培训计划</w:t>
            </w:r>
          </w:p>
        </w:tc>
        <w:tc>
          <w:tcPr>
            <w:tcW w:w="1220" w:type="dxa"/>
            <w:tcBorders>
              <w:top w:val="nil"/>
              <w:left w:val="nil"/>
              <w:bottom w:val="single" w:color="auto" w:sz="4" w:space="0"/>
              <w:right w:val="single" w:color="auto" w:sz="4" w:space="0"/>
            </w:tcBorders>
            <w:vAlign w:val="center"/>
          </w:tcPr>
          <w:p>
            <w:pPr>
              <w:spacing w:line="360" w:lineRule="auto"/>
            </w:pPr>
            <w:r>
              <w:rPr>
                <w:rFonts w:hint="eastAsia"/>
              </w:rPr>
              <w:t>培训工作组</w:t>
            </w:r>
          </w:p>
        </w:tc>
        <w:tc>
          <w:tcPr>
            <w:tcW w:w="3020" w:type="dxa"/>
            <w:tcBorders>
              <w:top w:val="nil"/>
              <w:left w:val="nil"/>
              <w:bottom w:val="single" w:color="auto" w:sz="4" w:space="0"/>
              <w:right w:val="single" w:color="auto" w:sz="4" w:space="0"/>
            </w:tcBorders>
            <w:vAlign w:val="center"/>
          </w:tcPr>
          <w:p>
            <w:pPr>
              <w:spacing w:line="360" w:lineRule="auto"/>
            </w:pPr>
            <w:r>
              <w:rPr>
                <w:rFonts w:hint="eastAsia"/>
              </w:rPr>
              <w:t>根据培训申请内容，结合培训需求调研情况，制定详细的培训实施计划。</w:t>
            </w:r>
          </w:p>
        </w:tc>
        <w:tc>
          <w:tcPr>
            <w:tcW w:w="2020" w:type="dxa"/>
            <w:tcBorders>
              <w:top w:val="nil"/>
              <w:left w:val="nil"/>
              <w:bottom w:val="single" w:color="auto" w:sz="4" w:space="0"/>
              <w:right w:val="single" w:color="auto" w:sz="4" w:space="0"/>
            </w:tcBorders>
            <w:vAlign w:val="center"/>
          </w:tcPr>
          <w:p>
            <w:pPr>
              <w:spacing w:line="360" w:lineRule="auto"/>
            </w:pPr>
            <w:r>
              <w:rPr>
                <w:rFonts w:hint="eastAsia"/>
              </w:rPr>
              <w:t>《培训计划单》</w:t>
            </w:r>
          </w:p>
        </w:tc>
      </w:tr>
      <w:tr>
        <w:tblPrEx>
          <w:tblLayout w:type="fixed"/>
          <w:tblCellMar>
            <w:top w:w="0" w:type="dxa"/>
            <w:left w:w="108" w:type="dxa"/>
            <w:bottom w:w="0" w:type="dxa"/>
            <w:right w:w="108" w:type="dxa"/>
          </w:tblCellMar>
        </w:tblPrEx>
        <w:trPr>
          <w:trHeight w:val="1275" w:hRule="atLeast"/>
        </w:trPr>
        <w:tc>
          <w:tcPr>
            <w:tcW w:w="724" w:type="dxa"/>
            <w:tcBorders>
              <w:top w:val="nil"/>
              <w:left w:val="single" w:color="auto" w:sz="4" w:space="0"/>
              <w:bottom w:val="single" w:color="auto" w:sz="4" w:space="0"/>
              <w:right w:val="single" w:color="auto" w:sz="4" w:space="0"/>
            </w:tcBorders>
            <w:vAlign w:val="center"/>
          </w:tcPr>
          <w:p>
            <w:pPr>
              <w:spacing w:line="360" w:lineRule="auto"/>
            </w:pPr>
            <w:r>
              <w:rPr>
                <w:rFonts w:hint="eastAsia"/>
              </w:rPr>
              <w:t>5</w:t>
            </w:r>
          </w:p>
        </w:tc>
        <w:tc>
          <w:tcPr>
            <w:tcW w:w="1476" w:type="dxa"/>
            <w:tcBorders>
              <w:top w:val="nil"/>
              <w:left w:val="nil"/>
              <w:bottom w:val="single" w:color="auto" w:sz="4" w:space="0"/>
              <w:right w:val="single" w:color="auto" w:sz="4" w:space="0"/>
            </w:tcBorders>
            <w:vAlign w:val="center"/>
          </w:tcPr>
          <w:p>
            <w:pPr>
              <w:spacing w:line="360" w:lineRule="auto"/>
            </w:pPr>
            <w:r>
              <w:rPr>
                <w:rFonts w:hint="eastAsia"/>
              </w:rPr>
              <w:t>培训计划审批</w:t>
            </w:r>
          </w:p>
        </w:tc>
        <w:tc>
          <w:tcPr>
            <w:tcW w:w="1220" w:type="dxa"/>
            <w:tcBorders>
              <w:top w:val="nil"/>
              <w:left w:val="nil"/>
              <w:bottom w:val="single" w:color="auto" w:sz="4" w:space="0"/>
              <w:right w:val="single" w:color="auto" w:sz="4" w:space="0"/>
            </w:tcBorders>
            <w:vAlign w:val="center"/>
          </w:tcPr>
          <w:p>
            <w:pPr>
              <w:spacing w:line="360" w:lineRule="auto"/>
            </w:pPr>
            <w:r>
              <w:rPr>
                <w:rFonts w:hint="eastAsia"/>
              </w:rPr>
              <w:t>项目经理</w:t>
            </w:r>
          </w:p>
        </w:tc>
        <w:tc>
          <w:tcPr>
            <w:tcW w:w="3020" w:type="dxa"/>
            <w:tcBorders>
              <w:top w:val="nil"/>
              <w:left w:val="nil"/>
              <w:bottom w:val="single" w:color="auto" w:sz="4" w:space="0"/>
              <w:right w:val="single" w:color="auto" w:sz="4" w:space="0"/>
            </w:tcBorders>
            <w:vAlign w:val="center"/>
          </w:tcPr>
          <w:p>
            <w:pPr>
              <w:spacing w:line="360" w:lineRule="auto"/>
            </w:pPr>
            <w:r>
              <w:rPr>
                <w:rFonts w:hint="eastAsia"/>
              </w:rPr>
              <w:t>培训经理组织相关人员对培训计划进行审议，对不完善的地方提出修改意见和建议，并限期修改，对修改后的培训计划进行审批。</w:t>
            </w:r>
          </w:p>
        </w:tc>
        <w:tc>
          <w:tcPr>
            <w:tcW w:w="2020" w:type="dxa"/>
            <w:tcBorders>
              <w:top w:val="nil"/>
              <w:left w:val="nil"/>
              <w:bottom w:val="single" w:color="auto" w:sz="4" w:space="0"/>
              <w:right w:val="single" w:color="auto" w:sz="4" w:space="0"/>
            </w:tcBorders>
            <w:vAlign w:val="center"/>
          </w:tcPr>
          <w:p>
            <w:pPr>
              <w:spacing w:line="360" w:lineRule="auto"/>
            </w:pPr>
            <w:r>
              <w:rPr>
                <w:rFonts w:hint="eastAsia"/>
              </w:rPr>
              <w:t>《培训计划单》</w:t>
            </w:r>
          </w:p>
        </w:tc>
      </w:tr>
      <w:tr>
        <w:tblPrEx>
          <w:tblLayout w:type="fixed"/>
          <w:tblCellMar>
            <w:top w:w="0" w:type="dxa"/>
            <w:left w:w="108" w:type="dxa"/>
            <w:bottom w:w="0" w:type="dxa"/>
            <w:right w:w="108" w:type="dxa"/>
          </w:tblCellMar>
        </w:tblPrEx>
        <w:trPr>
          <w:trHeight w:val="1020" w:hRule="atLeast"/>
        </w:trPr>
        <w:tc>
          <w:tcPr>
            <w:tcW w:w="724" w:type="dxa"/>
            <w:tcBorders>
              <w:top w:val="nil"/>
              <w:left w:val="single" w:color="auto" w:sz="4" w:space="0"/>
              <w:bottom w:val="single" w:color="auto" w:sz="4" w:space="0"/>
              <w:right w:val="single" w:color="auto" w:sz="4" w:space="0"/>
            </w:tcBorders>
            <w:vAlign w:val="center"/>
          </w:tcPr>
          <w:p>
            <w:pPr>
              <w:spacing w:line="360" w:lineRule="auto"/>
            </w:pPr>
            <w:r>
              <w:rPr>
                <w:rFonts w:hint="eastAsia"/>
              </w:rPr>
              <w:t>6</w:t>
            </w:r>
          </w:p>
        </w:tc>
        <w:tc>
          <w:tcPr>
            <w:tcW w:w="1476" w:type="dxa"/>
            <w:tcBorders>
              <w:top w:val="nil"/>
              <w:left w:val="nil"/>
              <w:bottom w:val="single" w:color="auto" w:sz="4" w:space="0"/>
              <w:right w:val="single" w:color="auto" w:sz="4" w:space="0"/>
            </w:tcBorders>
            <w:vAlign w:val="center"/>
          </w:tcPr>
          <w:p>
            <w:pPr>
              <w:spacing w:line="360" w:lineRule="auto"/>
            </w:pPr>
            <w:r>
              <w:rPr>
                <w:rFonts w:hint="eastAsia"/>
              </w:rPr>
              <w:t>培训准备</w:t>
            </w:r>
          </w:p>
        </w:tc>
        <w:tc>
          <w:tcPr>
            <w:tcW w:w="1220" w:type="dxa"/>
            <w:tcBorders>
              <w:top w:val="nil"/>
              <w:left w:val="nil"/>
              <w:bottom w:val="single" w:color="auto" w:sz="4" w:space="0"/>
              <w:right w:val="single" w:color="auto" w:sz="4" w:space="0"/>
            </w:tcBorders>
            <w:vAlign w:val="center"/>
          </w:tcPr>
          <w:p>
            <w:pPr>
              <w:spacing w:line="360" w:lineRule="auto"/>
            </w:pPr>
            <w:r>
              <w:rPr>
                <w:rFonts w:hint="eastAsia"/>
              </w:rPr>
              <w:t>培训工作组</w:t>
            </w:r>
          </w:p>
        </w:tc>
        <w:tc>
          <w:tcPr>
            <w:tcW w:w="3020" w:type="dxa"/>
            <w:tcBorders>
              <w:top w:val="nil"/>
              <w:left w:val="nil"/>
              <w:bottom w:val="single" w:color="auto" w:sz="4" w:space="0"/>
              <w:right w:val="single" w:color="auto" w:sz="4" w:space="0"/>
            </w:tcBorders>
            <w:vAlign w:val="center"/>
          </w:tcPr>
          <w:p>
            <w:pPr>
              <w:spacing w:line="360" w:lineRule="auto"/>
            </w:pPr>
            <w:r>
              <w:rPr>
                <w:rFonts w:hint="eastAsia"/>
              </w:rPr>
              <w:t>对培训地点、培训设备、培训教材、考试试题等进行准备，为培训实施做好准备。</w:t>
            </w:r>
          </w:p>
        </w:tc>
        <w:tc>
          <w:tcPr>
            <w:tcW w:w="2020" w:type="dxa"/>
            <w:tcBorders>
              <w:top w:val="nil"/>
              <w:left w:val="nil"/>
              <w:bottom w:val="single" w:color="auto" w:sz="4" w:space="0"/>
              <w:right w:val="single" w:color="auto" w:sz="4" w:space="0"/>
            </w:tcBorders>
            <w:vAlign w:val="center"/>
          </w:tcPr>
          <w:p>
            <w:pPr>
              <w:spacing w:line="360" w:lineRule="auto"/>
            </w:pPr>
            <w:r>
              <w:rPr>
                <w:rFonts w:hint="eastAsia"/>
              </w:rPr>
              <w:t>　</w:t>
            </w:r>
          </w:p>
        </w:tc>
      </w:tr>
      <w:tr>
        <w:tblPrEx>
          <w:tblLayout w:type="fixed"/>
          <w:tblCellMar>
            <w:top w:w="0" w:type="dxa"/>
            <w:left w:w="108" w:type="dxa"/>
            <w:bottom w:w="0" w:type="dxa"/>
            <w:right w:w="108" w:type="dxa"/>
          </w:tblCellMar>
        </w:tblPrEx>
        <w:trPr>
          <w:trHeight w:val="1275" w:hRule="atLeast"/>
        </w:trPr>
        <w:tc>
          <w:tcPr>
            <w:tcW w:w="724" w:type="dxa"/>
            <w:tcBorders>
              <w:top w:val="nil"/>
              <w:left w:val="single" w:color="auto" w:sz="4" w:space="0"/>
              <w:bottom w:val="single" w:color="auto" w:sz="4" w:space="0"/>
              <w:right w:val="single" w:color="auto" w:sz="4" w:space="0"/>
            </w:tcBorders>
            <w:vAlign w:val="center"/>
          </w:tcPr>
          <w:p>
            <w:pPr>
              <w:spacing w:line="360" w:lineRule="auto"/>
            </w:pPr>
            <w:r>
              <w:rPr>
                <w:rFonts w:hint="eastAsia"/>
              </w:rPr>
              <w:t>7</w:t>
            </w:r>
          </w:p>
        </w:tc>
        <w:tc>
          <w:tcPr>
            <w:tcW w:w="1476" w:type="dxa"/>
            <w:tcBorders>
              <w:top w:val="nil"/>
              <w:left w:val="nil"/>
              <w:bottom w:val="single" w:color="auto" w:sz="4" w:space="0"/>
              <w:right w:val="single" w:color="auto" w:sz="4" w:space="0"/>
            </w:tcBorders>
            <w:vAlign w:val="center"/>
          </w:tcPr>
          <w:p>
            <w:pPr>
              <w:spacing w:line="360" w:lineRule="auto"/>
            </w:pPr>
            <w:r>
              <w:rPr>
                <w:rFonts w:hint="eastAsia"/>
              </w:rPr>
              <w:t>编写培训通知</w:t>
            </w:r>
          </w:p>
        </w:tc>
        <w:tc>
          <w:tcPr>
            <w:tcW w:w="1220" w:type="dxa"/>
            <w:tcBorders>
              <w:top w:val="nil"/>
              <w:left w:val="nil"/>
              <w:bottom w:val="single" w:color="auto" w:sz="4" w:space="0"/>
              <w:right w:val="single" w:color="auto" w:sz="4" w:space="0"/>
            </w:tcBorders>
            <w:vAlign w:val="center"/>
          </w:tcPr>
          <w:p>
            <w:pPr>
              <w:spacing w:line="360" w:lineRule="auto"/>
            </w:pPr>
            <w:r>
              <w:rPr>
                <w:rFonts w:hint="eastAsia"/>
              </w:rPr>
              <w:t>培训工作组</w:t>
            </w:r>
          </w:p>
        </w:tc>
        <w:tc>
          <w:tcPr>
            <w:tcW w:w="3020" w:type="dxa"/>
            <w:tcBorders>
              <w:top w:val="nil"/>
              <w:left w:val="nil"/>
              <w:bottom w:val="single" w:color="auto" w:sz="4" w:space="0"/>
              <w:right w:val="single" w:color="auto" w:sz="4" w:space="0"/>
            </w:tcBorders>
            <w:vAlign w:val="center"/>
          </w:tcPr>
          <w:p>
            <w:pPr>
              <w:spacing w:line="360" w:lineRule="auto"/>
            </w:pPr>
            <w:r>
              <w:rPr>
                <w:rFonts w:hint="eastAsia"/>
              </w:rPr>
              <w:t>编写培训通知，说明培训目的、培训时间、培训地点、培训对象、培训内容和相关要求，通知到需要参加服务的相关单位。</w:t>
            </w:r>
          </w:p>
        </w:tc>
        <w:tc>
          <w:tcPr>
            <w:tcW w:w="2020" w:type="dxa"/>
            <w:tcBorders>
              <w:top w:val="nil"/>
              <w:left w:val="nil"/>
              <w:bottom w:val="single" w:color="auto" w:sz="4" w:space="0"/>
              <w:right w:val="single" w:color="auto" w:sz="4" w:space="0"/>
            </w:tcBorders>
            <w:vAlign w:val="center"/>
          </w:tcPr>
          <w:p>
            <w:pPr>
              <w:spacing w:line="360" w:lineRule="auto"/>
            </w:pPr>
            <w:r>
              <w:rPr>
                <w:rFonts w:hint="eastAsia"/>
              </w:rPr>
              <w:t>《培训通知》</w:t>
            </w:r>
          </w:p>
        </w:tc>
      </w:tr>
      <w:tr>
        <w:tblPrEx>
          <w:tblLayout w:type="fixed"/>
          <w:tblCellMar>
            <w:top w:w="0" w:type="dxa"/>
            <w:left w:w="108" w:type="dxa"/>
            <w:bottom w:w="0" w:type="dxa"/>
            <w:right w:w="108" w:type="dxa"/>
          </w:tblCellMar>
        </w:tblPrEx>
        <w:trPr>
          <w:trHeight w:val="765" w:hRule="atLeast"/>
        </w:trPr>
        <w:tc>
          <w:tcPr>
            <w:tcW w:w="724" w:type="dxa"/>
            <w:tcBorders>
              <w:top w:val="nil"/>
              <w:left w:val="single" w:color="auto" w:sz="4" w:space="0"/>
              <w:bottom w:val="single" w:color="auto" w:sz="4" w:space="0"/>
              <w:right w:val="single" w:color="auto" w:sz="4" w:space="0"/>
            </w:tcBorders>
            <w:vAlign w:val="center"/>
          </w:tcPr>
          <w:p>
            <w:pPr>
              <w:spacing w:line="360" w:lineRule="auto"/>
            </w:pPr>
            <w:r>
              <w:rPr>
                <w:rFonts w:hint="eastAsia"/>
              </w:rPr>
              <w:t>8</w:t>
            </w:r>
          </w:p>
        </w:tc>
        <w:tc>
          <w:tcPr>
            <w:tcW w:w="1476" w:type="dxa"/>
            <w:tcBorders>
              <w:top w:val="nil"/>
              <w:left w:val="nil"/>
              <w:bottom w:val="single" w:color="auto" w:sz="4" w:space="0"/>
              <w:right w:val="single" w:color="auto" w:sz="4" w:space="0"/>
            </w:tcBorders>
            <w:vAlign w:val="center"/>
          </w:tcPr>
          <w:p>
            <w:pPr>
              <w:spacing w:line="360" w:lineRule="auto"/>
            </w:pPr>
            <w:r>
              <w:rPr>
                <w:rFonts w:hint="eastAsia"/>
              </w:rPr>
              <w:t>培训实施</w:t>
            </w:r>
          </w:p>
        </w:tc>
        <w:tc>
          <w:tcPr>
            <w:tcW w:w="1220" w:type="dxa"/>
            <w:tcBorders>
              <w:top w:val="nil"/>
              <w:left w:val="nil"/>
              <w:bottom w:val="single" w:color="auto" w:sz="4" w:space="0"/>
              <w:right w:val="single" w:color="auto" w:sz="4" w:space="0"/>
            </w:tcBorders>
            <w:vAlign w:val="center"/>
          </w:tcPr>
          <w:p>
            <w:pPr>
              <w:spacing w:line="360" w:lineRule="auto"/>
            </w:pPr>
            <w:r>
              <w:rPr>
                <w:rFonts w:hint="eastAsia"/>
              </w:rPr>
              <w:t>培训工作组</w:t>
            </w:r>
          </w:p>
        </w:tc>
        <w:tc>
          <w:tcPr>
            <w:tcW w:w="3020" w:type="dxa"/>
            <w:tcBorders>
              <w:top w:val="nil"/>
              <w:left w:val="nil"/>
              <w:bottom w:val="single" w:color="auto" w:sz="4" w:space="0"/>
              <w:right w:val="single" w:color="auto" w:sz="4" w:space="0"/>
            </w:tcBorders>
            <w:vAlign w:val="center"/>
          </w:tcPr>
          <w:p>
            <w:pPr>
              <w:spacing w:line="360" w:lineRule="auto"/>
            </w:pPr>
            <w:r>
              <w:rPr>
                <w:rFonts w:hint="eastAsia"/>
              </w:rPr>
              <w:t>按照培训计划和相关的安排，开展对相关人员的培训工作。</w:t>
            </w:r>
          </w:p>
        </w:tc>
        <w:tc>
          <w:tcPr>
            <w:tcW w:w="2020" w:type="dxa"/>
            <w:tcBorders>
              <w:top w:val="nil"/>
              <w:left w:val="nil"/>
              <w:bottom w:val="single" w:color="auto" w:sz="4" w:space="0"/>
              <w:right w:val="single" w:color="auto" w:sz="4" w:space="0"/>
            </w:tcBorders>
            <w:vAlign w:val="center"/>
          </w:tcPr>
          <w:p>
            <w:pPr>
              <w:spacing w:line="360" w:lineRule="auto"/>
            </w:pPr>
            <w:r>
              <w:rPr>
                <w:rFonts w:hint="eastAsia"/>
              </w:rPr>
              <w:t>《培训签到表》、《培训过程记录表》</w:t>
            </w:r>
          </w:p>
        </w:tc>
      </w:tr>
      <w:tr>
        <w:tblPrEx>
          <w:tblLayout w:type="fixed"/>
          <w:tblCellMar>
            <w:top w:w="0" w:type="dxa"/>
            <w:left w:w="108" w:type="dxa"/>
            <w:bottom w:w="0" w:type="dxa"/>
            <w:right w:w="108" w:type="dxa"/>
          </w:tblCellMar>
        </w:tblPrEx>
        <w:trPr>
          <w:trHeight w:val="765" w:hRule="atLeast"/>
        </w:trPr>
        <w:tc>
          <w:tcPr>
            <w:tcW w:w="724" w:type="dxa"/>
            <w:tcBorders>
              <w:top w:val="nil"/>
              <w:left w:val="single" w:color="auto" w:sz="4" w:space="0"/>
              <w:bottom w:val="single" w:color="auto" w:sz="4" w:space="0"/>
              <w:right w:val="single" w:color="auto" w:sz="4" w:space="0"/>
            </w:tcBorders>
            <w:vAlign w:val="center"/>
          </w:tcPr>
          <w:p>
            <w:pPr>
              <w:spacing w:line="360" w:lineRule="auto"/>
            </w:pPr>
            <w:r>
              <w:rPr>
                <w:rFonts w:hint="eastAsia"/>
              </w:rPr>
              <w:t>9</w:t>
            </w:r>
          </w:p>
        </w:tc>
        <w:tc>
          <w:tcPr>
            <w:tcW w:w="1476" w:type="dxa"/>
            <w:tcBorders>
              <w:top w:val="nil"/>
              <w:left w:val="nil"/>
              <w:bottom w:val="single" w:color="auto" w:sz="4" w:space="0"/>
              <w:right w:val="single" w:color="auto" w:sz="4" w:space="0"/>
            </w:tcBorders>
            <w:vAlign w:val="center"/>
          </w:tcPr>
          <w:p>
            <w:pPr>
              <w:spacing w:line="360" w:lineRule="auto"/>
            </w:pPr>
            <w:r>
              <w:rPr>
                <w:rFonts w:hint="eastAsia"/>
              </w:rPr>
              <w:t>培训考试</w:t>
            </w:r>
          </w:p>
        </w:tc>
        <w:tc>
          <w:tcPr>
            <w:tcW w:w="1220" w:type="dxa"/>
            <w:tcBorders>
              <w:top w:val="nil"/>
              <w:left w:val="nil"/>
              <w:bottom w:val="single" w:color="auto" w:sz="4" w:space="0"/>
              <w:right w:val="single" w:color="auto" w:sz="4" w:space="0"/>
            </w:tcBorders>
            <w:vAlign w:val="center"/>
          </w:tcPr>
          <w:p>
            <w:pPr>
              <w:spacing w:line="360" w:lineRule="auto"/>
            </w:pPr>
            <w:r>
              <w:rPr>
                <w:rFonts w:hint="eastAsia"/>
              </w:rPr>
              <w:t>培训工作组</w:t>
            </w:r>
          </w:p>
        </w:tc>
        <w:tc>
          <w:tcPr>
            <w:tcW w:w="3020" w:type="dxa"/>
            <w:tcBorders>
              <w:top w:val="nil"/>
              <w:left w:val="nil"/>
              <w:bottom w:val="single" w:color="auto" w:sz="4" w:space="0"/>
              <w:right w:val="single" w:color="auto" w:sz="4" w:space="0"/>
            </w:tcBorders>
            <w:vAlign w:val="center"/>
          </w:tcPr>
          <w:p>
            <w:pPr>
              <w:spacing w:line="360" w:lineRule="auto"/>
            </w:pPr>
            <w:r>
              <w:rPr>
                <w:rFonts w:hint="eastAsia"/>
              </w:rPr>
              <w:t>培训结束后，为验证和巩固培训效果，对培训学员进行测试。</w:t>
            </w:r>
          </w:p>
        </w:tc>
        <w:tc>
          <w:tcPr>
            <w:tcW w:w="2020" w:type="dxa"/>
            <w:tcBorders>
              <w:top w:val="nil"/>
              <w:left w:val="nil"/>
              <w:bottom w:val="single" w:color="auto" w:sz="4" w:space="0"/>
              <w:right w:val="single" w:color="auto" w:sz="4" w:space="0"/>
            </w:tcBorders>
            <w:vAlign w:val="center"/>
          </w:tcPr>
          <w:p>
            <w:pPr>
              <w:spacing w:line="360" w:lineRule="auto"/>
            </w:pPr>
            <w:r>
              <w:rPr>
                <w:rFonts w:hint="eastAsia"/>
              </w:rPr>
              <w:t>《培训试题》、《培训试题评分标准》</w:t>
            </w:r>
          </w:p>
        </w:tc>
      </w:tr>
      <w:tr>
        <w:tblPrEx>
          <w:tblLayout w:type="fixed"/>
          <w:tblCellMar>
            <w:top w:w="0" w:type="dxa"/>
            <w:left w:w="108" w:type="dxa"/>
            <w:bottom w:w="0" w:type="dxa"/>
            <w:right w:w="108" w:type="dxa"/>
          </w:tblCellMar>
        </w:tblPrEx>
        <w:trPr>
          <w:trHeight w:val="765" w:hRule="atLeast"/>
        </w:trPr>
        <w:tc>
          <w:tcPr>
            <w:tcW w:w="724" w:type="dxa"/>
            <w:tcBorders>
              <w:top w:val="nil"/>
              <w:left w:val="single" w:color="auto" w:sz="4" w:space="0"/>
              <w:bottom w:val="single" w:color="auto" w:sz="4" w:space="0"/>
              <w:right w:val="single" w:color="auto" w:sz="4" w:space="0"/>
            </w:tcBorders>
            <w:vAlign w:val="center"/>
          </w:tcPr>
          <w:p>
            <w:pPr>
              <w:spacing w:line="360" w:lineRule="auto"/>
            </w:pPr>
            <w:r>
              <w:rPr>
                <w:rFonts w:hint="eastAsia"/>
              </w:rPr>
              <w:t>10</w:t>
            </w:r>
          </w:p>
        </w:tc>
        <w:tc>
          <w:tcPr>
            <w:tcW w:w="1476" w:type="dxa"/>
            <w:tcBorders>
              <w:top w:val="nil"/>
              <w:left w:val="nil"/>
              <w:bottom w:val="single" w:color="auto" w:sz="4" w:space="0"/>
              <w:right w:val="single" w:color="auto" w:sz="4" w:space="0"/>
            </w:tcBorders>
            <w:vAlign w:val="center"/>
          </w:tcPr>
          <w:p>
            <w:pPr>
              <w:spacing w:line="360" w:lineRule="auto"/>
            </w:pPr>
            <w:r>
              <w:rPr>
                <w:rFonts w:hint="eastAsia"/>
              </w:rPr>
              <w:t>培训质量调查</w:t>
            </w:r>
          </w:p>
        </w:tc>
        <w:tc>
          <w:tcPr>
            <w:tcW w:w="1220" w:type="dxa"/>
            <w:tcBorders>
              <w:top w:val="nil"/>
              <w:left w:val="nil"/>
              <w:bottom w:val="single" w:color="auto" w:sz="4" w:space="0"/>
              <w:right w:val="single" w:color="auto" w:sz="4" w:space="0"/>
            </w:tcBorders>
            <w:vAlign w:val="center"/>
          </w:tcPr>
          <w:p>
            <w:pPr>
              <w:spacing w:line="360" w:lineRule="auto"/>
            </w:pPr>
            <w:r>
              <w:rPr>
                <w:rFonts w:hint="eastAsia"/>
              </w:rPr>
              <w:t>培训工作组</w:t>
            </w:r>
          </w:p>
        </w:tc>
        <w:tc>
          <w:tcPr>
            <w:tcW w:w="3020" w:type="dxa"/>
            <w:tcBorders>
              <w:top w:val="nil"/>
              <w:left w:val="nil"/>
              <w:bottom w:val="single" w:color="auto" w:sz="4" w:space="0"/>
              <w:right w:val="single" w:color="auto" w:sz="4" w:space="0"/>
            </w:tcBorders>
            <w:vAlign w:val="center"/>
          </w:tcPr>
          <w:p>
            <w:pPr>
              <w:spacing w:line="360" w:lineRule="auto"/>
            </w:pPr>
            <w:r>
              <w:rPr>
                <w:rFonts w:hint="eastAsia"/>
              </w:rPr>
              <w:t>对学员培训工作的情况进行调查，学员填写培训质量调查表。</w:t>
            </w:r>
          </w:p>
        </w:tc>
        <w:tc>
          <w:tcPr>
            <w:tcW w:w="2020" w:type="dxa"/>
            <w:tcBorders>
              <w:top w:val="nil"/>
              <w:left w:val="nil"/>
              <w:bottom w:val="single" w:color="auto" w:sz="4" w:space="0"/>
              <w:right w:val="single" w:color="auto" w:sz="4" w:space="0"/>
            </w:tcBorders>
            <w:vAlign w:val="center"/>
          </w:tcPr>
          <w:p>
            <w:pPr>
              <w:spacing w:line="360" w:lineRule="auto"/>
            </w:pPr>
            <w:r>
              <w:rPr>
                <w:rFonts w:hint="eastAsia"/>
              </w:rPr>
              <w:t>《培训质量调查表》</w:t>
            </w:r>
          </w:p>
        </w:tc>
      </w:tr>
      <w:tr>
        <w:tblPrEx>
          <w:tblLayout w:type="fixed"/>
          <w:tblCellMar>
            <w:top w:w="0" w:type="dxa"/>
            <w:left w:w="108" w:type="dxa"/>
            <w:bottom w:w="0" w:type="dxa"/>
            <w:right w:w="108" w:type="dxa"/>
          </w:tblCellMar>
        </w:tblPrEx>
        <w:trPr>
          <w:trHeight w:val="1020" w:hRule="atLeast"/>
        </w:trPr>
        <w:tc>
          <w:tcPr>
            <w:tcW w:w="724" w:type="dxa"/>
            <w:tcBorders>
              <w:top w:val="nil"/>
              <w:left w:val="single" w:color="auto" w:sz="4" w:space="0"/>
              <w:bottom w:val="single" w:color="auto" w:sz="4" w:space="0"/>
              <w:right w:val="single" w:color="auto" w:sz="4" w:space="0"/>
            </w:tcBorders>
            <w:vAlign w:val="center"/>
          </w:tcPr>
          <w:p>
            <w:pPr>
              <w:spacing w:line="360" w:lineRule="auto"/>
            </w:pPr>
            <w:r>
              <w:rPr>
                <w:rFonts w:hint="eastAsia"/>
              </w:rPr>
              <w:t>11</w:t>
            </w:r>
          </w:p>
        </w:tc>
        <w:tc>
          <w:tcPr>
            <w:tcW w:w="1476" w:type="dxa"/>
            <w:tcBorders>
              <w:top w:val="nil"/>
              <w:left w:val="nil"/>
              <w:bottom w:val="single" w:color="auto" w:sz="4" w:space="0"/>
              <w:right w:val="single" w:color="auto" w:sz="4" w:space="0"/>
            </w:tcBorders>
            <w:vAlign w:val="center"/>
          </w:tcPr>
          <w:p>
            <w:pPr>
              <w:spacing w:line="360" w:lineRule="auto"/>
            </w:pPr>
            <w:r>
              <w:rPr>
                <w:rFonts w:hint="eastAsia"/>
              </w:rPr>
              <w:t>培训结果分析</w:t>
            </w:r>
          </w:p>
        </w:tc>
        <w:tc>
          <w:tcPr>
            <w:tcW w:w="1220" w:type="dxa"/>
            <w:tcBorders>
              <w:top w:val="nil"/>
              <w:left w:val="nil"/>
              <w:bottom w:val="single" w:color="auto" w:sz="4" w:space="0"/>
              <w:right w:val="single" w:color="auto" w:sz="4" w:space="0"/>
            </w:tcBorders>
            <w:vAlign w:val="center"/>
          </w:tcPr>
          <w:p>
            <w:pPr>
              <w:spacing w:line="360" w:lineRule="auto"/>
            </w:pPr>
            <w:r>
              <w:rPr>
                <w:rFonts w:hint="eastAsia"/>
              </w:rPr>
              <w:t>培训工作组</w:t>
            </w:r>
          </w:p>
        </w:tc>
        <w:tc>
          <w:tcPr>
            <w:tcW w:w="3020" w:type="dxa"/>
            <w:tcBorders>
              <w:top w:val="nil"/>
              <w:left w:val="nil"/>
              <w:bottom w:val="single" w:color="auto" w:sz="4" w:space="0"/>
              <w:right w:val="single" w:color="auto" w:sz="4" w:space="0"/>
            </w:tcBorders>
            <w:vAlign w:val="center"/>
          </w:tcPr>
          <w:p>
            <w:pPr>
              <w:spacing w:line="360" w:lineRule="auto"/>
            </w:pPr>
            <w:r>
              <w:rPr>
                <w:rFonts w:hint="eastAsia"/>
              </w:rPr>
              <w:t>根据培训计划、结合配需实施情况以及对学员的质量调查情况，对培训结果进行分析总结。</w:t>
            </w:r>
          </w:p>
        </w:tc>
        <w:tc>
          <w:tcPr>
            <w:tcW w:w="2020" w:type="dxa"/>
            <w:tcBorders>
              <w:top w:val="nil"/>
              <w:left w:val="nil"/>
              <w:bottom w:val="single" w:color="auto" w:sz="4" w:space="0"/>
              <w:right w:val="single" w:color="auto" w:sz="4" w:space="0"/>
            </w:tcBorders>
            <w:vAlign w:val="center"/>
          </w:tcPr>
          <w:p>
            <w:pPr>
              <w:spacing w:line="360" w:lineRule="auto"/>
            </w:pPr>
            <w:r>
              <w:rPr>
                <w:rFonts w:hint="eastAsia"/>
              </w:rPr>
              <w:t>《培训结果分析表》</w:t>
            </w:r>
          </w:p>
        </w:tc>
      </w:tr>
      <w:tr>
        <w:tblPrEx>
          <w:tblLayout w:type="fixed"/>
          <w:tblCellMar>
            <w:top w:w="0" w:type="dxa"/>
            <w:left w:w="108" w:type="dxa"/>
            <w:bottom w:w="0" w:type="dxa"/>
            <w:right w:w="108" w:type="dxa"/>
          </w:tblCellMar>
        </w:tblPrEx>
        <w:trPr>
          <w:trHeight w:val="1020" w:hRule="atLeast"/>
        </w:trPr>
        <w:tc>
          <w:tcPr>
            <w:tcW w:w="724" w:type="dxa"/>
            <w:tcBorders>
              <w:top w:val="nil"/>
              <w:left w:val="single" w:color="auto" w:sz="4" w:space="0"/>
              <w:bottom w:val="single" w:color="auto" w:sz="4" w:space="0"/>
              <w:right w:val="single" w:color="auto" w:sz="4" w:space="0"/>
            </w:tcBorders>
            <w:vAlign w:val="center"/>
          </w:tcPr>
          <w:p>
            <w:pPr>
              <w:spacing w:line="360" w:lineRule="auto"/>
            </w:pPr>
            <w:r>
              <w:rPr>
                <w:rFonts w:hint="eastAsia"/>
              </w:rPr>
              <w:t>12</w:t>
            </w:r>
          </w:p>
        </w:tc>
        <w:tc>
          <w:tcPr>
            <w:tcW w:w="1476" w:type="dxa"/>
            <w:tcBorders>
              <w:top w:val="nil"/>
              <w:left w:val="nil"/>
              <w:bottom w:val="single" w:color="auto" w:sz="4" w:space="0"/>
              <w:right w:val="single" w:color="auto" w:sz="4" w:space="0"/>
            </w:tcBorders>
            <w:vAlign w:val="center"/>
          </w:tcPr>
          <w:p>
            <w:pPr>
              <w:spacing w:line="360" w:lineRule="auto"/>
            </w:pPr>
            <w:r>
              <w:rPr>
                <w:rFonts w:hint="eastAsia"/>
              </w:rPr>
              <w:t>培训总结</w:t>
            </w:r>
          </w:p>
        </w:tc>
        <w:tc>
          <w:tcPr>
            <w:tcW w:w="1220" w:type="dxa"/>
            <w:tcBorders>
              <w:top w:val="nil"/>
              <w:left w:val="nil"/>
              <w:bottom w:val="single" w:color="auto" w:sz="4" w:space="0"/>
              <w:right w:val="single" w:color="auto" w:sz="4" w:space="0"/>
            </w:tcBorders>
            <w:vAlign w:val="center"/>
          </w:tcPr>
          <w:p>
            <w:pPr>
              <w:spacing w:line="360" w:lineRule="auto"/>
            </w:pPr>
            <w:r>
              <w:rPr>
                <w:rFonts w:hint="eastAsia"/>
              </w:rPr>
              <w:t>培训工作组</w:t>
            </w:r>
          </w:p>
        </w:tc>
        <w:tc>
          <w:tcPr>
            <w:tcW w:w="3020" w:type="dxa"/>
            <w:tcBorders>
              <w:top w:val="nil"/>
              <w:left w:val="nil"/>
              <w:bottom w:val="single" w:color="auto" w:sz="4" w:space="0"/>
              <w:right w:val="single" w:color="auto" w:sz="4" w:space="0"/>
            </w:tcBorders>
            <w:vAlign w:val="center"/>
          </w:tcPr>
          <w:p>
            <w:pPr>
              <w:spacing w:line="360" w:lineRule="auto"/>
            </w:pPr>
            <w:r>
              <w:rPr>
                <w:rFonts w:hint="eastAsia"/>
              </w:rPr>
              <w:t>编写培训总结，对培训过程进行总结，总结经验，对存在的不足进行分析、确定改进办法。</w:t>
            </w:r>
          </w:p>
        </w:tc>
        <w:tc>
          <w:tcPr>
            <w:tcW w:w="2020" w:type="dxa"/>
            <w:tcBorders>
              <w:top w:val="nil"/>
              <w:left w:val="nil"/>
              <w:bottom w:val="single" w:color="auto" w:sz="4" w:space="0"/>
              <w:right w:val="single" w:color="auto" w:sz="4" w:space="0"/>
            </w:tcBorders>
            <w:vAlign w:val="center"/>
          </w:tcPr>
          <w:p>
            <w:pPr>
              <w:spacing w:line="360" w:lineRule="auto"/>
            </w:pPr>
            <w:r>
              <w:rPr>
                <w:rFonts w:hint="eastAsia"/>
              </w:rPr>
              <w:t>《培训总结》</w:t>
            </w:r>
          </w:p>
        </w:tc>
      </w:tr>
      <w:tr>
        <w:tblPrEx>
          <w:tblLayout w:type="fixed"/>
          <w:tblCellMar>
            <w:top w:w="0" w:type="dxa"/>
            <w:left w:w="108" w:type="dxa"/>
            <w:bottom w:w="0" w:type="dxa"/>
            <w:right w:w="108" w:type="dxa"/>
          </w:tblCellMar>
        </w:tblPrEx>
        <w:trPr>
          <w:trHeight w:val="510" w:hRule="atLeast"/>
        </w:trPr>
        <w:tc>
          <w:tcPr>
            <w:tcW w:w="724" w:type="dxa"/>
            <w:tcBorders>
              <w:top w:val="nil"/>
              <w:left w:val="single" w:color="auto" w:sz="4" w:space="0"/>
              <w:bottom w:val="single" w:color="auto" w:sz="4" w:space="0"/>
              <w:right w:val="single" w:color="auto" w:sz="4" w:space="0"/>
            </w:tcBorders>
            <w:vAlign w:val="center"/>
          </w:tcPr>
          <w:p>
            <w:pPr>
              <w:spacing w:line="360" w:lineRule="auto"/>
            </w:pPr>
            <w:r>
              <w:rPr>
                <w:rFonts w:hint="eastAsia"/>
              </w:rPr>
              <w:t>13</w:t>
            </w:r>
          </w:p>
        </w:tc>
        <w:tc>
          <w:tcPr>
            <w:tcW w:w="1476" w:type="dxa"/>
            <w:tcBorders>
              <w:top w:val="nil"/>
              <w:left w:val="nil"/>
              <w:bottom w:val="single" w:color="auto" w:sz="4" w:space="0"/>
              <w:right w:val="single" w:color="auto" w:sz="4" w:space="0"/>
            </w:tcBorders>
            <w:vAlign w:val="center"/>
          </w:tcPr>
          <w:p>
            <w:pPr>
              <w:spacing w:line="360" w:lineRule="auto"/>
            </w:pPr>
            <w:r>
              <w:rPr>
                <w:rFonts w:hint="eastAsia"/>
              </w:rPr>
              <w:t>资料归档</w:t>
            </w:r>
          </w:p>
        </w:tc>
        <w:tc>
          <w:tcPr>
            <w:tcW w:w="1220" w:type="dxa"/>
            <w:tcBorders>
              <w:top w:val="nil"/>
              <w:left w:val="nil"/>
              <w:bottom w:val="single" w:color="auto" w:sz="4" w:space="0"/>
              <w:right w:val="single" w:color="auto" w:sz="4" w:space="0"/>
            </w:tcBorders>
            <w:vAlign w:val="center"/>
          </w:tcPr>
          <w:p>
            <w:pPr>
              <w:spacing w:line="360" w:lineRule="auto"/>
            </w:pPr>
            <w:r>
              <w:rPr>
                <w:rFonts w:hint="eastAsia"/>
              </w:rPr>
              <w:t>质量管理员</w:t>
            </w:r>
          </w:p>
        </w:tc>
        <w:tc>
          <w:tcPr>
            <w:tcW w:w="3020" w:type="dxa"/>
            <w:tcBorders>
              <w:top w:val="nil"/>
              <w:left w:val="nil"/>
              <w:bottom w:val="single" w:color="auto" w:sz="4" w:space="0"/>
              <w:right w:val="single" w:color="auto" w:sz="4" w:space="0"/>
            </w:tcBorders>
            <w:vAlign w:val="center"/>
          </w:tcPr>
          <w:p>
            <w:pPr>
              <w:spacing w:line="360" w:lineRule="auto"/>
            </w:pPr>
            <w:r>
              <w:rPr>
                <w:rFonts w:hint="eastAsia"/>
              </w:rPr>
              <w:t>对所有文档斤进行登记、存档。</w:t>
            </w:r>
          </w:p>
        </w:tc>
        <w:tc>
          <w:tcPr>
            <w:tcW w:w="2020" w:type="dxa"/>
            <w:tcBorders>
              <w:top w:val="nil"/>
              <w:left w:val="nil"/>
              <w:bottom w:val="single" w:color="auto" w:sz="4" w:space="0"/>
              <w:right w:val="single" w:color="auto" w:sz="4" w:space="0"/>
            </w:tcBorders>
            <w:vAlign w:val="center"/>
          </w:tcPr>
          <w:p>
            <w:pPr>
              <w:spacing w:line="360" w:lineRule="auto"/>
            </w:pPr>
            <w:r>
              <w:rPr>
                <w:rFonts w:hint="eastAsia"/>
              </w:rPr>
              <w:t>所有相关的过程文档</w:t>
            </w:r>
          </w:p>
        </w:tc>
      </w:tr>
    </w:tbl>
    <w:p>
      <w:pPr>
        <w:spacing w:line="360" w:lineRule="auto"/>
      </w:pPr>
    </w:p>
    <w:p>
      <w:pPr>
        <w:spacing w:line="360" w:lineRule="auto"/>
        <w:rPr>
          <w:sz w:val="24"/>
          <w:szCs w:val="24"/>
        </w:rPr>
      </w:pPr>
      <w:r>
        <w:rPr>
          <w:rFonts w:hint="eastAsia"/>
          <w:sz w:val="24"/>
          <w:szCs w:val="24"/>
        </w:rPr>
        <w:t>一、培训申请</w:t>
      </w:r>
      <w:r>
        <w:rPr>
          <w:rFonts w:hint="eastAsia"/>
          <w:sz w:val="24"/>
          <w:szCs w:val="24"/>
        </w:rPr>
        <w:tab/>
      </w:r>
    </w:p>
    <w:p>
      <w:pPr>
        <w:spacing w:line="360" w:lineRule="auto"/>
        <w:rPr>
          <w:sz w:val="24"/>
          <w:szCs w:val="24"/>
        </w:rPr>
      </w:pPr>
      <w:r>
        <w:rPr>
          <w:rFonts w:hint="eastAsia"/>
          <w:sz w:val="24"/>
          <w:szCs w:val="24"/>
        </w:rPr>
        <w:t>了解培训需求情况，填写《技术服务申请表》，提交培训申请。</w:t>
      </w:r>
    </w:p>
    <w:p>
      <w:pPr>
        <w:spacing w:line="360" w:lineRule="auto"/>
        <w:rPr>
          <w:sz w:val="24"/>
          <w:szCs w:val="24"/>
        </w:rPr>
      </w:pPr>
      <w:r>
        <w:rPr>
          <w:rFonts w:hint="eastAsia"/>
          <w:sz w:val="24"/>
          <w:szCs w:val="24"/>
        </w:rPr>
        <w:t>表一：《技术服务申请单》</w:t>
      </w:r>
    </w:p>
    <w:p>
      <w:pPr>
        <w:spacing w:line="360" w:lineRule="auto"/>
        <w:rPr>
          <w:sz w:val="24"/>
          <w:szCs w:val="24"/>
        </w:rPr>
      </w:pPr>
      <w:r>
        <w:rPr>
          <w:sz w:val="24"/>
          <w:szCs w:val="24"/>
        </w:rPr>
        <w:fldChar w:fldCharType="begin"/>
      </w:r>
      <w:r>
        <w:rPr>
          <w:sz w:val="24"/>
          <w:szCs w:val="24"/>
        </w:rPr>
        <w:instrText xml:space="preserve"> DOCPROPERTY  Title  \* MERGEFORMAT </w:instrText>
      </w:r>
      <w:r>
        <w:rPr>
          <w:sz w:val="24"/>
          <w:szCs w:val="24"/>
        </w:rPr>
        <w:fldChar w:fldCharType="separate"/>
      </w:r>
      <w:r>
        <w:rPr>
          <w:rFonts w:hint="eastAsia"/>
          <w:sz w:val="24"/>
          <w:szCs w:val="24"/>
        </w:rPr>
        <w:t>技术服务申请单</w:t>
      </w:r>
      <w:r>
        <w:rPr>
          <w:rFonts w:hint="eastAsia"/>
          <w:sz w:val="24"/>
          <w:szCs w:val="24"/>
        </w:rPr>
        <w:fldChar w:fldCharType="end"/>
      </w:r>
    </w:p>
    <w:p>
      <w:pPr>
        <w:spacing w:line="360" w:lineRule="auto"/>
      </w:pPr>
      <w:r>
        <w:rPr>
          <w:rFonts w:hint="eastAsia"/>
          <w:sz w:val="24"/>
          <w:szCs w:val="24"/>
        </w:rPr>
        <w:t xml:space="preserve">编号：JSFW- </w:t>
      </w:r>
    </w:p>
    <w:tbl>
      <w:tblPr>
        <w:tblStyle w:val="34"/>
        <w:tblW w:w="86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424"/>
        <w:gridCol w:w="42"/>
        <w:gridCol w:w="616"/>
        <w:gridCol w:w="782"/>
        <w:gridCol w:w="363"/>
        <w:gridCol w:w="1077"/>
        <w:gridCol w:w="1620"/>
        <w:gridCol w:w="429"/>
        <w:gridCol w:w="901"/>
        <w:gridCol w:w="298"/>
        <w:gridCol w:w="1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8682" w:type="dxa"/>
            <w:gridSpan w:val="12"/>
            <w:tcBorders>
              <w:top w:val="double" w:color="auto" w:sz="4" w:space="0"/>
              <w:left w:val="double" w:color="auto" w:sz="4" w:space="0"/>
              <w:bottom w:val="double" w:color="auto" w:sz="4" w:space="0"/>
              <w:right w:val="double" w:color="auto" w:sz="4" w:space="0"/>
            </w:tcBorders>
            <w:shd w:val="clear" w:color="auto" w:fill="CCCCCC"/>
            <w:vAlign w:val="center"/>
          </w:tcPr>
          <w:p>
            <w:pPr>
              <w:spacing w:line="360" w:lineRule="auto"/>
            </w:pPr>
            <w:r>
              <w:rPr>
                <w:rFonts w:hint="eastAsia"/>
              </w:rPr>
              <w:t>申请信息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49" w:type="dxa"/>
            <w:gridSpan w:val="4"/>
            <w:tcBorders>
              <w:top w:val="double" w:color="auto" w:sz="4" w:space="0"/>
              <w:left w:val="double" w:color="auto" w:sz="4" w:space="0"/>
            </w:tcBorders>
            <w:vAlign w:val="center"/>
          </w:tcPr>
          <w:p>
            <w:pPr>
              <w:spacing w:line="360" w:lineRule="auto"/>
            </w:pPr>
            <w:r>
              <w:rPr>
                <w:rFonts w:hint="eastAsia"/>
              </w:rPr>
              <w:t>项目/产品名称</w:t>
            </w:r>
          </w:p>
        </w:tc>
        <w:tc>
          <w:tcPr>
            <w:tcW w:w="2222" w:type="dxa"/>
            <w:gridSpan w:val="3"/>
            <w:tcBorders>
              <w:top w:val="double" w:color="auto" w:sz="4" w:space="0"/>
              <w:right w:val="single" w:color="auto" w:sz="4" w:space="0"/>
            </w:tcBorders>
            <w:vAlign w:val="center"/>
          </w:tcPr>
          <w:p>
            <w:pPr>
              <w:spacing w:line="360" w:lineRule="auto"/>
            </w:pPr>
          </w:p>
        </w:tc>
        <w:tc>
          <w:tcPr>
            <w:tcW w:w="2049" w:type="dxa"/>
            <w:gridSpan w:val="2"/>
            <w:tcBorders>
              <w:top w:val="double" w:color="auto" w:sz="4" w:space="0"/>
              <w:left w:val="single" w:color="auto" w:sz="4" w:space="0"/>
              <w:right w:val="single" w:color="auto" w:sz="4" w:space="0"/>
            </w:tcBorders>
            <w:vAlign w:val="center"/>
          </w:tcPr>
          <w:p>
            <w:pPr>
              <w:spacing w:line="360" w:lineRule="auto"/>
            </w:pPr>
            <w:r>
              <w:rPr>
                <w:rFonts w:hint="eastAsia"/>
              </w:rPr>
              <w:t>申请提出单位/人</w:t>
            </w:r>
          </w:p>
        </w:tc>
        <w:tc>
          <w:tcPr>
            <w:tcW w:w="2562" w:type="dxa"/>
            <w:gridSpan w:val="3"/>
            <w:tcBorders>
              <w:top w:val="double" w:color="auto" w:sz="4" w:space="0"/>
              <w:left w:val="single" w:color="auto" w:sz="4" w:space="0"/>
              <w:right w:val="doub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49" w:type="dxa"/>
            <w:gridSpan w:val="4"/>
            <w:tcBorders>
              <w:left w:val="double" w:color="auto" w:sz="4" w:space="0"/>
              <w:bottom w:val="single" w:color="auto" w:sz="4" w:space="0"/>
            </w:tcBorders>
            <w:vAlign w:val="center"/>
          </w:tcPr>
          <w:p>
            <w:pPr>
              <w:spacing w:line="360" w:lineRule="auto"/>
            </w:pPr>
            <w:r>
              <w:rPr>
                <w:rFonts w:hint="eastAsia"/>
              </w:rPr>
              <w:t>提出申请时间</w:t>
            </w:r>
          </w:p>
        </w:tc>
        <w:tc>
          <w:tcPr>
            <w:tcW w:w="2222" w:type="dxa"/>
            <w:gridSpan w:val="3"/>
            <w:tcBorders>
              <w:bottom w:val="single" w:color="auto" w:sz="4" w:space="0"/>
            </w:tcBorders>
            <w:vAlign w:val="center"/>
          </w:tcPr>
          <w:p>
            <w:pPr>
              <w:spacing w:line="360" w:lineRule="auto"/>
            </w:pPr>
          </w:p>
        </w:tc>
        <w:tc>
          <w:tcPr>
            <w:tcW w:w="2049" w:type="dxa"/>
            <w:gridSpan w:val="2"/>
            <w:tcBorders>
              <w:bottom w:val="single" w:color="auto" w:sz="4" w:space="0"/>
            </w:tcBorders>
            <w:vAlign w:val="center"/>
          </w:tcPr>
          <w:p>
            <w:pPr>
              <w:spacing w:line="360" w:lineRule="auto"/>
            </w:pPr>
            <w:r>
              <w:rPr>
                <w:rFonts w:hint="eastAsia"/>
              </w:rPr>
              <w:t>要求完成时间</w:t>
            </w:r>
          </w:p>
        </w:tc>
        <w:tc>
          <w:tcPr>
            <w:tcW w:w="2562" w:type="dxa"/>
            <w:gridSpan w:val="3"/>
            <w:tcBorders>
              <w:bottom w:val="single" w:color="auto" w:sz="4" w:space="0"/>
              <w:right w:val="doub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849" w:type="dxa"/>
            <w:gridSpan w:val="4"/>
            <w:tcBorders>
              <w:left w:val="double" w:color="auto" w:sz="4" w:space="0"/>
              <w:bottom w:val="single" w:color="auto" w:sz="4" w:space="0"/>
            </w:tcBorders>
            <w:vAlign w:val="center"/>
          </w:tcPr>
          <w:p>
            <w:pPr>
              <w:spacing w:line="360" w:lineRule="auto"/>
            </w:pPr>
            <w:r>
              <w:rPr>
                <w:rFonts w:hint="eastAsia"/>
              </w:rPr>
              <w:t>服务类型</w:t>
            </w:r>
          </w:p>
        </w:tc>
        <w:tc>
          <w:tcPr>
            <w:tcW w:w="6833" w:type="dxa"/>
            <w:gridSpan w:val="8"/>
            <w:tcBorders>
              <w:bottom w:val="single" w:color="auto" w:sz="4" w:space="0"/>
              <w:right w:val="double" w:color="auto" w:sz="4" w:space="0"/>
            </w:tcBorders>
            <w:vAlign w:val="center"/>
          </w:tcPr>
          <w:p>
            <w:pPr>
              <w:spacing w:line="360" w:lineRule="auto"/>
            </w:pPr>
            <w:r>
              <w:rPr>
                <w:rFonts w:hint="eastAsia"/>
              </w:rPr>
              <w:t>□资料编写     □培训服务    □现场服务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849" w:type="dxa"/>
            <w:gridSpan w:val="4"/>
            <w:tcBorders>
              <w:left w:val="double" w:color="auto" w:sz="4" w:space="0"/>
              <w:bottom w:val="single" w:color="auto" w:sz="4" w:space="0"/>
            </w:tcBorders>
            <w:vAlign w:val="center"/>
          </w:tcPr>
          <w:p>
            <w:pPr>
              <w:spacing w:line="360" w:lineRule="auto"/>
            </w:pPr>
            <w:r>
              <w:rPr>
                <w:rFonts w:hint="eastAsia"/>
              </w:rPr>
              <w:t>资料密级</w:t>
            </w:r>
          </w:p>
        </w:tc>
        <w:tc>
          <w:tcPr>
            <w:tcW w:w="6833" w:type="dxa"/>
            <w:gridSpan w:val="8"/>
            <w:tcBorders>
              <w:bottom w:val="single" w:color="auto" w:sz="4" w:space="0"/>
              <w:right w:val="double" w:color="auto" w:sz="4" w:space="0"/>
            </w:tcBorders>
            <w:vAlign w:val="center"/>
          </w:tcPr>
          <w:p>
            <w:pPr>
              <w:spacing w:line="360" w:lineRule="auto"/>
            </w:pPr>
            <w:r>
              <w:rPr>
                <w:rFonts w:hint="eastAsia"/>
              </w:rPr>
              <w:t>□绝密     □机密      □秘密     □内部资料   □公开资料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6" w:hRule="atLeast"/>
          <w:jc w:val="center"/>
        </w:trPr>
        <w:tc>
          <w:tcPr>
            <w:tcW w:w="767" w:type="dxa"/>
            <w:tcBorders>
              <w:top w:val="single" w:color="auto" w:sz="4" w:space="0"/>
              <w:left w:val="double" w:color="auto" w:sz="4" w:space="0"/>
              <w:bottom w:val="single" w:color="auto" w:sz="4" w:space="0"/>
              <w:right w:val="single" w:color="auto" w:sz="4" w:space="0"/>
            </w:tcBorders>
            <w:vAlign w:val="center"/>
          </w:tcPr>
          <w:p>
            <w:pPr>
              <w:spacing w:line="360" w:lineRule="auto"/>
            </w:pPr>
            <w:r>
              <w:rPr>
                <w:rFonts w:hint="eastAsia"/>
              </w:rPr>
              <w:t>本次申请内容简述</w:t>
            </w:r>
          </w:p>
        </w:tc>
        <w:tc>
          <w:tcPr>
            <w:tcW w:w="7915" w:type="dxa"/>
            <w:gridSpan w:val="11"/>
            <w:tcBorders>
              <w:top w:val="single" w:color="auto" w:sz="4" w:space="0"/>
              <w:left w:val="single" w:color="auto" w:sz="4" w:space="0"/>
              <w:bottom w:val="single" w:color="auto" w:sz="4" w:space="0"/>
              <w:right w:val="doub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jc w:val="center"/>
        </w:trPr>
        <w:tc>
          <w:tcPr>
            <w:tcW w:w="767" w:type="dxa"/>
            <w:tcBorders>
              <w:top w:val="single" w:color="auto" w:sz="4" w:space="0"/>
              <w:left w:val="double" w:color="auto" w:sz="4" w:space="0"/>
              <w:bottom w:val="double" w:color="auto" w:sz="4" w:space="0"/>
              <w:right w:val="single" w:color="auto" w:sz="4" w:space="0"/>
            </w:tcBorders>
            <w:vAlign w:val="center"/>
          </w:tcPr>
          <w:p>
            <w:pPr>
              <w:spacing w:line="360" w:lineRule="auto"/>
            </w:pPr>
            <w:r>
              <w:rPr>
                <w:rFonts w:hint="eastAsia"/>
              </w:rPr>
              <w:t>申请单位领导审批</w:t>
            </w:r>
          </w:p>
        </w:tc>
        <w:tc>
          <w:tcPr>
            <w:tcW w:w="7915" w:type="dxa"/>
            <w:gridSpan w:val="11"/>
            <w:tcBorders>
              <w:top w:val="single" w:color="auto" w:sz="4" w:space="0"/>
              <w:left w:val="single" w:color="auto" w:sz="4" w:space="0"/>
              <w:bottom w:val="double" w:color="auto" w:sz="4" w:space="0"/>
              <w:right w:val="double" w:color="auto" w:sz="4" w:space="0"/>
            </w:tcBorders>
            <w:vAlign w:val="center"/>
          </w:tcPr>
          <w:p>
            <w:pPr>
              <w:spacing w:line="360" w:lineRule="auto"/>
            </w:pPr>
          </w:p>
          <w:p>
            <w:pPr>
              <w:spacing w:line="360" w:lineRule="auto"/>
            </w:pPr>
          </w:p>
          <w:p>
            <w:pPr>
              <w:spacing w:line="360" w:lineRule="auto"/>
            </w:pPr>
            <w:r>
              <w:rPr>
                <w:rFonts w:hint="eastAsia"/>
              </w:rPr>
              <w:t xml:space="preserve">                          签字（公章）：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8682" w:type="dxa"/>
            <w:gridSpan w:val="12"/>
            <w:tcBorders>
              <w:top w:val="double" w:color="auto" w:sz="4" w:space="0"/>
              <w:left w:val="double" w:color="auto" w:sz="4" w:space="0"/>
              <w:bottom w:val="double" w:color="auto" w:sz="4" w:space="0"/>
              <w:right w:val="double" w:color="auto" w:sz="4" w:space="0"/>
            </w:tcBorders>
            <w:shd w:val="clear" w:color="auto" w:fill="CCCCCC"/>
            <w:vAlign w:val="center"/>
          </w:tcPr>
          <w:p>
            <w:pPr>
              <w:spacing w:line="360" w:lineRule="auto"/>
            </w:pPr>
            <w:r>
              <w:rPr>
                <w:rFonts w:hint="eastAsia"/>
              </w:rPr>
              <w:t>受理信息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0" w:hRule="atLeast"/>
          <w:jc w:val="center"/>
        </w:trPr>
        <w:tc>
          <w:tcPr>
            <w:tcW w:w="1191" w:type="dxa"/>
            <w:gridSpan w:val="2"/>
            <w:tcBorders>
              <w:top w:val="double" w:color="auto" w:sz="4" w:space="0"/>
              <w:left w:val="double" w:color="auto" w:sz="4" w:space="0"/>
              <w:right w:val="single" w:color="auto" w:sz="4" w:space="0"/>
            </w:tcBorders>
            <w:vAlign w:val="center"/>
          </w:tcPr>
          <w:p>
            <w:pPr>
              <w:spacing w:line="360" w:lineRule="auto"/>
            </w:pPr>
            <w:r>
              <w:rPr>
                <w:rFonts w:hint="eastAsia"/>
              </w:rPr>
              <w:t>受理部门经理/项目经理</w:t>
            </w:r>
          </w:p>
        </w:tc>
        <w:tc>
          <w:tcPr>
            <w:tcW w:w="1440" w:type="dxa"/>
            <w:gridSpan w:val="3"/>
            <w:tcBorders>
              <w:top w:val="double" w:color="auto" w:sz="4" w:space="0"/>
              <w:left w:val="single" w:color="auto" w:sz="4" w:space="0"/>
              <w:right w:val="single" w:color="auto" w:sz="4" w:space="0"/>
            </w:tcBorders>
            <w:vAlign w:val="center"/>
          </w:tcPr>
          <w:p>
            <w:pPr>
              <w:spacing w:line="360" w:lineRule="auto"/>
            </w:pPr>
          </w:p>
        </w:tc>
        <w:tc>
          <w:tcPr>
            <w:tcW w:w="1440" w:type="dxa"/>
            <w:gridSpan w:val="2"/>
            <w:tcBorders>
              <w:top w:val="double" w:color="auto" w:sz="4" w:space="0"/>
              <w:left w:val="single" w:color="auto" w:sz="4" w:space="0"/>
              <w:right w:val="single" w:color="auto" w:sz="4" w:space="0"/>
            </w:tcBorders>
            <w:vAlign w:val="center"/>
          </w:tcPr>
          <w:p>
            <w:pPr>
              <w:spacing w:line="360" w:lineRule="auto"/>
            </w:pPr>
            <w:r>
              <w:rPr>
                <w:rFonts w:hint="eastAsia"/>
              </w:rPr>
              <w:t>任务实施人</w:t>
            </w:r>
          </w:p>
        </w:tc>
        <w:tc>
          <w:tcPr>
            <w:tcW w:w="1620" w:type="dxa"/>
            <w:tcBorders>
              <w:top w:val="double" w:color="auto" w:sz="4" w:space="0"/>
              <w:left w:val="single" w:color="auto" w:sz="4" w:space="0"/>
              <w:right w:val="single" w:color="auto" w:sz="4" w:space="0"/>
            </w:tcBorders>
            <w:vAlign w:val="center"/>
          </w:tcPr>
          <w:p>
            <w:pPr>
              <w:spacing w:line="360" w:lineRule="auto"/>
            </w:pPr>
          </w:p>
        </w:tc>
        <w:tc>
          <w:tcPr>
            <w:tcW w:w="1628" w:type="dxa"/>
            <w:gridSpan w:val="3"/>
            <w:tcBorders>
              <w:top w:val="double" w:color="auto" w:sz="4" w:space="0"/>
              <w:left w:val="single" w:color="auto" w:sz="4" w:space="0"/>
              <w:right w:val="single" w:color="auto" w:sz="4" w:space="0"/>
            </w:tcBorders>
            <w:vAlign w:val="center"/>
          </w:tcPr>
          <w:p>
            <w:pPr>
              <w:spacing w:line="360" w:lineRule="auto"/>
            </w:pPr>
            <w:r>
              <w:rPr>
                <w:rFonts w:hint="eastAsia"/>
              </w:rPr>
              <w:t>受理时间</w:t>
            </w:r>
          </w:p>
        </w:tc>
        <w:tc>
          <w:tcPr>
            <w:tcW w:w="1363" w:type="dxa"/>
            <w:tcBorders>
              <w:top w:val="double" w:color="auto" w:sz="4" w:space="0"/>
              <w:left w:val="single" w:color="auto" w:sz="4" w:space="0"/>
              <w:right w:val="doub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82" w:type="dxa"/>
            <w:gridSpan w:val="12"/>
            <w:tcBorders>
              <w:top w:val="double" w:color="auto" w:sz="4" w:space="0"/>
              <w:left w:val="double" w:color="auto" w:sz="4" w:space="0"/>
              <w:bottom w:val="double" w:color="auto" w:sz="4" w:space="0"/>
              <w:right w:val="double" w:color="auto" w:sz="4" w:space="0"/>
            </w:tcBorders>
            <w:shd w:val="clear" w:color="auto" w:fill="D9D9D9"/>
            <w:vAlign w:val="center"/>
          </w:tcPr>
          <w:p>
            <w:pPr>
              <w:spacing w:line="360" w:lineRule="auto"/>
            </w:pPr>
            <w:r>
              <w:rPr>
                <w:rFonts w:hint="eastAsia"/>
              </w:rPr>
              <w:t>项目/产品相关情况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233" w:type="dxa"/>
            <w:gridSpan w:val="3"/>
            <w:tcBorders>
              <w:top w:val="double" w:color="auto" w:sz="4" w:space="0"/>
              <w:left w:val="double" w:color="auto" w:sz="4" w:space="0"/>
            </w:tcBorders>
            <w:vAlign w:val="center"/>
          </w:tcPr>
          <w:p>
            <w:pPr>
              <w:spacing w:line="360" w:lineRule="auto"/>
            </w:pPr>
            <w:r>
              <w:rPr>
                <w:rFonts w:hint="eastAsia"/>
              </w:rPr>
              <w:t>产品版本</w:t>
            </w:r>
          </w:p>
        </w:tc>
        <w:tc>
          <w:tcPr>
            <w:tcW w:w="2838" w:type="dxa"/>
            <w:gridSpan w:val="4"/>
            <w:tcBorders>
              <w:top w:val="double" w:color="auto" w:sz="4" w:space="0"/>
            </w:tcBorders>
            <w:vAlign w:val="center"/>
          </w:tcPr>
          <w:p>
            <w:pPr>
              <w:spacing w:line="360" w:lineRule="auto"/>
            </w:pPr>
            <w:r>
              <w:rPr>
                <w:rFonts w:hint="eastAsia"/>
              </w:rPr>
              <w:t>软件环境</w:t>
            </w:r>
          </w:p>
        </w:tc>
        <w:tc>
          <w:tcPr>
            <w:tcW w:w="2950" w:type="dxa"/>
            <w:gridSpan w:val="3"/>
            <w:tcBorders>
              <w:top w:val="double" w:color="auto" w:sz="4" w:space="0"/>
            </w:tcBorders>
            <w:vAlign w:val="center"/>
          </w:tcPr>
          <w:p>
            <w:pPr>
              <w:spacing w:line="360" w:lineRule="auto"/>
            </w:pPr>
            <w:r>
              <w:rPr>
                <w:rFonts w:hint="eastAsia"/>
              </w:rPr>
              <w:t>硬件环境</w:t>
            </w:r>
          </w:p>
        </w:tc>
        <w:tc>
          <w:tcPr>
            <w:tcW w:w="1661" w:type="dxa"/>
            <w:gridSpan w:val="2"/>
            <w:tcBorders>
              <w:top w:val="double" w:color="auto" w:sz="4" w:space="0"/>
              <w:bottom w:val="single" w:color="auto" w:sz="4" w:space="0"/>
              <w:right w:val="double" w:color="auto" w:sz="4" w:space="0"/>
            </w:tcBorders>
            <w:vAlign w:val="center"/>
          </w:tcPr>
          <w:p>
            <w:pPr>
              <w:spacing w:line="360" w:lineRule="auto"/>
            </w:pPr>
            <w:r>
              <w:rPr>
                <w:rFonts w:hint="eastAsia"/>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1233" w:type="dxa"/>
            <w:gridSpan w:val="3"/>
            <w:tcBorders>
              <w:left w:val="double" w:color="auto" w:sz="4" w:space="0"/>
            </w:tcBorders>
            <w:vAlign w:val="center"/>
          </w:tcPr>
          <w:p>
            <w:pPr>
              <w:spacing w:line="360" w:lineRule="auto"/>
            </w:pPr>
          </w:p>
        </w:tc>
        <w:tc>
          <w:tcPr>
            <w:tcW w:w="2838" w:type="dxa"/>
            <w:gridSpan w:val="4"/>
            <w:vAlign w:val="center"/>
          </w:tcPr>
          <w:p>
            <w:pPr>
              <w:spacing w:line="360" w:lineRule="auto"/>
            </w:pPr>
          </w:p>
        </w:tc>
        <w:tc>
          <w:tcPr>
            <w:tcW w:w="2950" w:type="dxa"/>
            <w:gridSpan w:val="3"/>
            <w:vAlign w:val="center"/>
          </w:tcPr>
          <w:p>
            <w:pPr>
              <w:spacing w:line="360" w:lineRule="auto"/>
            </w:pPr>
          </w:p>
        </w:tc>
        <w:tc>
          <w:tcPr>
            <w:tcW w:w="1661" w:type="dxa"/>
            <w:gridSpan w:val="2"/>
            <w:tcBorders>
              <w:right w:val="double" w:color="auto" w:sz="4" w:space="0"/>
            </w:tcBorders>
            <w:vAlign w:val="center"/>
          </w:tcPr>
          <w:p>
            <w:pPr>
              <w:spacing w:line="360" w:lineRule="auto"/>
            </w:pPr>
          </w:p>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82" w:type="dxa"/>
            <w:gridSpan w:val="12"/>
            <w:tcBorders>
              <w:top w:val="double" w:color="auto" w:sz="4" w:space="0"/>
              <w:left w:val="double" w:color="auto" w:sz="4" w:space="0"/>
              <w:bottom w:val="double" w:color="auto" w:sz="4" w:space="0"/>
              <w:right w:val="double" w:color="auto" w:sz="4" w:space="0"/>
            </w:tcBorders>
            <w:shd w:val="clear" w:color="auto" w:fill="D9D9D9"/>
            <w:vAlign w:val="center"/>
          </w:tcPr>
          <w:p>
            <w:pPr>
              <w:spacing w:line="360" w:lineRule="auto"/>
            </w:pPr>
            <w:r>
              <w:rPr>
                <w:rFonts w:hint="eastAsia"/>
              </w:rPr>
              <w:t>初步诊断及预案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50" w:hRule="atLeast"/>
          <w:jc w:val="center"/>
        </w:trPr>
        <w:tc>
          <w:tcPr>
            <w:tcW w:w="8682" w:type="dxa"/>
            <w:gridSpan w:val="12"/>
            <w:tcBorders>
              <w:top w:val="double" w:color="auto" w:sz="4" w:space="0"/>
              <w:left w:val="double" w:color="auto" w:sz="4" w:space="0"/>
              <w:bottom w:val="double" w:color="auto" w:sz="4" w:space="0"/>
              <w:right w:val="doub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767" w:type="dxa"/>
            <w:tcBorders>
              <w:top w:val="double" w:color="auto" w:sz="4" w:space="0"/>
              <w:left w:val="double" w:color="auto" w:sz="4" w:space="0"/>
            </w:tcBorders>
            <w:vAlign w:val="center"/>
          </w:tcPr>
          <w:p>
            <w:pPr>
              <w:spacing w:line="360" w:lineRule="auto"/>
            </w:pPr>
            <w:r>
              <w:rPr>
                <w:rFonts w:hint="eastAsia"/>
              </w:rPr>
              <w:t>审批意见</w:t>
            </w:r>
          </w:p>
        </w:tc>
        <w:tc>
          <w:tcPr>
            <w:tcW w:w="7915" w:type="dxa"/>
            <w:gridSpan w:val="11"/>
            <w:tcBorders>
              <w:top w:val="double" w:color="auto" w:sz="4" w:space="0"/>
              <w:right w:val="double" w:color="auto" w:sz="4" w:space="0"/>
            </w:tcBorders>
            <w:vAlign w:val="center"/>
          </w:tcPr>
          <w:p>
            <w:pPr>
              <w:spacing w:line="360" w:lineRule="auto"/>
            </w:pPr>
          </w:p>
          <w:p>
            <w:pPr>
              <w:spacing w:line="360" w:lineRule="auto"/>
            </w:pPr>
          </w:p>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8682" w:type="dxa"/>
            <w:gridSpan w:val="12"/>
            <w:tcBorders>
              <w:top w:val="double" w:color="auto" w:sz="4" w:space="0"/>
              <w:left w:val="double" w:color="auto" w:sz="4" w:space="0"/>
              <w:bottom w:val="double" w:color="auto" w:sz="4" w:space="0"/>
              <w:right w:val="double" w:color="auto" w:sz="4" w:space="0"/>
            </w:tcBorders>
            <w:shd w:val="clear" w:color="auto" w:fill="CCCCCC"/>
            <w:vAlign w:val="center"/>
          </w:tcPr>
          <w:p>
            <w:pPr>
              <w:spacing w:line="360" w:lineRule="auto"/>
            </w:pPr>
            <w:r>
              <w:rPr>
                <w:rFonts w:hint="eastAsia"/>
              </w:rPr>
              <w:t>过程及结果记录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9" w:hRule="atLeast"/>
          <w:jc w:val="center"/>
        </w:trPr>
        <w:tc>
          <w:tcPr>
            <w:tcW w:w="767" w:type="dxa"/>
            <w:tcBorders>
              <w:left w:val="double" w:color="auto" w:sz="4" w:space="0"/>
              <w:bottom w:val="double" w:color="auto" w:sz="4" w:space="0"/>
            </w:tcBorders>
            <w:vAlign w:val="center"/>
          </w:tcPr>
          <w:p>
            <w:pPr>
              <w:spacing w:line="360" w:lineRule="auto"/>
            </w:pPr>
            <w:r>
              <w:rPr>
                <w:rFonts w:hint="eastAsia"/>
              </w:rPr>
              <w:t>解决过程及结果</w:t>
            </w:r>
          </w:p>
        </w:tc>
        <w:tc>
          <w:tcPr>
            <w:tcW w:w="7915" w:type="dxa"/>
            <w:gridSpan w:val="11"/>
            <w:tcBorders>
              <w:bottom w:val="double" w:color="auto" w:sz="4" w:space="0"/>
              <w:right w:val="double" w:color="auto" w:sz="4" w:space="0"/>
            </w:tcBorders>
            <w:vAlign w:val="center"/>
          </w:tcPr>
          <w:p>
            <w:pPr>
              <w:spacing w:line="360" w:lineRule="auto"/>
            </w:pPr>
          </w:p>
          <w:p>
            <w:pPr>
              <w:spacing w:line="360" w:lineRule="auto"/>
            </w:pPr>
          </w:p>
          <w:p>
            <w:pPr>
              <w:spacing w:line="360" w:lineRule="auto"/>
            </w:pPr>
          </w:p>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7" w:hRule="atLeast"/>
          <w:jc w:val="center"/>
        </w:trPr>
        <w:tc>
          <w:tcPr>
            <w:tcW w:w="8682" w:type="dxa"/>
            <w:gridSpan w:val="12"/>
            <w:tcBorders>
              <w:top w:val="double" w:color="auto" w:sz="4" w:space="0"/>
              <w:left w:val="double" w:color="auto" w:sz="4" w:space="0"/>
              <w:bottom w:val="double" w:color="auto" w:sz="4" w:space="0"/>
              <w:right w:val="double" w:color="auto" w:sz="4" w:space="0"/>
            </w:tcBorders>
            <w:shd w:val="clear" w:color="auto" w:fill="E0E0E0"/>
            <w:vAlign w:val="center"/>
          </w:tcPr>
          <w:p>
            <w:pPr>
              <w:spacing w:line="360" w:lineRule="auto"/>
            </w:pPr>
            <w:r>
              <w:rPr>
                <w:rFonts w:hint="eastAsia"/>
              </w:rPr>
              <w:t>满意度调查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32" w:hRule="atLeast"/>
          <w:jc w:val="center"/>
        </w:trPr>
        <w:tc>
          <w:tcPr>
            <w:tcW w:w="8682" w:type="dxa"/>
            <w:gridSpan w:val="12"/>
            <w:tcBorders>
              <w:top w:val="double" w:color="auto" w:sz="4" w:space="0"/>
              <w:left w:val="double" w:color="auto" w:sz="4" w:space="0"/>
              <w:right w:val="double" w:color="auto" w:sz="4" w:space="0"/>
            </w:tcBorders>
          </w:tcPr>
          <w:p>
            <w:pPr>
              <w:spacing w:line="360" w:lineRule="auto"/>
            </w:pPr>
            <w:r>
              <w:rPr>
                <w:rFonts w:hint="eastAsia"/>
              </w:rPr>
              <w:t>您对本次服务响应及时性是否满意  非常满意[  ]   满意[  ]  一般[  ]   不满意[  ]  很不满意[  ]</w:t>
            </w:r>
          </w:p>
          <w:p>
            <w:pPr>
              <w:spacing w:line="360" w:lineRule="auto"/>
            </w:pPr>
            <w:r>
              <w:rPr>
                <w:rFonts w:hint="eastAsia"/>
              </w:rPr>
              <w:t>您对技术人员态度是否满意：      非常满意[  ]   满意[  ]  一般[  ]   不满意[  ]  很不满意[  ]</w:t>
            </w:r>
          </w:p>
          <w:p>
            <w:pPr>
              <w:spacing w:line="360" w:lineRule="auto"/>
            </w:pPr>
            <w:r>
              <w:rPr>
                <w:rFonts w:hint="eastAsia"/>
              </w:rPr>
              <w:t>您对技术人员的专业技能是否满意：非常满意[  ]   满意[  ]  一般[  ]   不满意[  ]  很不满意[  ]</w:t>
            </w:r>
          </w:p>
          <w:p>
            <w:pPr>
              <w:spacing w:line="360" w:lineRule="auto"/>
            </w:pPr>
            <w:r>
              <w:rPr>
                <w:rFonts w:hint="eastAsia"/>
              </w:rPr>
              <w:t>您对服务工作的建议和意见：</w:t>
            </w:r>
          </w:p>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3" w:type="dxa"/>
            <w:gridSpan w:val="3"/>
            <w:tcBorders>
              <w:left w:val="double" w:color="auto" w:sz="4" w:space="0"/>
            </w:tcBorders>
            <w:vAlign w:val="center"/>
          </w:tcPr>
          <w:p>
            <w:pPr>
              <w:spacing w:line="360" w:lineRule="auto"/>
            </w:pPr>
            <w:r>
              <w:rPr>
                <w:rFonts w:hint="eastAsia"/>
              </w:rPr>
              <w:t>技术人员签字</w:t>
            </w:r>
          </w:p>
        </w:tc>
        <w:tc>
          <w:tcPr>
            <w:tcW w:w="1761" w:type="dxa"/>
            <w:gridSpan w:val="3"/>
            <w:vAlign w:val="center"/>
          </w:tcPr>
          <w:p>
            <w:pPr>
              <w:spacing w:line="360" w:lineRule="auto"/>
            </w:pPr>
          </w:p>
        </w:tc>
        <w:tc>
          <w:tcPr>
            <w:tcW w:w="3126" w:type="dxa"/>
            <w:gridSpan w:val="3"/>
            <w:vAlign w:val="center"/>
          </w:tcPr>
          <w:p>
            <w:pPr>
              <w:spacing w:line="360" w:lineRule="auto"/>
            </w:pPr>
            <w:r>
              <w:rPr>
                <w:rFonts w:hint="eastAsia"/>
              </w:rPr>
              <w:t>申请单位对完成情况确认签字</w:t>
            </w:r>
          </w:p>
        </w:tc>
        <w:tc>
          <w:tcPr>
            <w:tcW w:w="2562" w:type="dxa"/>
            <w:gridSpan w:val="3"/>
            <w:tcBorders>
              <w:right w:val="doub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jc w:val="center"/>
        </w:trPr>
        <w:tc>
          <w:tcPr>
            <w:tcW w:w="1233" w:type="dxa"/>
            <w:gridSpan w:val="3"/>
            <w:tcBorders>
              <w:left w:val="double" w:color="auto" w:sz="4" w:space="0"/>
              <w:bottom w:val="double" w:color="auto" w:sz="4" w:space="0"/>
            </w:tcBorders>
            <w:vAlign w:val="center"/>
          </w:tcPr>
          <w:p>
            <w:pPr>
              <w:spacing w:line="360" w:lineRule="auto"/>
            </w:pPr>
            <w:r>
              <w:rPr>
                <w:rFonts w:hint="eastAsia"/>
              </w:rPr>
              <w:t>工作完成时间</w:t>
            </w:r>
          </w:p>
        </w:tc>
        <w:tc>
          <w:tcPr>
            <w:tcW w:w="1761" w:type="dxa"/>
            <w:gridSpan w:val="3"/>
            <w:tcBorders>
              <w:bottom w:val="double" w:color="auto" w:sz="4" w:space="0"/>
            </w:tcBorders>
            <w:vAlign w:val="center"/>
          </w:tcPr>
          <w:p>
            <w:pPr>
              <w:spacing w:line="360" w:lineRule="auto"/>
            </w:pPr>
          </w:p>
        </w:tc>
        <w:tc>
          <w:tcPr>
            <w:tcW w:w="3126" w:type="dxa"/>
            <w:gridSpan w:val="3"/>
            <w:tcBorders>
              <w:bottom w:val="double" w:color="auto" w:sz="4" w:space="0"/>
            </w:tcBorders>
            <w:vAlign w:val="center"/>
          </w:tcPr>
          <w:p>
            <w:pPr>
              <w:spacing w:line="360" w:lineRule="auto"/>
            </w:pPr>
            <w:r>
              <w:rPr>
                <w:rFonts w:hint="eastAsia"/>
              </w:rPr>
              <w:t>相关记录名称或编号</w:t>
            </w:r>
          </w:p>
        </w:tc>
        <w:tc>
          <w:tcPr>
            <w:tcW w:w="2562" w:type="dxa"/>
            <w:gridSpan w:val="3"/>
            <w:tcBorders>
              <w:bottom w:val="double" w:color="auto" w:sz="4" w:space="0"/>
              <w:right w:val="doub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82" w:type="dxa"/>
            <w:gridSpan w:val="12"/>
            <w:tcBorders>
              <w:top w:val="double" w:color="auto" w:sz="4" w:space="0"/>
              <w:left w:val="double" w:color="auto" w:sz="4" w:space="0"/>
              <w:bottom w:val="double" w:color="auto" w:sz="4" w:space="0"/>
              <w:right w:val="double" w:color="auto" w:sz="4" w:space="0"/>
            </w:tcBorders>
            <w:shd w:val="clear" w:color="auto" w:fill="D9D9D9"/>
            <w:vAlign w:val="center"/>
          </w:tcPr>
          <w:p>
            <w:pPr>
              <w:spacing w:line="360" w:lineRule="auto"/>
            </w:pPr>
            <w:r>
              <w:rPr>
                <w:rFonts w:hint="eastAsia"/>
              </w:rPr>
              <w:t>处理结果确认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21" w:hRule="atLeast"/>
          <w:jc w:val="center"/>
        </w:trPr>
        <w:tc>
          <w:tcPr>
            <w:tcW w:w="8682" w:type="dxa"/>
            <w:gridSpan w:val="12"/>
            <w:tcBorders>
              <w:top w:val="double" w:color="auto" w:sz="4" w:space="0"/>
              <w:left w:val="double" w:color="auto" w:sz="4" w:space="0"/>
              <w:bottom w:val="double" w:color="auto" w:sz="4" w:space="0"/>
              <w:right w:val="double" w:color="auto" w:sz="4" w:space="0"/>
            </w:tcBorders>
            <w:vAlign w:val="center"/>
          </w:tcPr>
          <w:p>
            <w:pPr>
              <w:spacing w:line="360" w:lineRule="auto"/>
            </w:pPr>
          </w:p>
          <w:p>
            <w:pPr>
              <w:spacing w:line="360" w:lineRule="auto"/>
            </w:pPr>
          </w:p>
        </w:tc>
      </w:tr>
    </w:tbl>
    <w:p>
      <w:pPr>
        <w:spacing w:line="360" w:lineRule="auto"/>
        <w:rPr>
          <w:sz w:val="24"/>
          <w:szCs w:val="24"/>
        </w:rPr>
      </w:pPr>
      <w:r>
        <w:rPr>
          <w:rFonts w:hint="eastAsia"/>
          <w:sz w:val="24"/>
          <w:szCs w:val="24"/>
        </w:rPr>
        <w:t>二、落实培训任务</w:t>
      </w:r>
      <w:r>
        <w:rPr>
          <w:rFonts w:hint="eastAsia"/>
          <w:sz w:val="24"/>
          <w:szCs w:val="24"/>
        </w:rPr>
        <w:tab/>
      </w:r>
    </w:p>
    <w:p>
      <w:pPr>
        <w:spacing w:line="360" w:lineRule="auto"/>
        <w:rPr>
          <w:sz w:val="24"/>
          <w:szCs w:val="24"/>
        </w:rPr>
      </w:pPr>
      <w:r>
        <w:rPr>
          <w:rFonts w:hint="eastAsia"/>
          <w:sz w:val="24"/>
          <w:szCs w:val="24"/>
        </w:rPr>
        <w:t>根据培训申请，确定培训的基本内容，落实培训任务。</w:t>
      </w:r>
      <w:r>
        <w:rPr>
          <w:rFonts w:hint="eastAsia"/>
          <w:sz w:val="24"/>
          <w:szCs w:val="24"/>
        </w:rPr>
        <w:tab/>
      </w:r>
    </w:p>
    <w:p>
      <w:pPr>
        <w:spacing w:line="360" w:lineRule="auto"/>
        <w:rPr>
          <w:sz w:val="24"/>
          <w:szCs w:val="24"/>
        </w:rPr>
      </w:pPr>
      <w:r>
        <w:rPr>
          <w:rFonts w:hint="eastAsia"/>
          <w:sz w:val="24"/>
          <w:szCs w:val="24"/>
        </w:rPr>
        <w:t>三、培训需求调研</w:t>
      </w:r>
      <w:r>
        <w:rPr>
          <w:rFonts w:hint="eastAsia"/>
          <w:sz w:val="24"/>
          <w:szCs w:val="24"/>
        </w:rPr>
        <w:tab/>
      </w:r>
    </w:p>
    <w:p>
      <w:pPr>
        <w:spacing w:line="360" w:lineRule="auto"/>
        <w:rPr>
          <w:sz w:val="24"/>
          <w:szCs w:val="24"/>
        </w:rPr>
      </w:pPr>
      <w:r>
        <w:rPr>
          <w:rFonts w:hint="eastAsia"/>
          <w:sz w:val="24"/>
          <w:szCs w:val="24"/>
        </w:rPr>
        <w:t>培训工作组对申请方的培训需求进行深入调研，了解申请方的培训目的、培训时间、培训地点、培训对象、培训内容等。</w:t>
      </w:r>
    </w:p>
    <w:p>
      <w:pPr>
        <w:spacing w:line="360" w:lineRule="auto"/>
        <w:rPr>
          <w:sz w:val="24"/>
          <w:szCs w:val="24"/>
        </w:rPr>
      </w:pPr>
      <w:r>
        <w:rPr>
          <w:rFonts w:hint="eastAsia"/>
          <w:sz w:val="24"/>
          <w:szCs w:val="24"/>
        </w:rPr>
        <w:t>四、制定培训计划</w:t>
      </w:r>
      <w:r>
        <w:rPr>
          <w:rFonts w:hint="eastAsia"/>
          <w:sz w:val="24"/>
          <w:szCs w:val="24"/>
        </w:rPr>
        <w:tab/>
      </w:r>
    </w:p>
    <w:p>
      <w:pPr>
        <w:spacing w:line="360" w:lineRule="auto"/>
        <w:rPr>
          <w:sz w:val="24"/>
          <w:szCs w:val="24"/>
        </w:rPr>
      </w:pPr>
      <w:r>
        <w:rPr>
          <w:rFonts w:hint="eastAsia"/>
          <w:sz w:val="24"/>
          <w:szCs w:val="24"/>
        </w:rPr>
        <w:t>根据培训申请内容，结合培训需求调研情况，制定详细的培训实施计划。</w:t>
      </w:r>
    </w:p>
    <w:p>
      <w:pPr>
        <w:spacing w:line="360" w:lineRule="auto"/>
        <w:rPr>
          <w:sz w:val="24"/>
          <w:szCs w:val="24"/>
        </w:rPr>
      </w:pPr>
      <w:r>
        <w:rPr>
          <w:rFonts w:hint="eastAsia"/>
          <w:sz w:val="24"/>
          <w:szCs w:val="24"/>
        </w:rPr>
        <w:t>表二：《培训计划单》</w:t>
      </w:r>
    </w:p>
    <w:p>
      <w:pPr>
        <w:spacing w:line="360" w:lineRule="auto"/>
        <w:rPr>
          <w:sz w:val="24"/>
          <w:szCs w:val="24"/>
        </w:rPr>
      </w:pPr>
      <w:r>
        <w:rPr>
          <w:rFonts w:hint="eastAsia"/>
          <w:sz w:val="24"/>
          <w:szCs w:val="24"/>
        </w:rPr>
        <w:t>培训计划单</w:t>
      </w:r>
    </w:p>
    <w:p>
      <w:pPr>
        <w:spacing w:line="360" w:lineRule="auto"/>
        <w:rPr>
          <w:sz w:val="24"/>
          <w:szCs w:val="24"/>
        </w:rPr>
      </w:pPr>
      <w:r>
        <w:rPr>
          <w:rFonts w:hint="eastAsia"/>
          <w:sz w:val="24"/>
          <w:szCs w:val="24"/>
        </w:rPr>
        <w:t>编号：JSFW-</w:t>
      </w:r>
    </w:p>
    <w:tbl>
      <w:tblPr>
        <w:tblStyle w:val="3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1260"/>
        <w:gridCol w:w="2480"/>
        <w:gridCol w:w="577"/>
        <w:gridCol w:w="1417"/>
        <w:gridCol w:w="202"/>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9" w:hRule="atLeast"/>
          <w:jc w:val="center"/>
        </w:trPr>
        <w:tc>
          <w:tcPr>
            <w:tcW w:w="8522" w:type="dxa"/>
            <w:gridSpan w:val="7"/>
            <w:tcBorders>
              <w:top w:val="double" w:color="auto" w:sz="4" w:space="0"/>
              <w:left w:val="double" w:color="auto" w:sz="4" w:space="0"/>
              <w:right w:val="double" w:color="auto" w:sz="4" w:space="0"/>
            </w:tcBorders>
            <w:shd w:val="clear" w:color="auto" w:fill="CCCCCC"/>
            <w:vAlign w:val="center"/>
          </w:tcPr>
          <w:p>
            <w:pPr>
              <w:spacing w:line="360" w:lineRule="auto"/>
            </w:pPr>
            <w:r>
              <w:rPr>
                <w:rFonts w:hint="eastAsia"/>
              </w:rPr>
              <w:t>培训要求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728" w:type="dxa"/>
            <w:gridSpan w:val="2"/>
            <w:tcBorders>
              <w:top w:val="double" w:color="auto" w:sz="4" w:space="0"/>
              <w:left w:val="double" w:color="auto" w:sz="4" w:space="0"/>
            </w:tcBorders>
            <w:vAlign w:val="center"/>
          </w:tcPr>
          <w:p>
            <w:pPr>
              <w:spacing w:line="360" w:lineRule="auto"/>
            </w:pPr>
            <w:r>
              <w:rPr>
                <w:rFonts w:hint="eastAsia"/>
              </w:rPr>
              <w:t>培训名称</w:t>
            </w:r>
          </w:p>
        </w:tc>
        <w:tc>
          <w:tcPr>
            <w:tcW w:w="6794" w:type="dxa"/>
            <w:gridSpan w:val="5"/>
            <w:tcBorders>
              <w:top w:val="double" w:color="auto" w:sz="4" w:space="0"/>
              <w:bottom w:val="single" w:color="auto" w:sz="4" w:space="0"/>
              <w:right w:val="doub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728" w:type="dxa"/>
            <w:gridSpan w:val="2"/>
            <w:tcBorders>
              <w:left w:val="double" w:color="auto" w:sz="4" w:space="0"/>
            </w:tcBorders>
            <w:vAlign w:val="center"/>
          </w:tcPr>
          <w:p>
            <w:pPr>
              <w:spacing w:line="360" w:lineRule="auto"/>
            </w:pPr>
            <w:r>
              <w:rPr>
                <w:rFonts w:hint="eastAsia"/>
              </w:rPr>
              <w:t>培训内容</w:t>
            </w:r>
          </w:p>
        </w:tc>
        <w:tc>
          <w:tcPr>
            <w:tcW w:w="3057" w:type="dxa"/>
            <w:gridSpan w:val="2"/>
            <w:tcBorders>
              <w:right w:val="single" w:color="auto" w:sz="4" w:space="0"/>
            </w:tcBorders>
            <w:vAlign w:val="center"/>
          </w:tcPr>
          <w:p>
            <w:pPr>
              <w:spacing w:line="360" w:lineRule="auto"/>
            </w:pPr>
          </w:p>
        </w:tc>
        <w:tc>
          <w:tcPr>
            <w:tcW w:w="1619" w:type="dxa"/>
            <w:gridSpan w:val="2"/>
            <w:tcBorders>
              <w:left w:val="single" w:color="auto" w:sz="4" w:space="0"/>
              <w:right w:val="single" w:color="auto" w:sz="4" w:space="0"/>
            </w:tcBorders>
            <w:vAlign w:val="center"/>
          </w:tcPr>
          <w:p>
            <w:pPr>
              <w:spacing w:line="360" w:lineRule="auto"/>
            </w:pPr>
            <w:r>
              <w:rPr>
                <w:rFonts w:hint="eastAsia"/>
              </w:rPr>
              <w:t>培训地点</w:t>
            </w:r>
          </w:p>
        </w:tc>
        <w:tc>
          <w:tcPr>
            <w:tcW w:w="2118" w:type="dxa"/>
            <w:tcBorders>
              <w:left w:val="single" w:color="auto" w:sz="4" w:space="0"/>
              <w:right w:val="doub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728" w:type="dxa"/>
            <w:gridSpan w:val="2"/>
            <w:tcBorders>
              <w:left w:val="double" w:color="auto" w:sz="4" w:space="0"/>
              <w:bottom w:val="single" w:color="auto" w:sz="4" w:space="0"/>
            </w:tcBorders>
            <w:vAlign w:val="center"/>
          </w:tcPr>
          <w:p>
            <w:pPr>
              <w:spacing w:line="360" w:lineRule="auto"/>
            </w:pPr>
            <w:r>
              <w:rPr>
                <w:rFonts w:hint="eastAsia"/>
              </w:rPr>
              <w:t>培训对象</w:t>
            </w:r>
          </w:p>
        </w:tc>
        <w:tc>
          <w:tcPr>
            <w:tcW w:w="3057" w:type="dxa"/>
            <w:gridSpan w:val="2"/>
            <w:tcBorders>
              <w:bottom w:val="single" w:color="auto" w:sz="4" w:space="0"/>
            </w:tcBorders>
            <w:vAlign w:val="center"/>
          </w:tcPr>
          <w:p>
            <w:pPr>
              <w:spacing w:line="360" w:lineRule="auto"/>
            </w:pPr>
          </w:p>
        </w:tc>
        <w:tc>
          <w:tcPr>
            <w:tcW w:w="1619" w:type="dxa"/>
            <w:gridSpan w:val="2"/>
            <w:tcBorders>
              <w:bottom w:val="single" w:color="auto" w:sz="4" w:space="0"/>
            </w:tcBorders>
            <w:vAlign w:val="center"/>
          </w:tcPr>
          <w:p>
            <w:pPr>
              <w:spacing w:line="360" w:lineRule="auto"/>
            </w:pPr>
            <w:r>
              <w:rPr>
                <w:rFonts w:hint="eastAsia"/>
              </w:rPr>
              <w:t>培训人数</w:t>
            </w:r>
          </w:p>
        </w:tc>
        <w:tc>
          <w:tcPr>
            <w:tcW w:w="2118" w:type="dxa"/>
            <w:tcBorders>
              <w:bottom w:val="single" w:color="auto" w:sz="4" w:space="0"/>
              <w:right w:val="doub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728" w:type="dxa"/>
            <w:gridSpan w:val="2"/>
            <w:tcBorders>
              <w:left w:val="double" w:color="auto" w:sz="4" w:space="0"/>
              <w:bottom w:val="single" w:color="auto" w:sz="4" w:space="0"/>
            </w:tcBorders>
            <w:vAlign w:val="center"/>
          </w:tcPr>
          <w:p>
            <w:pPr>
              <w:spacing w:line="360" w:lineRule="auto"/>
            </w:pPr>
            <w:r>
              <w:rPr>
                <w:rFonts w:hint="eastAsia"/>
              </w:rPr>
              <w:t>任务提出部门</w:t>
            </w:r>
          </w:p>
        </w:tc>
        <w:tc>
          <w:tcPr>
            <w:tcW w:w="3057" w:type="dxa"/>
            <w:gridSpan w:val="2"/>
            <w:tcBorders>
              <w:bottom w:val="single" w:color="auto" w:sz="4" w:space="0"/>
            </w:tcBorders>
            <w:vAlign w:val="center"/>
          </w:tcPr>
          <w:p>
            <w:pPr>
              <w:spacing w:line="360" w:lineRule="auto"/>
            </w:pPr>
          </w:p>
        </w:tc>
        <w:tc>
          <w:tcPr>
            <w:tcW w:w="1619" w:type="dxa"/>
            <w:gridSpan w:val="2"/>
            <w:tcBorders>
              <w:bottom w:val="single" w:color="auto" w:sz="4" w:space="0"/>
            </w:tcBorders>
            <w:vAlign w:val="center"/>
          </w:tcPr>
          <w:p>
            <w:pPr>
              <w:spacing w:line="360" w:lineRule="auto"/>
            </w:pPr>
            <w:r>
              <w:rPr>
                <w:rFonts w:hint="eastAsia"/>
              </w:rPr>
              <w:t>任务提出人</w:t>
            </w:r>
          </w:p>
        </w:tc>
        <w:tc>
          <w:tcPr>
            <w:tcW w:w="2118" w:type="dxa"/>
            <w:tcBorders>
              <w:bottom w:val="single" w:color="auto" w:sz="4" w:space="0"/>
              <w:right w:val="doub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728" w:type="dxa"/>
            <w:gridSpan w:val="2"/>
            <w:tcBorders>
              <w:left w:val="double" w:color="auto" w:sz="4" w:space="0"/>
              <w:bottom w:val="single" w:color="auto" w:sz="4" w:space="0"/>
            </w:tcBorders>
            <w:vAlign w:val="center"/>
          </w:tcPr>
          <w:p>
            <w:pPr>
              <w:spacing w:line="360" w:lineRule="auto"/>
            </w:pPr>
            <w:r>
              <w:rPr>
                <w:rFonts w:hint="eastAsia"/>
              </w:rPr>
              <w:t>任务提出时间</w:t>
            </w:r>
          </w:p>
        </w:tc>
        <w:tc>
          <w:tcPr>
            <w:tcW w:w="3057" w:type="dxa"/>
            <w:gridSpan w:val="2"/>
            <w:tcBorders>
              <w:bottom w:val="single" w:color="auto" w:sz="4" w:space="0"/>
            </w:tcBorders>
            <w:vAlign w:val="center"/>
          </w:tcPr>
          <w:p>
            <w:pPr>
              <w:spacing w:line="360" w:lineRule="auto"/>
            </w:pPr>
          </w:p>
        </w:tc>
        <w:tc>
          <w:tcPr>
            <w:tcW w:w="1619" w:type="dxa"/>
            <w:gridSpan w:val="2"/>
            <w:tcBorders>
              <w:bottom w:val="single" w:color="auto" w:sz="4" w:space="0"/>
            </w:tcBorders>
            <w:vAlign w:val="center"/>
          </w:tcPr>
          <w:p>
            <w:pPr>
              <w:spacing w:line="360" w:lineRule="auto"/>
            </w:pPr>
            <w:r>
              <w:rPr>
                <w:rFonts w:hint="eastAsia"/>
              </w:rPr>
              <w:t>要求完成时间</w:t>
            </w:r>
          </w:p>
        </w:tc>
        <w:tc>
          <w:tcPr>
            <w:tcW w:w="2118" w:type="dxa"/>
            <w:tcBorders>
              <w:bottom w:val="single" w:color="auto" w:sz="4" w:space="0"/>
              <w:right w:val="doub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8522" w:type="dxa"/>
            <w:gridSpan w:val="7"/>
            <w:tcBorders>
              <w:left w:val="double" w:color="auto" w:sz="4" w:space="0"/>
              <w:bottom w:val="single" w:color="auto" w:sz="4" w:space="0"/>
              <w:right w:val="double" w:color="auto" w:sz="4" w:space="0"/>
            </w:tcBorders>
            <w:shd w:val="clear" w:color="auto" w:fill="E3E3E3"/>
            <w:vAlign w:val="center"/>
          </w:tcPr>
          <w:p>
            <w:pPr>
              <w:spacing w:line="360" w:lineRule="auto"/>
            </w:pPr>
            <w:r>
              <w:rPr>
                <w:rFonts w:hint="eastAsia"/>
              </w:rPr>
              <w:t>培训计划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3" w:hRule="atLeast"/>
          <w:jc w:val="center"/>
        </w:trPr>
        <w:tc>
          <w:tcPr>
            <w:tcW w:w="468" w:type="dxa"/>
            <w:vMerge w:val="restart"/>
            <w:tcBorders>
              <w:left w:val="double" w:color="auto" w:sz="4" w:space="0"/>
              <w:bottom w:val="single" w:color="auto" w:sz="4" w:space="0"/>
            </w:tcBorders>
            <w:vAlign w:val="center"/>
          </w:tcPr>
          <w:p>
            <w:pPr>
              <w:spacing w:line="360" w:lineRule="auto"/>
            </w:pPr>
            <w:r>
              <w:rPr>
                <w:rFonts w:hint="eastAsia"/>
              </w:rPr>
              <w:t>具体安排</w:t>
            </w:r>
          </w:p>
        </w:tc>
        <w:tc>
          <w:tcPr>
            <w:tcW w:w="1260" w:type="dxa"/>
            <w:tcBorders>
              <w:bottom w:val="single" w:color="auto" w:sz="4" w:space="0"/>
              <w:right w:val="single" w:color="auto" w:sz="4" w:space="0"/>
            </w:tcBorders>
            <w:vAlign w:val="center"/>
          </w:tcPr>
          <w:p>
            <w:pPr>
              <w:spacing w:line="360" w:lineRule="auto"/>
            </w:pPr>
            <w:r>
              <w:rPr>
                <w:rFonts w:hint="eastAsia"/>
              </w:rPr>
              <w:t>培训资料</w:t>
            </w:r>
          </w:p>
        </w:tc>
        <w:tc>
          <w:tcPr>
            <w:tcW w:w="6794" w:type="dxa"/>
            <w:gridSpan w:val="5"/>
            <w:tcBorders>
              <w:left w:val="single" w:color="auto" w:sz="4" w:space="0"/>
              <w:bottom w:val="single" w:color="auto" w:sz="4" w:space="0"/>
              <w:right w:val="doub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94" w:hRule="atLeast"/>
          <w:jc w:val="center"/>
        </w:trPr>
        <w:tc>
          <w:tcPr>
            <w:tcW w:w="468" w:type="dxa"/>
            <w:vMerge w:val="continue"/>
            <w:tcBorders>
              <w:left w:val="double" w:color="auto" w:sz="4" w:space="0"/>
            </w:tcBorders>
            <w:vAlign w:val="center"/>
          </w:tcPr>
          <w:p>
            <w:pPr>
              <w:spacing w:line="360" w:lineRule="auto"/>
            </w:pPr>
          </w:p>
        </w:tc>
        <w:tc>
          <w:tcPr>
            <w:tcW w:w="1260" w:type="dxa"/>
            <w:tcBorders>
              <w:bottom w:val="single" w:color="auto" w:sz="4" w:space="0"/>
              <w:right w:val="single" w:color="auto" w:sz="4" w:space="0"/>
            </w:tcBorders>
            <w:vAlign w:val="center"/>
          </w:tcPr>
          <w:p>
            <w:pPr>
              <w:spacing w:line="360" w:lineRule="auto"/>
            </w:pPr>
            <w:r>
              <w:rPr>
                <w:rFonts w:hint="eastAsia"/>
              </w:rPr>
              <w:t>课程安排</w:t>
            </w:r>
          </w:p>
        </w:tc>
        <w:tc>
          <w:tcPr>
            <w:tcW w:w="6794" w:type="dxa"/>
            <w:gridSpan w:val="5"/>
            <w:tcBorders>
              <w:left w:val="single" w:color="auto" w:sz="4" w:space="0"/>
              <w:bottom w:val="single" w:color="auto" w:sz="4" w:space="0"/>
              <w:right w:val="doub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60" w:hRule="atLeast"/>
          <w:jc w:val="center"/>
        </w:trPr>
        <w:tc>
          <w:tcPr>
            <w:tcW w:w="468" w:type="dxa"/>
            <w:vMerge w:val="continue"/>
            <w:tcBorders>
              <w:left w:val="double" w:color="auto" w:sz="4" w:space="0"/>
              <w:bottom w:val="double" w:color="auto" w:sz="4" w:space="0"/>
            </w:tcBorders>
            <w:vAlign w:val="center"/>
          </w:tcPr>
          <w:p>
            <w:pPr>
              <w:spacing w:line="360" w:lineRule="auto"/>
            </w:pPr>
          </w:p>
        </w:tc>
        <w:tc>
          <w:tcPr>
            <w:tcW w:w="1260" w:type="dxa"/>
            <w:tcBorders>
              <w:bottom w:val="double" w:color="auto" w:sz="4" w:space="0"/>
              <w:right w:val="single" w:color="auto" w:sz="4" w:space="0"/>
            </w:tcBorders>
            <w:vAlign w:val="center"/>
          </w:tcPr>
          <w:p>
            <w:pPr>
              <w:spacing w:line="360" w:lineRule="auto"/>
            </w:pPr>
            <w:r>
              <w:rPr>
                <w:rFonts w:hint="eastAsia"/>
              </w:rPr>
              <w:t>培训结果评价标准</w:t>
            </w:r>
          </w:p>
        </w:tc>
        <w:tc>
          <w:tcPr>
            <w:tcW w:w="6794" w:type="dxa"/>
            <w:gridSpan w:val="5"/>
            <w:tcBorders>
              <w:left w:val="single" w:color="auto" w:sz="4" w:space="0"/>
              <w:bottom w:val="double" w:color="auto" w:sz="4" w:space="0"/>
              <w:right w:val="doub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4" w:hRule="atLeast"/>
          <w:jc w:val="center"/>
        </w:trPr>
        <w:tc>
          <w:tcPr>
            <w:tcW w:w="8522" w:type="dxa"/>
            <w:gridSpan w:val="7"/>
            <w:tcBorders>
              <w:top w:val="double" w:color="auto" w:sz="4" w:space="0"/>
              <w:left w:val="double" w:color="auto" w:sz="4" w:space="0"/>
              <w:bottom w:val="double" w:color="auto" w:sz="4" w:space="0"/>
              <w:right w:val="double" w:color="auto" w:sz="4" w:space="0"/>
            </w:tcBorders>
            <w:shd w:val="clear" w:color="auto" w:fill="CCCCCC"/>
            <w:vAlign w:val="center"/>
          </w:tcPr>
          <w:p>
            <w:pPr>
              <w:spacing w:line="360" w:lineRule="auto"/>
            </w:pPr>
            <w:r>
              <w:rPr>
                <w:rFonts w:hint="eastAsia"/>
              </w:rPr>
              <w:t>任务审批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62" w:hRule="atLeast"/>
          <w:jc w:val="center"/>
        </w:trPr>
        <w:tc>
          <w:tcPr>
            <w:tcW w:w="1728" w:type="dxa"/>
            <w:gridSpan w:val="2"/>
            <w:tcBorders>
              <w:left w:val="double" w:color="auto" w:sz="4" w:space="0"/>
              <w:bottom w:val="double" w:color="auto" w:sz="4" w:space="0"/>
            </w:tcBorders>
            <w:vAlign w:val="center"/>
          </w:tcPr>
          <w:p>
            <w:pPr>
              <w:spacing w:line="360" w:lineRule="auto"/>
            </w:pPr>
            <w:r>
              <w:rPr>
                <w:rFonts w:hint="eastAsia"/>
              </w:rPr>
              <w:t>审批意见</w:t>
            </w:r>
          </w:p>
        </w:tc>
        <w:tc>
          <w:tcPr>
            <w:tcW w:w="6794" w:type="dxa"/>
            <w:gridSpan w:val="5"/>
            <w:tcBorders>
              <w:bottom w:val="double" w:color="auto" w:sz="4" w:space="0"/>
            </w:tcBorders>
            <w:vAlign w:val="center"/>
          </w:tcPr>
          <w:p>
            <w:pPr>
              <w:spacing w:line="360" w:lineRule="auto"/>
            </w:pPr>
          </w:p>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522" w:type="dxa"/>
            <w:gridSpan w:val="7"/>
            <w:tcBorders>
              <w:top w:val="double" w:color="auto" w:sz="4" w:space="0"/>
              <w:left w:val="double" w:color="auto" w:sz="4" w:space="0"/>
              <w:bottom w:val="double" w:color="auto" w:sz="4" w:space="0"/>
              <w:right w:val="double" w:color="auto" w:sz="4" w:space="0"/>
            </w:tcBorders>
            <w:shd w:val="clear" w:color="auto" w:fill="CCCCCC"/>
            <w:vAlign w:val="center"/>
          </w:tcPr>
          <w:p>
            <w:pPr>
              <w:spacing w:line="360" w:lineRule="auto"/>
            </w:pPr>
            <w:r>
              <w:rPr>
                <w:rFonts w:hint="eastAsia"/>
              </w:rPr>
              <w:t>完成确认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5" w:hRule="atLeast"/>
          <w:jc w:val="center"/>
        </w:trPr>
        <w:tc>
          <w:tcPr>
            <w:tcW w:w="1728" w:type="dxa"/>
            <w:gridSpan w:val="2"/>
            <w:tcBorders>
              <w:top w:val="double" w:color="auto" w:sz="4" w:space="0"/>
              <w:left w:val="double" w:color="auto" w:sz="4" w:space="0"/>
            </w:tcBorders>
            <w:vAlign w:val="center"/>
          </w:tcPr>
          <w:p>
            <w:pPr>
              <w:spacing w:line="360" w:lineRule="auto"/>
            </w:pPr>
            <w:r>
              <w:rPr>
                <w:rFonts w:hint="eastAsia"/>
              </w:rPr>
              <w:t>任务完成人</w:t>
            </w:r>
          </w:p>
        </w:tc>
        <w:tc>
          <w:tcPr>
            <w:tcW w:w="2480" w:type="dxa"/>
            <w:tcBorders>
              <w:top w:val="double" w:color="auto" w:sz="4" w:space="0"/>
            </w:tcBorders>
            <w:vAlign w:val="center"/>
          </w:tcPr>
          <w:p>
            <w:pPr>
              <w:spacing w:line="360" w:lineRule="auto"/>
            </w:pPr>
          </w:p>
        </w:tc>
        <w:tc>
          <w:tcPr>
            <w:tcW w:w="1994" w:type="dxa"/>
            <w:gridSpan w:val="2"/>
            <w:tcBorders>
              <w:top w:val="double" w:color="auto" w:sz="4" w:space="0"/>
            </w:tcBorders>
            <w:vAlign w:val="center"/>
          </w:tcPr>
          <w:p>
            <w:pPr>
              <w:spacing w:line="360" w:lineRule="auto"/>
            </w:pPr>
            <w:r>
              <w:rPr>
                <w:rFonts w:hint="eastAsia"/>
              </w:rPr>
              <w:t>实际完成时间</w:t>
            </w:r>
          </w:p>
        </w:tc>
        <w:tc>
          <w:tcPr>
            <w:tcW w:w="2320" w:type="dxa"/>
            <w:gridSpan w:val="2"/>
            <w:tcBorders>
              <w:top w:val="double" w:color="auto" w:sz="4" w:space="0"/>
              <w:right w:val="doub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jc w:val="center"/>
        </w:trPr>
        <w:tc>
          <w:tcPr>
            <w:tcW w:w="1728" w:type="dxa"/>
            <w:gridSpan w:val="2"/>
            <w:vMerge w:val="restart"/>
            <w:tcBorders>
              <w:left w:val="double" w:color="auto" w:sz="4" w:space="0"/>
            </w:tcBorders>
            <w:vAlign w:val="center"/>
          </w:tcPr>
          <w:p>
            <w:pPr>
              <w:spacing w:line="360" w:lineRule="auto"/>
            </w:pPr>
            <w:r>
              <w:rPr>
                <w:rFonts w:hint="eastAsia"/>
              </w:rPr>
              <w:t>接受培训单位</w:t>
            </w:r>
          </w:p>
          <w:p>
            <w:pPr>
              <w:spacing w:line="360" w:lineRule="auto"/>
            </w:pPr>
            <w:r>
              <w:rPr>
                <w:rFonts w:hint="eastAsia"/>
              </w:rPr>
              <w:t>负责人</w:t>
            </w:r>
          </w:p>
        </w:tc>
        <w:tc>
          <w:tcPr>
            <w:tcW w:w="2480" w:type="dxa"/>
            <w:vMerge w:val="restart"/>
            <w:vAlign w:val="center"/>
          </w:tcPr>
          <w:p>
            <w:pPr>
              <w:spacing w:line="360" w:lineRule="auto"/>
            </w:pPr>
          </w:p>
        </w:tc>
        <w:tc>
          <w:tcPr>
            <w:tcW w:w="1994" w:type="dxa"/>
            <w:gridSpan w:val="2"/>
            <w:tcBorders>
              <w:bottom w:val="single" w:color="auto" w:sz="4" w:space="0"/>
            </w:tcBorders>
            <w:vAlign w:val="center"/>
          </w:tcPr>
          <w:p>
            <w:pPr>
              <w:spacing w:line="360" w:lineRule="auto"/>
            </w:pPr>
            <w:r>
              <w:rPr>
                <w:rFonts w:hint="eastAsia"/>
              </w:rPr>
              <w:t>联系电话</w:t>
            </w:r>
          </w:p>
        </w:tc>
        <w:tc>
          <w:tcPr>
            <w:tcW w:w="2320" w:type="dxa"/>
            <w:gridSpan w:val="2"/>
            <w:tcBorders>
              <w:right w:val="doub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8" w:hRule="atLeast"/>
          <w:jc w:val="center"/>
        </w:trPr>
        <w:tc>
          <w:tcPr>
            <w:tcW w:w="1728" w:type="dxa"/>
            <w:gridSpan w:val="2"/>
            <w:vMerge w:val="continue"/>
            <w:tcBorders>
              <w:left w:val="double" w:color="auto" w:sz="4" w:space="0"/>
              <w:bottom w:val="double" w:color="auto" w:sz="4" w:space="0"/>
            </w:tcBorders>
            <w:vAlign w:val="center"/>
          </w:tcPr>
          <w:p>
            <w:pPr>
              <w:spacing w:line="360" w:lineRule="auto"/>
            </w:pPr>
          </w:p>
        </w:tc>
        <w:tc>
          <w:tcPr>
            <w:tcW w:w="2480" w:type="dxa"/>
            <w:vMerge w:val="continue"/>
            <w:tcBorders>
              <w:bottom w:val="double" w:color="auto" w:sz="4" w:space="0"/>
            </w:tcBorders>
            <w:vAlign w:val="center"/>
          </w:tcPr>
          <w:p>
            <w:pPr>
              <w:spacing w:line="360" w:lineRule="auto"/>
            </w:pPr>
          </w:p>
        </w:tc>
        <w:tc>
          <w:tcPr>
            <w:tcW w:w="1994" w:type="dxa"/>
            <w:gridSpan w:val="2"/>
            <w:tcBorders>
              <w:bottom w:val="double" w:color="auto" w:sz="4" w:space="0"/>
            </w:tcBorders>
            <w:vAlign w:val="center"/>
          </w:tcPr>
          <w:p>
            <w:pPr>
              <w:spacing w:line="360" w:lineRule="auto"/>
            </w:pPr>
            <w:r>
              <w:rPr>
                <w:rFonts w:hint="eastAsia"/>
              </w:rPr>
              <w:t>E-mail</w:t>
            </w:r>
          </w:p>
        </w:tc>
        <w:tc>
          <w:tcPr>
            <w:tcW w:w="2320" w:type="dxa"/>
            <w:gridSpan w:val="2"/>
            <w:tcBorders>
              <w:bottom w:val="double" w:color="auto" w:sz="4" w:space="0"/>
              <w:right w:val="double" w:color="auto" w:sz="4" w:space="0"/>
            </w:tcBorders>
            <w:vAlign w:val="center"/>
          </w:tcPr>
          <w:p>
            <w:pPr>
              <w:spacing w:line="360" w:lineRule="auto"/>
            </w:pPr>
          </w:p>
        </w:tc>
      </w:tr>
    </w:tbl>
    <w:p>
      <w:pPr>
        <w:spacing w:line="360" w:lineRule="auto"/>
        <w:rPr>
          <w:sz w:val="24"/>
          <w:szCs w:val="24"/>
        </w:rPr>
      </w:pPr>
      <w:r>
        <w:rPr>
          <w:rFonts w:hint="eastAsia"/>
        </w:rPr>
        <w:t>相关记录：□培训学员信息表  □培训签到表  □培训过程记录表  □培训质量调查表  □</w:t>
      </w:r>
      <w:r>
        <w:rPr>
          <w:rFonts w:hint="eastAsia"/>
          <w:sz w:val="24"/>
          <w:szCs w:val="24"/>
        </w:rPr>
        <w:t>培训结果分析表</w:t>
      </w:r>
    </w:p>
    <w:p>
      <w:pPr>
        <w:spacing w:line="360" w:lineRule="auto"/>
        <w:rPr>
          <w:sz w:val="24"/>
          <w:szCs w:val="24"/>
        </w:rPr>
      </w:pPr>
      <w:r>
        <w:rPr>
          <w:rFonts w:hint="eastAsia"/>
          <w:sz w:val="24"/>
          <w:szCs w:val="24"/>
        </w:rPr>
        <w:t>说明：</w:t>
      </w:r>
    </w:p>
    <w:p>
      <w:pPr>
        <w:spacing w:line="360" w:lineRule="auto"/>
        <w:rPr>
          <w:sz w:val="24"/>
          <w:szCs w:val="24"/>
        </w:rPr>
      </w:pPr>
      <w:r>
        <w:rPr>
          <w:rFonts w:hint="eastAsia"/>
          <w:sz w:val="24"/>
          <w:szCs w:val="24"/>
        </w:rPr>
        <w:t>1、任务审批人为分管副主任/业务部经理。</w:t>
      </w:r>
    </w:p>
    <w:p>
      <w:pPr>
        <w:spacing w:line="360" w:lineRule="auto"/>
        <w:rPr>
          <w:sz w:val="24"/>
          <w:szCs w:val="24"/>
        </w:rPr>
      </w:pPr>
      <w:r>
        <w:rPr>
          <w:rFonts w:hint="eastAsia"/>
          <w:sz w:val="24"/>
          <w:szCs w:val="24"/>
        </w:rPr>
        <w:t>2、课程安排包括具体课程安排时间、负责的培训教师及对应的课程名称。</w:t>
      </w:r>
    </w:p>
    <w:p>
      <w:pPr>
        <w:spacing w:line="360" w:lineRule="auto"/>
        <w:rPr>
          <w:sz w:val="24"/>
          <w:szCs w:val="24"/>
        </w:rPr>
      </w:pPr>
      <w:r>
        <w:rPr>
          <w:rFonts w:hint="eastAsia"/>
          <w:sz w:val="24"/>
          <w:szCs w:val="24"/>
        </w:rPr>
        <w:t>3、培训结果评价标准指对每次培训要求达到什么样的标准（如满意度、考试通过率等），才认为此次培训有效。</w:t>
      </w:r>
    </w:p>
    <w:p>
      <w:pPr>
        <w:spacing w:line="360" w:lineRule="auto"/>
        <w:rPr>
          <w:sz w:val="24"/>
          <w:szCs w:val="24"/>
        </w:rPr>
      </w:pPr>
      <w:r>
        <w:rPr>
          <w:rFonts w:hint="eastAsia"/>
          <w:sz w:val="24"/>
          <w:szCs w:val="24"/>
        </w:rPr>
        <w:t>五、培训计划审批</w:t>
      </w:r>
      <w:r>
        <w:rPr>
          <w:rFonts w:hint="eastAsia"/>
          <w:sz w:val="24"/>
          <w:szCs w:val="24"/>
        </w:rPr>
        <w:tab/>
      </w:r>
    </w:p>
    <w:p>
      <w:pPr>
        <w:spacing w:line="360" w:lineRule="auto"/>
        <w:rPr>
          <w:sz w:val="24"/>
          <w:szCs w:val="24"/>
        </w:rPr>
      </w:pPr>
      <w:r>
        <w:rPr>
          <w:rFonts w:hint="eastAsia"/>
          <w:sz w:val="24"/>
          <w:szCs w:val="24"/>
        </w:rPr>
        <w:t>培训经理组织相关人员对培训计划进行审议，对不完善的地方提出修改意见和建议，并限期修改，对修改后的培训计划进行审批。</w:t>
      </w:r>
      <w:r>
        <w:rPr>
          <w:rFonts w:hint="eastAsia"/>
          <w:sz w:val="24"/>
          <w:szCs w:val="24"/>
        </w:rPr>
        <w:tab/>
      </w:r>
    </w:p>
    <w:p>
      <w:pPr>
        <w:spacing w:line="360" w:lineRule="auto"/>
        <w:rPr>
          <w:sz w:val="24"/>
          <w:szCs w:val="24"/>
        </w:rPr>
      </w:pPr>
      <w:r>
        <w:rPr>
          <w:rFonts w:hint="eastAsia"/>
          <w:sz w:val="24"/>
          <w:szCs w:val="24"/>
        </w:rPr>
        <w:t>六、培训准备</w:t>
      </w:r>
      <w:r>
        <w:rPr>
          <w:rFonts w:hint="eastAsia"/>
          <w:sz w:val="24"/>
          <w:szCs w:val="24"/>
        </w:rPr>
        <w:tab/>
      </w:r>
    </w:p>
    <w:p>
      <w:pPr>
        <w:spacing w:line="360" w:lineRule="auto"/>
        <w:rPr>
          <w:sz w:val="24"/>
          <w:szCs w:val="24"/>
        </w:rPr>
      </w:pPr>
      <w:r>
        <w:rPr>
          <w:rFonts w:hint="eastAsia"/>
          <w:sz w:val="24"/>
          <w:szCs w:val="24"/>
        </w:rPr>
        <w:t>对培训地点、培训设备、培训教材、培训环境、上机环境、考试试题等进行准备，为培训实施做好准备。</w:t>
      </w:r>
    </w:p>
    <w:p>
      <w:pPr>
        <w:spacing w:line="360" w:lineRule="auto"/>
        <w:rPr>
          <w:sz w:val="24"/>
          <w:szCs w:val="24"/>
        </w:rPr>
      </w:pPr>
      <w:r>
        <w:rPr>
          <w:rFonts w:hint="eastAsia"/>
          <w:sz w:val="24"/>
          <w:szCs w:val="24"/>
        </w:rPr>
        <w:t>七、编写培训通知</w:t>
      </w:r>
      <w:r>
        <w:rPr>
          <w:rFonts w:hint="eastAsia"/>
          <w:sz w:val="24"/>
          <w:szCs w:val="24"/>
        </w:rPr>
        <w:tab/>
      </w:r>
    </w:p>
    <w:p>
      <w:pPr>
        <w:spacing w:line="360" w:lineRule="auto"/>
        <w:rPr>
          <w:sz w:val="24"/>
          <w:szCs w:val="24"/>
        </w:rPr>
      </w:pPr>
      <w:r>
        <w:rPr>
          <w:rFonts w:hint="eastAsia"/>
          <w:sz w:val="24"/>
          <w:szCs w:val="24"/>
        </w:rPr>
        <w:t>编写培训通知，说明培训目的、培训时间、培训地点、培训对象、培训内容和相关要求，通知到需要参加服务的相关单位。</w:t>
      </w:r>
      <w:r>
        <w:rPr>
          <w:rFonts w:hint="eastAsia"/>
          <w:sz w:val="24"/>
          <w:szCs w:val="24"/>
        </w:rPr>
        <w:tab/>
      </w:r>
    </w:p>
    <w:p>
      <w:pPr>
        <w:spacing w:line="360" w:lineRule="auto"/>
        <w:rPr>
          <w:sz w:val="24"/>
          <w:szCs w:val="24"/>
        </w:rPr>
      </w:pPr>
      <w:r>
        <w:rPr>
          <w:rFonts w:hint="eastAsia"/>
          <w:sz w:val="24"/>
          <w:szCs w:val="24"/>
        </w:rPr>
        <w:t>八、培训实施</w:t>
      </w:r>
      <w:r>
        <w:rPr>
          <w:rFonts w:hint="eastAsia"/>
          <w:sz w:val="24"/>
          <w:szCs w:val="24"/>
        </w:rPr>
        <w:tab/>
      </w:r>
    </w:p>
    <w:p>
      <w:pPr>
        <w:spacing w:line="360" w:lineRule="auto"/>
        <w:rPr>
          <w:sz w:val="24"/>
          <w:szCs w:val="24"/>
        </w:rPr>
      </w:pPr>
      <w:r>
        <w:rPr>
          <w:rFonts w:hint="eastAsia"/>
          <w:sz w:val="24"/>
          <w:szCs w:val="24"/>
        </w:rPr>
        <w:t>按照培训计划和相关的安排，开展对相关人员的培训工作。</w:t>
      </w:r>
      <w:r>
        <w:rPr>
          <w:rFonts w:hint="eastAsia"/>
          <w:sz w:val="24"/>
          <w:szCs w:val="24"/>
        </w:rPr>
        <w:tab/>
      </w:r>
    </w:p>
    <w:p>
      <w:pPr>
        <w:spacing w:line="360" w:lineRule="auto"/>
        <w:rPr>
          <w:sz w:val="24"/>
          <w:szCs w:val="24"/>
        </w:rPr>
      </w:pPr>
      <w:r>
        <w:rPr>
          <w:rFonts w:hint="eastAsia"/>
          <w:sz w:val="24"/>
          <w:szCs w:val="24"/>
        </w:rPr>
        <w:t>表三：《</w:t>
      </w:r>
      <w:r>
        <w:rPr>
          <w:sz w:val="24"/>
          <w:szCs w:val="24"/>
        </w:rPr>
        <w:fldChar w:fldCharType="begin"/>
      </w:r>
      <w:r>
        <w:rPr>
          <w:sz w:val="24"/>
          <w:szCs w:val="24"/>
        </w:rPr>
        <w:instrText xml:space="preserve"> DOCPROPERTY  Title  \* MERGEFORMAT </w:instrText>
      </w:r>
      <w:r>
        <w:rPr>
          <w:sz w:val="24"/>
          <w:szCs w:val="24"/>
        </w:rPr>
        <w:fldChar w:fldCharType="separate"/>
      </w:r>
      <w:r>
        <w:rPr>
          <w:rFonts w:hint="eastAsia"/>
          <w:sz w:val="24"/>
          <w:szCs w:val="24"/>
        </w:rPr>
        <w:t>培训签到表</w:t>
      </w:r>
      <w:r>
        <w:rPr>
          <w:rFonts w:hint="eastAsia"/>
          <w:sz w:val="24"/>
          <w:szCs w:val="24"/>
        </w:rPr>
        <w:fldChar w:fldCharType="end"/>
      </w:r>
      <w:r>
        <w:rPr>
          <w:rFonts w:hint="eastAsia"/>
          <w:sz w:val="24"/>
          <w:szCs w:val="24"/>
        </w:rPr>
        <w:t>》</w:t>
      </w:r>
    </w:p>
    <w:p>
      <w:pPr>
        <w:spacing w:line="360" w:lineRule="auto"/>
        <w:rPr>
          <w:sz w:val="24"/>
          <w:szCs w:val="24"/>
        </w:rPr>
      </w:pPr>
      <w:r>
        <w:rPr>
          <w:rFonts w:hint="eastAsia"/>
          <w:sz w:val="24"/>
          <w:szCs w:val="24"/>
        </w:rPr>
        <w:t>培训签到表</w:t>
      </w:r>
    </w:p>
    <w:p>
      <w:pPr>
        <w:spacing w:line="360" w:lineRule="auto"/>
        <w:rPr>
          <w:sz w:val="24"/>
          <w:szCs w:val="24"/>
        </w:rPr>
      </w:pPr>
      <w:r>
        <w:rPr>
          <w:rFonts w:hint="eastAsia"/>
          <w:sz w:val="24"/>
          <w:szCs w:val="24"/>
        </w:rPr>
        <w:t>编号：JSFW-</w:t>
      </w:r>
    </w:p>
    <w:tbl>
      <w:tblPr>
        <w:tblStyle w:val="34"/>
        <w:tblW w:w="84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080"/>
        <w:gridCol w:w="2302"/>
        <w:gridCol w:w="1298"/>
        <w:gridCol w:w="1080"/>
        <w:gridCol w:w="1260"/>
        <w:gridCol w:w="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2" w:hRule="atLeast"/>
          <w:tblHeader/>
          <w:jc w:val="center"/>
        </w:trPr>
        <w:tc>
          <w:tcPr>
            <w:tcW w:w="701" w:type="dxa"/>
            <w:tcBorders>
              <w:top w:val="double" w:color="auto" w:sz="4" w:space="0"/>
              <w:left w:val="double" w:color="auto" w:sz="4" w:space="0"/>
              <w:bottom w:val="double" w:color="auto" w:sz="4" w:space="0"/>
            </w:tcBorders>
            <w:shd w:val="clear" w:color="auto" w:fill="E0E0E0"/>
            <w:vAlign w:val="center"/>
          </w:tcPr>
          <w:p>
            <w:pPr>
              <w:spacing w:line="360" w:lineRule="auto"/>
            </w:pPr>
            <w:r>
              <w:rPr>
                <w:rFonts w:hint="eastAsia"/>
              </w:rPr>
              <w:t>序号</w:t>
            </w:r>
          </w:p>
        </w:tc>
        <w:tc>
          <w:tcPr>
            <w:tcW w:w="1080" w:type="dxa"/>
            <w:tcBorders>
              <w:top w:val="double" w:color="auto" w:sz="4" w:space="0"/>
              <w:bottom w:val="double" w:color="auto" w:sz="4" w:space="0"/>
            </w:tcBorders>
            <w:shd w:val="clear" w:color="auto" w:fill="E0E0E0"/>
            <w:vAlign w:val="center"/>
          </w:tcPr>
          <w:p>
            <w:pPr>
              <w:spacing w:line="360" w:lineRule="auto"/>
            </w:pPr>
            <w:r>
              <w:rPr>
                <w:rFonts w:hint="eastAsia"/>
              </w:rPr>
              <w:t>姓 名</w:t>
            </w:r>
          </w:p>
        </w:tc>
        <w:tc>
          <w:tcPr>
            <w:tcW w:w="2302" w:type="dxa"/>
            <w:tcBorders>
              <w:top w:val="double" w:color="auto" w:sz="4" w:space="0"/>
              <w:bottom w:val="double" w:color="auto" w:sz="4" w:space="0"/>
            </w:tcBorders>
            <w:shd w:val="clear" w:color="auto" w:fill="E0E0E0"/>
            <w:vAlign w:val="center"/>
          </w:tcPr>
          <w:p>
            <w:pPr>
              <w:spacing w:line="360" w:lineRule="auto"/>
            </w:pPr>
            <w:r>
              <w:rPr>
                <w:rFonts w:hint="eastAsia"/>
              </w:rPr>
              <w:t>单    位</w:t>
            </w:r>
          </w:p>
        </w:tc>
        <w:tc>
          <w:tcPr>
            <w:tcW w:w="1298" w:type="dxa"/>
            <w:tcBorders>
              <w:top w:val="double" w:color="auto" w:sz="4" w:space="0"/>
              <w:bottom w:val="double" w:color="auto" w:sz="4" w:space="0"/>
            </w:tcBorders>
            <w:shd w:val="clear" w:color="auto" w:fill="E0E0E0"/>
            <w:vAlign w:val="center"/>
          </w:tcPr>
          <w:p>
            <w:pPr>
              <w:spacing w:line="360" w:lineRule="auto"/>
            </w:pPr>
            <w:r>
              <w:rPr>
                <w:rFonts w:hint="eastAsia"/>
              </w:rPr>
              <w:t>部 门</w:t>
            </w:r>
          </w:p>
        </w:tc>
        <w:tc>
          <w:tcPr>
            <w:tcW w:w="1080" w:type="dxa"/>
            <w:tcBorders>
              <w:top w:val="double" w:color="auto" w:sz="4" w:space="0"/>
              <w:bottom w:val="double" w:color="auto" w:sz="4" w:space="0"/>
            </w:tcBorders>
            <w:shd w:val="clear" w:color="auto" w:fill="E0E0E0"/>
            <w:vAlign w:val="center"/>
          </w:tcPr>
          <w:p>
            <w:pPr>
              <w:spacing w:line="360" w:lineRule="auto"/>
            </w:pPr>
            <w:r>
              <w:rPr>
                <w:rFonts w:hint="eastAsia"/>
              </w:rPr>
              <w:t>职 务</w:t>
            </w:r>
          </w:p>
        </w:tc>
        <w:tc>
          <w:tcPr>
            <w:tcW w:w="1260" w:type="dxa"/>
            <w:tcBorders>
              <w:top w:val="double" w:color="auto" w:sz="4" w:space="0"/>
              <w:bottom w:val="double" w:color="auto" w:sz="4" w:space="0"/>
            </w:tcBorders>
            <w:shd w:val="clear" w:color="auto" w:fill="E0E0E0"/>
            <w:vAlign w:val="center"/>
          </w:tcPr>
          <w:p>
            <w:pPr>
              <w:spacing w:line="360" w:lineRule="auto"/>
            </w:pPr>
            <w:r>
              <w:rPr>
                <w:rFonts w:hint="eastAsia"/>
              </w:rPr>
              <w:t>联系电话</w:t>
            </w:r>
          </w:p>
        </w:tc>
        <w:tc>
          <w:tcPr>
            <w:tcW w:w="695" w:type="dxa"/>
            <w:tcBorders>
              <w:top w:val="double" w:color="auto" w:sz="4" w:space="0"/>
              <w:bottom w:val="double" w:color="auto" w:sz="4" w:space="0"/>
              <w:right w:val="double" w:color="auto" w:sz="4" w:space="0"/>
            </w:tcBorders>
            <w:shd w:val="clear" w:color="auto" w:fill="E0E0E0"/>
            <w:vAlign w:val="center"/>
          </w:tcPr>
          <w:p>
            <w:pPr>
              <w:spacing w:line="360" w:lineRule="auto"/>
            </w:pPr>
            <w:r>
              <w:rPr>
                <w:rFonts w:hint="eastAsia"/>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701" w:type="dxa"/>
            <w:tcBorders>
              <w:top w:val="double" w:color="auto" w:sz="4" w:space="0"/>
              <w:left w:val="double" w:color="auto" w:sz="4" w:space="0"/>
            </w:tcBorders>
          </w:tcPr>
          <w:p>
            <w:pPr>
              <w:spacing w:line="360" w:lineRule="auto"/>
            </w:pPr>
            <w:r>
              <w:rPr>
                <w:rFonts w:hint="eastAsia"/>
              </w:rPr>
              <w:t>1</w:t>
            </w:r>
          </w:p>
        </w:tc>
        <w:tc>
          <w:tcPr>
            <w:tcW w:w="1080" w:type="dxa"/>
            <w:tcBorders>
              <w:top w:val="double" w:color="auto" w:sz="4" w:space="0"/>
            </w:tcBorders>
          </w:tcPr>
          <w:p>
            <w:pPr>
              <w:spacing w:line="360" w:lineRule="auto"/>
            </w:pPr>
          </w:p>
        </w:tc>
        <w:tc>
          <w:tcPr>
            <w:tcW w:w="2302" w:type="dxa"/>
            <w:tcBorders>
              <w:top w:val="double" w:color="auto" w:sz="4" w:space="0"/>
            </w:tcBorders>
          </w:tcPr>
          <w:p>
            <w:pPr>
              <w:spacing w:line="360" w:lineRule="auto"/>
            </w:pPr>
          </w:p>
        </w:tc>
        <w:tc>
          <w:tcPr>
            <w:tcW w:w="1298" w:type="dxa"/>
            <w:tcBorders>
              <w:top w:val="double" w:color="auto" w:sz="4" w:space="0"/>
            </w:tcBorders>
          </w:tcPr>
          <w:p>
            <w:pPr>
              <w:spacing w:line="360" w:lineRule="auto"/>
            </w:pPr>
          </w:p>
        </w:tc>
        <w:tc>
          <w:tcPr>
            <w:tcW w:w="1080" w:type="dxa"/>
            <w:tcBorders>
              <w:top w:val="double" w:color="auto" w:sz="4" w:space="0"/>
            </w:tcBorders>
          </w:tcPr>
          <w:p>
            <w:pPr>
              <w:spacing w:line="360" w:lineRule="auto"/>
            </w:pPr>
          </w:p>
        </w:tc>
        <w:tc>
          <w:tcPr>
            <w:tcW w:w="1260" w:type="dxa"/>
            <w:tcBorders>
              <w:top w:val="double" w:color="auto" w:sz="4" w:space="0"/>
            </w:tcBorders>
          </w:tcPr>
          <w:p>
            <w:pPr>
              <w:spacing w:line="360" w:lineRule="auto"/>
            </w:pPr>
          </w:p>
        </w:tc>
        <w:tc>
          <w:tcPr>
            <w:tcW w:w="695" w:type="dxa"/>
            <w:tcBorders>
              <w:top w:val="double" w:color="auto" w:sz="4" w:space="0"/>
              <w:right w:val="double" w:color="auto" w:sz="4" w:space="0"/>
            </w:tcBorders>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701" w:type="dxa"/>
            <w:tcBorders>
              <w:left w:val="double" w:color="auto" w:sz="4" w:space="0"/>
            </w:tcBorders>
          </w:tcPr>
          <w:p>
            <w:pPr>
              <w:spacing w:line="360" w:lineRule="auto"/>
            </w:pPr>
            <w:r>
              <w:rPr>
                <w:rFonts w:hint="eastAsia"/>
              </w:rPr>
              <w:t>2</w:t>
            </w:r>
          </w:p>
        </w:tc>
        <w:tc>
          <w:tcPr>
            <w:tcW w:w="1080" w:type="dxa"/>
          </w:tcPr>
          <w:p>
            <w:pPr>
              <w:spacing w:line="360" w:lineRule="auto"/>
            </w:pPr>
          </w:p>
        </w:tc>
        <w:tc>
          <w:tcPr>
            <w:tcW w:w="2302" w:type="dxa"/>
          </w:tcPr>
          <w:p>
            <w:pPr>
              <w:spacing w:line="360" w:lineRule="auto"/>
            </w:pPr>
          </w:p>
        </w:tc>
        <w:tc>
          <w:tcPr>
            <w:tcW w:w="1298" w:type="dxa"/>
          </w:tcPr>
          <w:p>
            <w:pPr>
              <w:spacing w:line="360" w:lineRule="auto"/>
            </w:pPr>
          </w:p>
        </w:tc>
        <w:tc>
          <w:tcPr>
            <w:tcW w:w="1080" w:type="dxa"/>
          </w:tcPr>
          <w:p>
            <w:pPr>
              <w:spacing w:line="360" w:lineRule="auto"/>
            </w:pPr>
          </w:p>
        </w:tc>
        <w:tc>
          <w:tcPr>
            <w:tcW w:w="1260" w:type="dxa"/>
          </w:tcPr>
          <w:p>
            <w:pPr>
              <w:spacing w:line="360" w:lineRule="auto"/>
            </w:pPr>
          </w:p>
        </w:tc>
        <w:tc>
          <w:tcPr>
            <w:tcW w:w="695" w:type="dxa"/>
            <w:tcBorders>
              <w:right w:val="double" w:color="auto" w:sz="4" w:space="0"/>
            </w:tcBorders>
          </w:tcPr>
          <w:p>
            <w:pPr>
              <w:spacing w:line="360" w:lineRule="auto"/>
            </w:pPr>
          </w:p>
        </w:tc>
      </w:tr>
    </w:tbl>
    <w:p>
      <w:pPr>
        <w:spacing w:line="360" w:lineRule="auto"/>
      </w:pPr>
      <w:r>
        <w:rPr>
          <w:rFonts w:hint="eastAsia"/>
        </w:rPr>
        <w:t>表四：《培训过程记录表》</w:t>
      </w:r>
    </w:p>
    <w:p>
      <w:pPr>
        <w:spacing w:line="360" w:lineRule="auto"/>
      </w:pPr>
      <w:r>
        <w:fldChar w:fldCharType="begin"/>
      </w:r>
      <w:r>
        <w:instrText xml:space="preserve"> DOCPROPERTY  Title  \* MERGEFORMAT </w:instrText>
      </w:r>
      <w:r>
        <w:fldChar w:fldCharType="separate"/>
      </w:r>
      <w:r>
        <w:rPr>
          <w:rFonts w:hint="eastAsia"/>
        </w:rPr>
        <w:t>培训过程记录表</w:t>
      </w:r>
      <w:r>
        <w:rPr>
          <w:rFonts w:hint="eastAsia"/>
        </w:rPr>
        <w:fldChar w:fldCharType="end"/>
      </w:r>
    </w:p>
    <w:p>
      <w:pPr>
        <w:spacing w:line="360" w:lineRule="auto"/>
      </w:pPr>
    </w:p>
    <w:p>
      <w:pPr>
        <w:spacing w:line="360" w:lineRule="auto"/>
      </w:pPr>
      <w:r>
        <w:rPr>
          <w:rFonts w:hint="eastAsia"/>
        </w:rPr>
        <w:t>填表人：                    填表日期：                  编号：JSFW-</w:t>
      </w:r>
    </w:p>
    <w:tbl>
      <w:tblPr>
        <w:tblStyle w:val="34"/>
        <w:tblW w:w="8466" w:type="dxa"/>
        <w:tblInd w:w="-72"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540"/>
        <w:gridCol w:w="720"/>
        <w:gridCol w:w="540"/>
        <w:gridCol w:w="180"/>
        <w:gridCol w:w="630"/>
        <w:gridCol w:w="810"/>
        <w:gridCol w:w="540"/>
        <w:gridCol w:w="180"/>
        <w:gridCol w:w="720"/>
        <w:gridCol w:w="540"/>
        <w:gridCol w:w="1440"/>
        <w:gridCol w:w="360"/>
        <w:gridCol w:w="1266"/>
      </w:tblGrid>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cantSplit/>
          <w:trHeight w:val="737" w:hRule="exact"/>
        </w:trPr>
        <w:tc>
          <w:tcPr>
            <w:tcW w:w="1800" w:type="dxa"/>
            <w:gridSpan w:val="3"/>
            <w:tcBorders>
              <w:left w:val="double" w:color="000000" w:sz="6" w:space="0"/>
              <w:bottom w:val="single" w:color="auto" w:sz="4" w:space="0"/>
              <w:right w:val="single" w:color="auto" w:sz="4" w:space="0"/>
            </w:tcBorders>
            <w:vAlign w:val="center"/>
          </w:tcPr>
          <w:p>
            <w:pPr>
              <w:spacing w:line="360" w:lineRule="auto"/>
            </w:pPr>
            <w:r>
              <w:rPr>
                <w:rFonts w:hint="eastAsia"/>
              </w:rPr>
              <w:t>培训名称</w:t>
            </w:r>
          </w:p>
        </w:tc>
        <w:tc>
          <w:tcPr>
            <w:tcW w:w="6666" w:type="dxa"/>
            <w:gridSpan w:val="10"/>
            <w:tcBorders>
              <w:left w:val="single" w:color="auto" w:sz="4" w:space="0"/>
              <w:bottom w:val="single" w:color="auto" w:sz="4" w:space="0"/>
              <w:right w:val="double" w:color="000000" w:sz="6" w:space="0"/>
            </w:tcBorders>
            <w:vAlign w:val="center"/>
          </w:tcPr>
          <w:p>
            <w:pPr>
              <w:spacing w:line="360" w:lineRule="auto"/>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737" w:hRule="exact"/>
        </w:trPr>
        <w:tc>
          <w:tcPr>
            <w:tcW w:w="1800" w:type="dxa"/>
            <w:gridSpan w:val="3"/>
            <w:tcBorders>
              <w:top w:val="single" w:color="auto" w:sz="4" w:space="0"/>
              <w:left w:val="double" w:color="000000" w:sz="6" w:space="0"/>
              <w:bottom w:val="double" w:color="000000" w:sz="6" w:space="0"/>
              <w:right w:val="single" w:color="auto" w:sz="4" w:space="0"/>
            </w:tcBorders>
            <w:vAlign w:val="center"/>
          </w:tcPr>
          <w:p>
            <w:pPr>
              <w:spacing w:line="360" w:lineRule="auto"/>
            </w:pPr>
            <w:r>
              <w:rPr>
                <w:rFonts w:hint="eastAsia"/>
              </w:rPr>
              <w:t>培训期数</w:t>
            </w:r>
          </w:p>
        </w:tc>
        <w:tc>
          <w:tcPr>
            <w:tcW w:w="2160" w:type="dxa"/>
            <w:gridSpan w:val="4"/>
            <w:tcBorders>
              <w:top w:val="single" w:color="auto" w:sz="4" w:space="0"/>
              <w:left w:val="single" w:color="auto" w:sz="4" w:space="0"/>
              <w:bottom w:val="double" w:color="000000" w:sz="6" w:space="0"/>
              <w:right w:val="single" w:color="auto" w:sz="4" w:space="0"/>
            </w:tcBorders>
            <w:vAlign w:val="center"/>
          </w:tcPr>
          <w:p>
            <w:pPr>
              <w:spacing w:line="360" w:lineRule="auto"/>
            </w:pPr>
          </w:p>
        </w:tc>
        <w:tc>
          <w:tcPr>
            <w:tcW w:w="3240" w:type="dxa"/>
            <w:gridSpan w:val="5"/>
            <w:tcBorders>
              <w:top w:val="single" w:color="auto" w:sz="4" w:space="0"/>
              <w:left w:val="single" w:color="auto" w:sz="4" w:space="0"/>
              <w:bottom w:val="double" w:color="000000" w:sz="6" w:space="0"/>
              <w:right w:val="single" w:color="auto" w:sz="4" w:space="0"/>
            </w:tcBorders>
            <w:vAlign w:val="center"/>
          </w:tcPr>
          <w:p>
            <w:pPr>
              <w:spacing w:line="360" w:lineRule="auto"/>
            </w:pPr>
            <w:r>
              <w:rPr>
                <w:rFonts w:hint="eastAsia"/>
              </w:rPr>
              <w:t>培训学员所属地区</w:t>
            </w:r>
          </w:p>
        </w:tc>
        <w:tc>
          <w:tcPr>
            <w:tcW w:w="1266" w:type="dxa"/>
            <w:tcBorders>
              <w:top w:val="single" w:color="auto" w:sz="4" w:space="0"/>
              <w:left w:val="single" w:color="auto" w:sz="4" w:space="0"/>
              <w:bottom w:val="double" w:color="000000" w:sz="6" w:space="0"/>
              <w:right w:val="double" w:color="000000" w:sz="6" w:space="0"/>
            </w:tcBorders>
            <w:vAlign w:val="center"/>
          </w:tcPr>
          <w:p>
            <w:pPr>
              <w:spacing w:line="360" w:lineRule="auto"/>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54" w:hRule="exact"/>
        </w:trPr>
        <w:tc>
          <w:tcPr>
            <w:tcW w:w="8466" w:type="dxa"/>
            <w:gridSpan w:val="13"/>
            <w:tcBorders>
              <w:top w:val="double" w:color="000000" w:sz="6" w:space="0"/>
              <w:bottom w:val="double" w:color="000000" w:sz="6" w:space="0"/>
            </w:tcBorders>
            <w:shd w:val="clear" w:color="auto" w:fill="CCCCCC"/>
          </w:tcPr>
          <w:p>
            <w:pPr>
              <w:spacing w:line="360" w:lineRule="auto"/>
            </w:pPr>
            <w:r>
              <w:rPr>
                <w:rFonts w:hint="eastAsia"/>
              </w:rPr>
              <w:t>授课记录</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67" w:hRule="exact"/>
        </w:trPr>
        <w:tc>
          <w:tcPr>
            <w:tcW w:w="1260" w:type="dxa"/>
            <w:gridSpan w:val="2"/>
            <w:tcBorders>
              <w:top w:val="double" w:color="000000" w:sz="6" w:space="0"/>
            </w:tcBorders>
            <w:vAlign w:val="center"/>
          </w:tcPr>
          <w:p>
            <w:pPr>
              <w:spacing w:line="360" w:lineRule="auto"/>
            </w:pPr>
            <w:r>
              <w:rPr>
                <w:rFonts w:hint="eastAsia"/>
              </w:rPr>
              <w:t>日期</w:t>
            </w:r>
          </w:p>
        </w:tc>
        <w:tc>
          <w:tcPr>
            <w:tcW w:w="720" w:type="dxa"/>
            <w:gridSpan w:val="2"/>
            <w:tcBorders>
              <w:top w:val="double" w:color="000000" w:sz="6" w:space="0"/>
            </w:tcBorders>
            <w:vAlign w:val="center"/>
          </w:tcPr>
          <w:p>
            <w:pPr>
              <w:spacing w:line="360" w:lineRule="auto"/>
            </w:pPr>
            <w:r>
              <w:rPr>
                <w:rFonts w:hint="eastAsia"/>
              </w:rPr>
              <w:t>课时</w:t>
            </w:r>
          </w:p>
        </w:tc>
        <w:tc>
          <w:tcPr>
            <w:tcW w:w="1440" w:type="dxa"/>
            <w:gridSpan w:val="2"/>
            <w:tcBorders>
              <w:top w:val="double" w:color="000000" w:sz="6" w:space="0"/>
            </w:tcBorders>
            <w:vAlign w:val="center"/>
          </w:tcPr>
          <w:p>
            <w:pPr>
              <w:spacing w:line="360" w:lineRule="auto"/>
            </w:pPr>
            <w:r>
              <w:rPr>
                <w:rFonts w:hint="eastAsia"/>
              </w:rPr>
              <w:t>授课教师</w:t>
            </w:r>
          </w:p>
        </w:tc>
        <w:tc>
          <w:tcPr>
            <w:tcW w:w="1440" w:type="dxa"/>
            <w:gridSpan w:val="3"/>
            <w:tcBorders>
              <w:top w:val="double" w:color="000000" w:sz="6" w:space="0"/>
            </w:tcBorders>
            <w:vAlign w:val="center"/>
          </w:tcPr>
          <w:p>
            <w:pPr>
              <w:spacing w:line="360" w:lineRule="auto"/>
            </w:pPr>
            <w:r>
              <w:rPr>
                <w:rFonts w:hint="eastAsia"/>
              </w:rPr>
              <w:t>辅导教师</w:t>
            </w:r>
          </w:p>
        </w:tc>
        <w:tc>
          <w:tcPr>
            <w:tcW w:w="2340" w:type="dxa"/>
            <w:gridSpan w:val="3"/>
            <w:tcBorders>
              <w:top w:val="double" w:color="000000" w:sz="6" w:space="0"/>
            </w:tcBorders>
            <w:vAlign w:val="center"/>
          </w:tcPr>
          <w:p>
            <w:pPr>
              <w:spacing w:line="360" w:lineRule="auto"/>
            </w:pPr>
            <w:r>
              <w:rPr>
                <w:rFonts w:hint="eastAsia"/>
              </w:rPr>
              <w:t>内容</w:t>
            </w:r>
          </w:p>
        </w:tc>
        <w:tc>
          <w:tcPr>
            <w:tcW w:w="1266" w:type="dxa"/>
            <w:tcBorders>
              <w:top w:val="double" w:color="000000" w:sz="6" w:space="0"/>
            </w:tcBorders>
            <w:vAlign w:val="center"/>
          </w:tcPr>
          <w:p>
            <w:pPr>
              <w:spacing w:line="360" w:lineRule="auto"/>
            </w:pPr>
            <w:r>
              <w:rPr>
                <w:rFonts w:hint="eastAsia"/>
              </w:rPr>
              <w:t>学员数量</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67" w:hRule="exact"/>
        </w:trPr>
        <w:tc>
          <w:tcPr>
            <w:tcW w:w="540" w:type="dxa"/>
            <w:vMerge w:val="restart"/>
            <w:vAlign w:val="center"/>
          </w:tcPr>
          <w:p>
            <w:pPr>
              <w:spacing w:line="360" w:lineRule="auto"/>
            </w:pPr>
          </w:p>
        </w:tc>
        <w:tc>
          <w:tcPr>
            <w:tcW w:w="720" w:type="dxa"/>
            <w:vAlign w:val="center"/>
          </w:tcPr>
          <w:p>
            <w:pPr>
              <w:spacing w:line="360" w:lineRule="auto"/>
            </w:pPr>
            <w:r>
              <w:rPr>
                <w:rFonts w:hint="eastAsia"/>
              </w:rPr>
              <w:t>上午</w:t>
            </w:r>
          </w:p>
        </w:tc>
        <w:tc>
          <w:tcPr>
            <w:tcW w:w="720" w:type="dxa"/>
            <w:gridSpan w:val="2"/>
            <w:vAlign w:val="center"/>
          </w:tcPr>
          <w:p>
            <w:pPr>
              <w:spacing w:line="360" w:lineRule="auto"/>
            </w:pPr>
          </w:p>
        </w:tc>
        <w:tc>
          <w:tcPr>
            <w:tcW w:w="1440" w:type="dxa"/>
            <w:gridSpan w:val="2"/>
            <w:vAlign w:val="center"/>
          </w:tcPr>
          <w:p>
            <w:pPr>
              <w:spacing w:line="360" w:lineRule="auto"/>
            </w:pPr>
          </w:p>
        </w:tc>
        <w:tc>
          <w:tcPr>
            <w:tcW w:w="1440" w:type="dxa"/>
            <w:gridSpan w:val="3"/>
            <w:vAlign w:val="center"/>
          </w:tcPr>
          <w:p>
            <w:pPr>
              <w:spacing w:line="360" w:lineRule="auto"/>
            </w:pPr>
          </w:p>
        </w:tc>
        <w:tc>
          <w:tcPr>
            <w:tcW w:w="2340" w:type="dxa"/>
            <w:gridSpan w:val="3"/>
            <w:vAlign w:val="center"/>
          </w:tcPr>
          <w:p>
            <w:pPr>
              <w:spacing w:line="360" w:lineRule="auto"/>
            </w:pPr>
          </w:p>
        </w:tc>
        <w:tc>
          <w:tcPr>
            <w:tcW w:w="1266" w:type="dxa"/>
            <w:vAlign w:val="center"/>
          </w:tcPr>
          <w:p>
            <w:pPr>
              <w:spacing w:line="360" w:lineRule="auto"/>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67" w:hRule="exact"/>
        </w:trPr>
        <w:tc>
          <w:tcPr>
            <w:tcW w:w="540" w:type="dxa"/>
            <w:vMerge w:val="continue"/>
            <w:vAlign w:val="center"/>
          </w:tcPr>
          <w:p>
            <w:pPr>
              <w:spacing w:line="360" w:lineRule="auto"/>
            </w:pPr>
          </w:p>
        </w:tc>
        <w:tc>
          <w:tcPr>
            <w:tcW w:w="720" w:type="dxa"/>
            <w:vAlign w:val="center"/>
          </w:tcPr>
          <w:p>
            <w:pPr>
              <w:spacing w:line="360" w:lineRule="auto"/>
            </w:pPr>
            <w:r>
              <w:rPr>
                <w:rFonts w:hint="eastAsia"/>
              </w:rPr>
              <w:t>下午</w:t>
            </w:r>
          </w:p>
        </w:tc>
        <w:tc>
          <w:tcPr>
            <w:tcW w:w="720" w:type="dxa"/>
            <w:gridSpan w:val="2"/>
            <w:vAlign w:val="center"/>
          </w:tcPr>
          <w:p>
            <w:pPr>
              <w:spacing w:line="360" w:lineRule="auto"/>
            </w:pPr>
          </w:p>
        </w:tc>
        <w:tc>
          <w:tcPr>
            <w:tcW w:w="1440" w:type="dxa"/>
            <w:gridSpan w:val="2"/>
            <w:vAlign w:val="center"/>
          </w:tcPr>
          <w:p>
            <w:pPr>
              <w:spacing w:line="360" w:lineRule="auto"/>
            </w:pPr>
          </w:p>
        </w:tc>
        <w:tc>
          <w:tcPr>
            <w:tcW w:w="1440" w:type="dxa"/>
            <w:gridSpan w:val="3"/>
            <w:vAlign w:val="center"/>
          </w:tcPr>
          <w:p>
            <w:pPr>
              <w:spacing w:line="360" w:lineRule="auto"/>
            </w:pPr>
          </w:p>
        </w:tc>
        <w:tc>
          <w:tcPr>
            <w:tcW w:w="2340" w:type="dxa"/>
            <w:gridSpan w:val="3"/>
            <w:vAlign w:val="center"/>
          </w:tcPr>
          <w:p>
            <w:pPr>
              <w:spacing w:line="360" w:lineRule="auto"/>
            </w:pPr>
          </w:p>
        </w:tc>
        <w:tc>
          <w:tcPr>
            <w:tcW w:w="1266" w:type="dxa"/>
            <w:vAlign w:val="center"/>
          </w:tcPr>
          <w:p>
            <w:pPr>
              <w:spacing w:line="360" w:lineRule="auto"/>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67" w:hRule="exact"/>
        </w:trPr>
        <w:tc>
          <w:tcPr>
            <w:tcW w:w="540" w:type="dxa"/>
            <w:vMerge w:val="restart"/>
            <w:vAlign w:val="center"/>
          </w:tcPr>
          <w:p>
            <w:pPr>
              <w:spacing w:line="360" w:lineRule="auto"/>
            </w:pPr>
          </w:p>
        </w:tc>
        <w:tc>
          <w:tcPr>
            <w:tcW w:w="720" w:type="dxa"/>
            <w:vAlign w:val="center"/>
          </w:tcPr>
          <w:p>
            <w:pPr>
              <w:spacing w:line="360" w:lineRule="auto"/>
            </w:pPr>
            <w:r>
              <w:rPr>
                <w:rFonts w:hint="eastAsia"/>
              </w:rPr>
              <w:t>上午</w:t>
            </w:r>
          </w:p>
        </w:tc>
        <w:tc>
          <w:tcPr>
            <w:tcW w:w="720" w:type="dxa"/>
            <w:gridSpan w:val="2"/>
            <w:vAlign w:val="center"/>
          </w:tcPr>
          <w:p>
            <w:pPr>
              <w:spacing w:line="360" w:lineRule="auto"/>
            </w:pPr>
          </w:p>
        </w:tc>
        <w:tc>
          <w:tcPr>
            <w:tcW w:w="1440" w:type="dxa"/>
            <w:gridSpan w:val="2"/>
            <w:vAlign w:val="center"/>
          </w:tcPr>
          <w:p>
            <w:pPr>
              <w:spacing w:line="360" w:lineRule="auto"/>
            </w:pPr>
          </w:p>
        </w:tc>
        <w:tc>
          <w:tcPr>
            <w:tcW w:w="1440" w:type="dxa"/>
            <w:gridSpan w:val="3"/>
            <w:vAlign w:val="center"/>
          </w:tcPr>
          <w:p>
            <w:pPr>
              <w:spacing w:line="360" w:lineRule="auto"/>
            </w:pPr>
          </w:p>
        </w:tc>
        <w:tc>
          <w:tcPr>
            <w:tcW w:w="2340" w:type="dxa"/>
            <w:gridSpan w:val="3"/>
            <w:vAlign w:val="center"/>
          </w:tcPr>
          <w:p>
            <w:pPr>
              <w:spacing w:line="360" w:lineRule="auto"/>
            </w:pPr>
          </w:p>
        </w:tc>
        <w:tc>
          <w:tcPr>
            <w:tcW w:w="1266" w:type="dxa"/>
            <w:vAlign w:val="center"/>
          </w:tcPr>
          <w:p>
            <w:pPr>
              <w:spacing w:line="360" w:lineRule="auto"/>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67" w:hRule="exact"/>
        </w:trPr>
        <w:tc>
          <w:tcPr>
            <w:tcW w:w="540" w:type="dxa"/>
            <w:vMerge w:val="continue"/>
            <w:vAlign w:val="center"/>
          </w:tcPr>
          <w:p>
            <w:pPr>
              <w:spacing w:line="360" w:lineRule="auto"/>
            </w:pPr>
          </w:p>
        </w:tc>
        <w:tc>
          <w:tcPr>
            <w:tcW w:w="720" w:type="dxa"/>
            <w:vAlign w:val="center"/>
          </w:tcPr>
          <w:p>
            <w:pPr>
              <w:spacing w:line="360" w:lineRule="auto"/>
            </w:pPr>
            <w:r>
              <w:rPr>
                <w:rFonts w:hint="eastAsia"/>
              </w:rPr>
              <w:t>下午</w:t>
            </w:r>
          </w:p>
        </w:tc>
        <w:tc>
          <w:tcPr>
            <w:tcW w:w="720" w:type="dxa"/>
            <w:gridSpan w:val="2"/>
            <w:vAlign w:val="center"/>
          </w:tcPr>
          <w:p>
            <w:pPr>
              <w:spacing w:line="360" w:lineRule="auto"/>
            </w:pPr>
          </w:p>
        </w:tc>
        <w:tc>
          <w:tcPr>
            <w:tcW w:w="1440" w:type="dxa"/>
            <w:gridSpan w:val="2"/>
            <w:vAlign w:val="center"/>
          </w:tcPr>
          <w:p>
            <w:pPr>
              <w:spacing w:line="360" w:lineRule="auto"/>
            </w:pPr>
          </w:p>
        </w:tc>
        <w:tc>
          <w:tcPr>
            <w:tcW w:w="1440" w:type="dxa"/>
            <w:gridSpan w:val="3"/>
            <w:vAlign w:val="center"/>
          </w:tcPr>
          <w:p>
            <w:pPr>
              <w:spacing w:line="360" w:lineRule="auto"/>
            </w:pPr>
          </w:p>
        </w:tc>
        <w:tc>
          <w:tcPr>
            <w:tcW w:w="2340" w:type="dxa"/>
            <w:gridSpan w:val="3"/>
            <w:vAlign w:val="center"/>
          </w:tcPr>
          <w:p>
            <w:pPr>
              <w:spacing w:line="360" w:lineRule="auto"/>
            </w:pPr>
          </w:p>
        </w:tc>
        <w:tc>
          <w:tcPr>
            <w:tcW w:w="1266" w:type="dxa"/>
            <w:vAlign w:val="center"/>
          </w:tcPr>
          <w:p>
            <w:pPr>
              <w:spacing w:line="360" w:lineRule="auto"/>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54" w:hRule="exact"/>
        </w:trPr>
        <w:tc>
          <w:tcPr>
            <w:tcW w:w="8466" w:type="dxa"/>
            <w:gridSpan w:val="13"/>
            <w:tcBorders>
              <w:top w:val="double" w:color="000000" w:sz="6" w:space="0"/>
              <w:bottom w:val="single" w:color="000000" w:sz="6" w:space="0"/>
            </w:tcBorders>
            <w:shd w:val="clear" w:color="auto" w:fill="CCCCCC"/>
            <w:vAlign w:val="center"/>
          </w:tcPr>
          <w:p>
            <w:pPr>
              <w:spacing w:line="360" w:lineRule="auto"/>
            </w:pPr>
            <w:r>
              <w:rPr>
                <w:rFonts w:hint="eastAsia"/>
              </w:rPr>
              <w:t>考试记录</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67" w:hRule="exact"/>
        </w:trPr>
        <w:tc>
          <w:tcPr>
            <w:tcW w:w="1260" w:type="dxa"/>
            <w:gridSpan w:val="2"/>
            <w:tcBorders>
              <w:top w:val="single" w:color="000000" w:sz="6" w:space="0"/>
            </w:tcBorders>
            <w:vAlign w:val="center"/>
          </w:tcPr>
          <w:p>
            <w:pPr>
              <w:spacing w:line="360" w:lineRule="auto"/>
            </w:pPr>
            <w:r>
              <w:rPr>
                <w:rFonts w:hint="eastAsia"/>
              </w:rPr>
              <w:t>考试日期</w:t>
            </w:r>
          </w:p>
        </w:tc>
        <w:tc>
          <w:tcPr>
            <w:tcW w:w="1350" w:type="dxa"/>
            <w:gridSpan w:val="3"/>
            <w:tcBorders>
              <w:top w:val="single" w:color="000000" w:sz="6" w:space="0"/>
            </w:tcBorders>
            <w:vAlign w:val="center"/>
          </w:tcPr>
          <w:p>
            <w:pPr>
              <w:spacing w:line="360" w:lineRule="auto"/>
            </w:pPr>
          </w:p>
        </w:tc>
        <w:tc>
          <w:tcPr>
            <w:tcW w:w="1530" w:type="dxa"/>
            <w:gridSpan w:val="3"/>
            <w:tcBorders>
              <w:top w:val="single" w:color="000000" w:sz="6" w:space="0"/>
            </w:tcBorders>
            <w:vAlign w:val="center"/>
          </w:tcPr>
          <w:p>
            <w:pPr>
              <w:spacing w:line="360" w:lineRule="auto"/>
            </w:pPr>
            <w:r>
              <w:rPr>
                <w:rFonts w:hint="eastAsia"/>
              </w:rPr>
              <w:t>考试时间</w:t>
            </w:r>
          </w:p>
        </w:tc>
        <w:tc>
          <w:tcPr>
            <w:tcW w:w="1260" w:type="dxa"/>
            <w:gridSpan w:val="2"/>
            <w:tcBorders>
              <w:top w:val="single" w:color="000000" w:sz="6" w:space="0"/>
            </w:tcBorders>
            <w:vAlign w:val="center"/>
          </w:tcPr>
          <w:p>
            <w:pPr>
              <w:spacing w:line="360" w:lineRule="auto"/>
            </w:pPr>
          </w:p>
        </w:tc>
        <w:tc>
          <w:tcPr>
            <w:tcW w:w="1440" w:type="dxa"/>
            <w:tcBorders>
              <w:top w:val="single" w:color="000000" w:sz="6" w:space="0"/>
            </w:tcBorders>
            <w:vAlign w:val="center"/>
          </w:tcPr>
          <w:p>
            <w:pPr>
              <w:spacing w:line="360" w:lineRule="auto"/>
            </w:pPr>
            <w:r>
              <w:rPr>
                <w:rFonts w:hint="eastAsia"/>
              </w:rPr>
              <w:t>考试地点</w:t>
            </w:r>
          </w:p>
        </w:tc>
        <w:tc>
          <w:tcPr>
            <w:tcW w:w="1626" w:type="dxa"/>
            <w:gridSpan w:val="2"/>
            <w:tcBorders>
              <w:top w:val="single" w:color="000000" w:sz="6" w:space="0"/>
            </w:tcBorders>
            <w:vAlign w:val="center"/>
          </w:tcPr>
          <w:p>
            <w:pPr>
              <w:spacing w:line="360" w:lineRule="auto"/>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67" w:hRule="exact"/>
        </w:trPr>
        <w:tc>
          <w:tcPr>
            <w:tcW w:w="1260" w:type="dxa"/>
            <w:gridSpan w:val="2"/>
            <w:vAlign w:val="center"/>
          </w:tcPr>
          <w:p>
            <w:pPr>
              <w:spacing w:line="360" w:lineRule="auto"/>
            </w:pPr>
            <w:r>
              <w:rPr>
                <w:rFonts w:hint="eastAsia"/>
              </w:rPr>
              <w:t>主考教师</w:t>
            </w:r>
          </w:p>
        </w:tc>
        <w:tc>
          <w:tcPr>
            <w:tcW w:w="1350" w:type="dxa"/>
            <w:gridSpan w:val="3"/>
            <w:vAlign w:val="center"/>
          </w:tcPr>
          <w:p>
            <w:pPr>
              <w:spacing w:line="360" w:lineRule="auto"/>
            </w:pPr>
          </w:p>
        </w:tc>
        <w:tc>
          <w:tcPr>
            <w:tcW w:w="1530" w:type="dxa"/>
            <w:gridSpan w:val="3"/>
            <w:vAlign w:val="center"/>
          </w:tcPr>
          <w:p>
            <w:pPr>
              <w:spacing w:line="360" w:lineRule="auto"/>
            </w:pPr>
            <w:r>
              <w:rPr>
                <w:rFonts w:hint="eastAsia"/>
              </w:rPr>
              <w:t>监考人员</w:t>
            </w:r>
          </w:p>
        </w:tc>
        <w:tc>
          <w:tcPr>
            <w:tcW w:w="4326" w:type="dxa"/>
            <w:gridSpan w:val="5"/>
            <w:vAlign w:val="center"/>
          </w:tcPr>
          <w:p>
            <w:pPr>
              <w:spacing w:line="360" w:lineRule="auto"/>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67" w:hRule="exact"/>
        </w:trPr>
        <w:tc>
          <w:tcPr>
            <w:tcW w:w="1260" w:type="dxa"/>
            <w:gridSpan w:val="2"/>
            <w:vAlign w:val="center"/>
          </w:tcPr>
          <w:p>
            <w:pPr>
              <w:spacing w:line="360" w:lineRule="auto"/>
            </w:pPr>
            <w:r>
              <w:rPr>
                <w:rFonts w:hint="eastAsia"/>
              </w:rPr>
              <w:t>考试人数</w:t>
            </w:r>
          </w:p>
        </w:tc>
        <w:tc>
          <w:tcPr>
            <w:tcW w:w="1350" w:type="dxa"/>
            <w:gridSpan w:val="3"/>
            <w:vAlign w:val="center"/>
          </w:tcPr>
          <w:p>
            <w:pPr>
              <w:spacing w:line="360" w:lineRule="auto"/>
            </w:pPr>
          </w:p>
        </w:tc>
        <w:tc>
          <w:tcPr>
            <w:tcW w:w="1530" w:type="dxa"/>
            <w:gridSpan w:val="3"/>
            <w:vAlign w:val="center"/>
          </w:tcPr>
          <w:p>
            <w:pPr>
              <w:spacing w:line="360" w:lineRule="auto"/>
            </w:pPr>
            <w:r>
              <w:rPr>
                <w:rFonts w:hint="eastAsia"/>
              </w:rPr>
              <w:t>考试方式</w:t>
            </w:r>
          </w:p>
        </w:tc>
        <w:tc>
          <w:tcPr>
            <w:tcW w:w="4326" w:type="dxa"/>
            <w:gridSpan w:val="5"/>
            <w:vAlign w:val="center"/>
          </w:tcPr>
          <w:p>
            <w:pPr>
              <w:spacing w:line="360" w:lineRule="auto"/>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67" w:hRule="exact"/>
        </w:trPr>
        <w:tc>
          <w:tcPr>
            <w:tcW w:w="1260" w:type="dxa"/>
            <w:gridSpan w:val="2"/>
            <w:tcBorders>
              <w:bottom w:val="double" w:color="000000" w:sz="6" w:space="0"/>
            </w:tcBorders>
            <w:vAlign w:val="center"/>
          </w:tcPr>
          <w:p>
            <w:pPr>
              <w:spacing w:line="360" w:lineRule="auto"/>
            </w:pPr>
            <w:r>
              <w:rPr>
                <w:rFonts w:hint="eastAsia"/>
              </w:rPr>
              <w:t>考场情况</w:t>
            </w:r>
          </w:p>
        </w:tc>
        <w:tc>
          <w:tcPr>
            <w:tcW w:w="2880" w:type="dxa"/>
            <w:gridSpan w:val="6"/>
            <w:tcBorders>
              <w:bottom w:val="double" w:color="000000" w:sz="6" w:space="0"/>
            </w:tcBorders>
            <w:vAlign w:val="center"/>
          </w:tcPr>
          <w:p>
            <w:pPr>
              <w:spacing w:line="360" w:lineRule="auto"/>
            </w:pPr>
          </w:p>
        </w:tc>
        <w:tc>
          <w:tcPr>
            <w:tcW w:w="1260" w:type="dxa"/>
            <w:gridSpan w:val="2"/>
            <w:tcBorders>
              <w:bottom w:val="double" w:color="000000" w:sz="6" w:space="0"/>
            </w:tcBorders>
            <w:vAlign w:val="center"/>
          </w:tcPr>
          <w:p>
            <w:pPr>
              <w:spacing w:line="360" w:lineRule="auto"/>
            </w:pPr>
            <w:r>
              <w:rPr>
                <w:rFonts w:hint="eastAsia"/>
              </w:rPr>
              <w:t>交卷情况</w:t>
            </w:r>
          </w:p>
        </w:tc>
        <w:tc>
          <w:tcPr>
            <w:tcW w:w="3066" w:type="dxa"/>
            <w:gridSpan w:val="3"/>
            <w:tcBorders>
              <w:bottom w:val="double" w:color="000000" w:sz="6" w:space="0"/>
            </w:tcBorders>
            <w:vAlign w:val="center"/>
          </w:tcPr>
          <w:p>
            <w:pPr>
              <w:spacing w:line="360" w:lineRule="auto"/>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54" w:hRule="exact"/>
        </w:trPr>
        <w:tc>
          <w:tcPr>
            <w:tcW w:w="8466" w:type="dxa"/>
            <w:gridSpan w:val="13"/>
            <w:tcBorders>
              <w:top w:val="double" w:color="000000" w:sz="6" w:space="0"/>
              <w:bottom w:val="double" w:color="000000" w:sz="6" w:space="0"/>
            </w:tcBorders>
            <w:shd w:val="clear" w:color="auto" w:fill="CCCCCC"/>
            <w:vAlign w:val="center"/>
          </w:tcPr>
          <w:p>
            <w:pPr>
              <w:spacing w:line="360" w:lineRule="auto"/>
            </w:pPr>
            <w:r>
              <w:rPr>
                <w:rFonts w:hint="eastAsia"/>
              </w:rPr>
              <w:t>备注</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943" w:hRule="exact"/>
        </w:trPr>
        <w:tc>
          <w:tcPr>
            <w:tcW w:w="8466" w:type="dxa"/>
            <w:gridSpan w:val="13"/>
            <w:tcBorders>
              <w:top w:val="double" w:color="000000" w:sz="6" w:space="0"/>
              <w:bottom w:val="double" w:color="000000" w:sz="6" w:space="0"/>
            </w:tcBorders>
            <w:vAlign w:val="center"/>
          </w:tcPr>
          <w:p>
            <w:pPr>
              <w:spacing w:line="360" w:lineRule="auto"/>
            </w:pPr>
          </w:p>
        </w:tc>
      </w:tr>
    </w:tbl>
    <w:p>
      <w:pPr>
        <w:spacing w:line="360" w:lineRule="auto"/>
        <w:rPr>
          <w:sz w:val="24"/>
          <w:szCs w:val="24"/>
        </w:rPr>
      </w:pPr>
      <w:r>
        <w:rPr>
          <w:rFonts w:hint="eastAsia"/>
          <w:sz w:val="24"/>
          <w:szCs w:val="24"/>
        </w:rPr>
        <w:t>九、培训考试</w:t>
      </w:r>
      <w:r>
        <w:rPr>
          <w:rFonts w:hint="eastAsia"/>
          <w:sz w:val="24"/>
          <w:szCs w:val="24"/>
        </w:rPr>
        <w:tab/>
      </w:r>
    </w:p>
    <w:p>
      <w:pPr>
        <w:spacing w:line="360" w:lineRule="auto"/>
        <w:rPr>
          <w:sz w:val="24"/>
          <w:szCs w:val="24"/>
        </w:rPr>
      </w:pPr>
      <w:r>
        <w:rPr>
          <w:rFonts w:hint="eastAsia"/>
          <w:sz w:val="24"/>
          <w:szCs w:val="24"/>
        </w:rPr>
        <w:t>培训结束后，为验证和巩固培训效果，对培训学员进行测试。</w:t>
      </w:r>
      <w:r>
        <w:rPr>
          <w:rFonts w:hint="eastAsia"/>
          <w:sz w:val="24"/>
          <w:szCs w:val="24"/>
        </w:rPr>
        <w:tab/>
      </w:r>
    </w:p>
    <w:p>
      <w:pPr>
        <w:spacing w:line="360" w:lineRule="auto"/>
        <w:rPr>
          <w:sz w:val="24"/>
          <w:szCs w:val="24"/>
        </w:rPr>
      </w:pPr>
      <w:r>
        <w:rPr>
          <w:rFonts w:hint="eastAsia"/>
          <w:sz w:val="24"/>
          <w:szCs w:val="24"/>
        </w:rPr>
        <w:t>十、培训质量调查</w:t>
      </w:r>
      <w:r>
        <w:rPr>
          <w:rFonts w:hint="eastAsia"/>
          <w:sz w:val="24"/>
          <w:szCs w:val="24"/>
        </w:rPr>
        <w:tab/>
      </w:r>
    </w:p>
    <w:p>
      <w:pPr>
        <w:spacing w:line="360" w:lineRule="auto"/>
        <w:rPr>
          <w:sz w:val="24"/>
          <w:szCs w:val="24"/>
        </w:rPr>
      </w:pPr>
      <w:r>
        <w:rPr>
          <w:rFonts w:hint="eastAsia"/>
          <w:sz w:val="24"/>
          <w:szCs w:val="24"/>
        </w:rPr>
        <w:t>对学员就培训工作的情况进行调查，学员填写培训质量调查表。</w:t>
      </w:r>
      <w:r>
        <w:rPr>
          <w:rFonts w:hint="eastAsia"/>
          <w:sz w:val="24"/>
          <w:szCs w:val="24"/>
        </w:rPr>
        <w:tab/>
      </w:r>
    </w:p>
    <w:p>
      <w:pPr>
        <w:spacing w:line="360" w:lineRule="auto"/>
        <w:rPr>
          <w:sz w:val="24"/>
          <w:szCs w:val="24"/>
        </w:rPr>
      </w:pPr>
      <w:r>
        <w:rPr>
          <w:rFonts w:hint="eastAsia"/>
          <w:sz w:val="24"/>
          <w:szCs w:val="24"/>
        </w:rPr>
        <w:t>表五：《培训质量调查表》</w:t>
      </w:r>
    </w:p>
    <w:p>
      <w:pPr>
        <w:spacing w:line="360" w:lineRule="auto"/>
        <w:rPr>
          <w:sz w:val="24"/>
          <w:szCs w:val="24"/>
        </w:rPr>
      </w:pPr>
      <w:r>
        <w:rPr>
          <w:rFonts w:hint="eastAsia"/>
          <w:sz w:val="24"/>
          <w:szCs w:val="24"/>
        </w:rPr>
        <w:t>培训质量调查表</w:t>
      </w:r>
    </w:p>
    <w:p>
      <w:pPr>
        <w:spacing w:line="360" w:lineRule="auto"/>
        <w:rPr>
          <w:sz w:val="24"/>
          <w:szCs w:val="24"/>
        </w:rPr>
      </w:pPr>
      <w:r>
        <w:rPr>
          <w:rFonts w:hint="eastAsia"/>
          <w:sz w:val="24"/>
          <w:szCs w:val="24"/>
        </w:rPr>
        <w:t>接受培训单位名称：　　　　　　　　　　　　　　　　　        　　</w:t>
      </w:r>
    </w:p>
    <w:p>
      <w:pPr>
        <w:spacing w:line="360" w:lineRule="auto"/>
        <w:rPr>
          <w:sz w:val="24"/>
          <w:szCs w:val="24"/>
        </w:rPr>
      </w:pPr>
      <w:r>
        <w:rPr>
          <w:rFonts w:hint="eastAsia"/>
          <w:sz w:val="24"/>
          <w:szCs w:val="24"/>
        </w:rPr>
        <w:t xml:space="preserve">培训名称：　　　　　　　 　 　主讲教师：    　    </w:t>
      </w:r>
      <w:r>
        <w:rPr>
          <w:rFonts w:hint="eastAsia"/>
          <w:sz w:val="24"/>
          <w:szCs w:val="24"/>
        </w:rPr>
        <w:tab/>
      </w:r>
      <w:r>
        <w:rPr>
          <w:rFonts w:hint="eastAsia"/>
          <w:sz w:val="24"/>
          <w:szCs w:val="24"/>
        </w:rPr>
        <w:t>培训时间：  　__</w:t>
      </w:r>
    </w:p>
    <w:p>
      <w:pPr>
        <w:spacing w:line="360" w:lineRule="auto"/>
        <w:rPr>
          <w:sz w:val="24"/>
          <w:szCs w:val="24"/>
        </w:rPr>
      </w:pPr>
      <w:r>
        <w:rPr>
          <w:rFonts w:hint="eastAsia"/>
          <w:sz w:val="24"/>
          <w:szCs w:val="24"/>
        </w:rPr>
        <w:t>为了进一步做好培训工作，掌握培训情况，请您配合我们填写以下各项调查，并在您认可的选项前打√。</w:t>
      </w:r>
    </w:p>
    <w:p>
      <w:pPr>
        <w:spacing w:line="360" w:lineRule="auto"/>
        <w:rPr>
          <w:sz w:val="24"/>
          <w:szCs w:val="24"/>
        </w:rPr>
      </w:pPr>
      <w:r>
        <w:rPr>
          <w:rFonts w:hint="eastAsia"/>
          <w:sz w:val="24"/>
          <w:szCs w:val="24"/>
        </w:rPr>
        <w:t>1、您对本次培训中使用的幻灯片、教材等培训资料的整体质量是否满意：</w:t>
      </w:r>
    </w:p>
    <w:p>
      <w:pPr>
        <w:spacing w:line="360" w:lineRule="auto"/>
        <w:rPr>
          <w:sz w:val="24"/>
          <w:szCs w:val="24"/>
        </w:rPr>
      </w:pPr>
      <w:r>
        <w:rPr>
          <w:rFonts w:hint="eastAsia"/>
          <w:sz w:val="24"/>
          <w:szCs w:val="24"/>
        </w:rPr>
        <w:t>□非常满意□满意□一般□不满意□很不满意</w:t>
      </w:r>
    </w:p>
    <w:p>
      <w:pPr>
        <w:spacing w:line="360" w:lineRule="auto"/>
        <w:rPr>
          <w:sz w:val="24"/>
          <w:szCs w:val="24"/>
        </w:rPr>
      </w:pPr>
      <w:r>
        <w:rPr>
          <w:rFonts w:hint="eastAsia"/>
          <w:sz w:val="24"/>
          <w:szCs w:val="24"/>
        </w:rPr>
        <w:t>2、您对主讲教师的教学态度是否满意：</w:t>
      </w:r>
    </w:p>
    <w:p>
      <w:pPr>
        <w:spacing w:line="360" w:lineRule="auto"/>
        <w:rPr>
          <w:sz w:val="24"/>
          <w:szCs w:val="24"/>
        </w:rPr>
      </w:pPr>
      <w:r>
        <w:rPr>
          <w:rFonts w:hint="eastAsia"/>
          <w:sz w:val="24"/>
          <w:szCs w:val="24"/>
        </w:rPr>
        <w:t>□非常满意□满意□一般□不满意□很不满意</w:t>
      </w:r>
    </w:p>
    <w:p>
      <w:pPr>
        <w:spacing w:line="360" w:lineRule="auto"/>
        <w:rPr>
          <w:sz w:val="24"/>
          <w:szCs w:val="24"/>
        </w:rPr>
      </w:pPr>
      <w:r>
        <w:rPr>
          <w:rFonts w:hint="eastAsia"/>
          <w:sz w:val="24"/>
          <w:szCs w:val="24"/>
        </w:rPr>
        <w:t>3、您对主讲教师授课时在语言方面的条理性、归纳总结、突出重点、讲清难点等技能技巧方面是否满意：</w:t>
      </w:r>
    </w:p>
    <w:p>
      <w:pPr>
        <w:spacing w:line="360" w:lineRule="auto"/>
        <w:rPr>
          <w:sz w:val="24"/>
          <w:szCs w:val="24"/>
        </w:rPr>
      </w:pPr>
      <w:r>
        <w:rPr>
          <w:rFonts w:hint="eastAsia"/>
          <w:sz w:val="24"/>
          <w:szCs w:val="24"/>
        </w:rPr>
        <w:t>□非常满意□满意□一般□不满意□很不满意</w:t>
      </w:r>
    </w:p>
    <w:p>
      <w:pPr>
        <w:spacing w:line="360" w:lineRule="auto"/>
        <w:rPr>
          <w:sz w:val="24"/>
          <w:szCs w:val="24"/>
        </w:rPr>
      </w:pPr>
      <w:r>
        <w:rPr>
          <w:rFonts w:hint="eastAsia"/>
          <w:sz w:val="24"/>
          <w:szCs w:val="24"/>
        </w:rPr>
        <w:t>4、您对主讲教师的业务水平是否满意：</w:t>
      </w:r>
    </w:p>
    <w:p>
      <w:pPr>
        <w:spacing w:line="360" w:lineRule="auto"/>
        <w:rPr>
          <w:sz w:val="24"/>
          <w:szCs w:val="24"/>
        </w:rPr>
      </w:pPr>
      <w:r>
        <w:rPr>
          <w:rFonts w:hint="eastAsia"/>
          <w:sz w:val="24"/>
          <w:szCs w:val="24"/>
        </w:rPr>
        <w:t>□非常满意□满意□一般□不满意□很不满意</w:t>
      </w:r>
    </w:p>
    <w:p>
      <w:pPr>
        <w:spacing w:line="360" w:lineRule="auto"/>
        <w:rPr>
          <w:sz w:val="24"/>
          <w:szCs w:val="24"/>
        </w:rPr>
      </w:pPr>
      <w:r>
        <w:rPr>
          <w:rFonts w:hint="eastAsia"/>
          <w:sz w:val="24"/>
          <w:szCs w:val="24"/>
        </w:rPr>
        <w:t>5、您对本次上机实习的安排是否满意：（如未安排上机实习，此项无需填写）</w:t>
      </w:r>
    </w:p>
    <w:p>
      <w:pPr>
        <w:spacing w:line="360" w:lineRule="auto"/>
        <w:rPr>
          <w:sz w:val="24"/>
          <w:szCs w:val="24"/>
        </w:rPr>
      </w:pPr>
      <w:r>
        <w:rPr>
          <w:rFonts w:hint="eastAsia"/>
          <w:sz w:val="24"/>
          <w:szCs w:val="24"/>
        </w:rPr>
        <w:t>□非常满意□满意□一般□不满意□很不满意</w:t>
      </w:r>
    </w:p>
    <w:p>
      <w:pPr>
        <w:spacing w:line="360" w:lineRule="auto"/>
        <w:rPr>
          <w:sz w:val="24"/>
          <w:szCs w:val="24"/>
        </w:rPr>
      </w:pPr>
      <w:r>
        <w:rPr>
          <w:rFonts w:hint="eastAsia"/>
          <w:sz w:val="24"/>
          <w:szCs w:val="24"/>
        </w:rPr>
        <w:t>6、您对本次培训所采用的考试形式是否满意：（如未安排考试，此项无需填写）</w:t>
      </w:r>
    </w:p>
    <w:p>
      <w:pPr>
        <w:spacing w:line="360" w:lineRule="auto"/>
        <w:rPr>
          <w:sz w:val="24"/>
          <w:szCs w:val="24"/>
        </w:rPr>
      </w:pPr>
      <w:r>
        <w:rPr>
          <w:rFonts w:hint="eastAsia"/>
          <w:sz w:val="24"/>
          <w:szCs w:val="24"/>
        </w:rPr>
        <w:t>□非常满意□满意□一般□不满意□很不满意</w:t>
      </w:r>
    </w:p>
    <w:p>
      <w:pPr>
        <w:spacing w:line="360" w:lineRule="auto"/>
        <w:rPr>
          <w:sz w:val="24"/>
          <w:szCs w:val="24"/>
        </w:rPr>
      </w:pPr>
      <w:r>
        <w:rPr>
          <w:rFonts w:hint="eastAsia"/>
          <w:sz w:val="24"/>
          <w:szCs w:val="24"/>
        </w:rPr>
        <w:t>7、针对此次培训内容，您认为哪种培训方式更适合您</w:t>
      </w:r>
    </w:p>
    <w:p>
      <w:pPr>
        <w:spacing w:line="360" w:lineRule="auto"/>
        <w:rPr>
          <w:sz w:val="24"/>
          <w:szCs w:val="24"/>
        </w:rPr>
      </w:pPr>
      <w:r>
        <w:rPr>
          <w:rFonts w:hint="eastAsia"/>
          <w:sz w:val="24"/>
          <w:szCs w:val="24"/>
        </w:rPr>
        <w:t>□面授□网络视频□两种方式均可□不确定</w:t>
      </w:r>
    </w:p>
    <w:p>
      <w:pPr>
        <w:spacing w:line="360" w:lineRule="auto"/>
        <w:rPr>
          <w:sz w:val="24"/>
          <w:szCs w:val="24"/>
        </w:rPr>
      </w:pPr>
      <w:r>
        <w:rPr>
          <w:rFonts w:hint="eastAsia"/>
          <w:sz w:val="24"/>
          <w:szCs w:val="24"/>
        </w:rPr>
        <w:t>8、您对本次视频培训中的网络传输效果是否满意：（如现场培训，此项无需填写）</w:t>
      </w:r>
    </w:p>
    <w:p>
      <w:pPr>
        <w:spacing w:line="360" w:lineRule="auto"/>
        <w:rPr>
          <w:sz w:val="24"/>
          <w:szCs w:val="24"/>
        </w:rPr>
      </w:pPr>
      <w:r>
        <w:rPr>
          <w:rFonts w:hint="eastAsia"/>
          <w:sz w:val="24"/>
          <w:szCs w:val="24"/>
        </w:rPr>
        <w:t>□非常满意□满意□一般□不满意□很不满意</w:t>
      </w:r>
    </w:p>
    <w:p>
      <w:pPr>
        <w:spacing w:line="360" w:lineRule="auto"/>
        <w:rPr>
          <w:sz w:val="24"/>
          <w:szCs w:val="24"/>
        </w:rPr>
      </w:pPr>
      <w:r>
        <w:rPr>
          <w:rFonts w:hint="eastAsia"/>
          <w:sz w:val="24"/>
          <w:szCs w:val="24"/>
        </w:rPr>
        <w:t>9、您认为通过本次培训我们应该在哪些方面进行加强或改进？</w:t>
      </w:r>
    </w:p>
    <w:p>
      <w:pPr>
        <w:spacing w:line="360" w:lineRule="auto"/>
        <w:rPr>
          <w:sz w:val="24"/>
          <w:szCs w:val="24"/>
        </w:rPr>
      </w:pPr>
      <w:r>
        <w:rPr>
          <w:rFonts w:hint="eastAsia"/>
          <w:sz w:val="24"/>
          <w:szCs w:val="24"/>
        </w:rPr>
        <w:t>十一、培训结果分析</w:t>
      </w:r>
      <w:r>
        <w:rPr>
          <w:rFonts w:hint="eastAsia"/>
          <w:sz w:val="24"/>
          <w:szCs w:val="24"/>
        </w:rPr>
        <w:tab/>
      </w:r>
    </w:p>
    <w:p>
      <w:pPr>
        <w:spacing w:line="360" w:lineRule="auto"/>
        <w:rPr>
          <w:sz w:val="24"/>
          <w:szCs w:val="24"/>
        </w:rPr>
      </w:pPr>
      <w:r>
        <w:rPr>
          <w:rFonts w:hint="eastAsia"/>
          <w:sz w:val="24"/>
          <w:szCs w:val="24"/>
        </w:rPr>
        <w:t>根据培训计划、结合配需实施情况以及对学员的质量调查情况，对培训结果进行十二、分析总结。</w:t>
      </w:r>
      <w:r>
        <w:rPr>
          <w:rFonts w:hint="eastAsia"/>
          <w:sz w:val="24"/>
          <w:szCs w:val="24"/>
        </w:rPr>
        <w:tab/>
      </w:r>
    </w:p>
    <w:p>
      <w:pPr>
        <w:spacing w:line="360" w:lineRule="auto"/>
        <w:rPr>
          <w:sz w:val="24"/>
          <w:szCs w:val="24"/>
        </w:rPr>
      </w:pPr>
      <w:r>
        <w:rPr>
          <w:rFonts w:hint="eastAsia"/>
          <w:sz w:val="24"/>
          <w:szCs w:val="24"/>
        </w:rPr>
        <w:t>表六：《培训结果分析表》</w:t>
      </w:r>
    </w:p>
    <w:p>
      <w:pPr>
        <w:spacing w:line="360" w:lineRule="auto"/>
        <w:rPr>
          <w:sz w:val="24"/>
          <w:szCs w:val="24"/>
        </w:rPr>
      </w:pPr>
      <w:r>
        <w:rPr>
          <w:sz w:val="24"/>
          <w:szCs w:val="24"/>
        </w:rPr>
        <w:fldChar w:fldCharType="begin"/>
      </w:r>
      <w:r>
        <w:rPr>
          <w:sz w:val="24"/>
          <w:szCs w:val="24"/>
        </w:rPr>
        <w:instrText xml:space="preserve"> DOCPROPERTY  Title  \* MERGEFORMAT </w:instrText>
      </w:r>
      <w:r>
        <w:rPr>
          <w:sz w:val="24"/>
          <w:szCs w:val="24"/>
        </w:rPr>
        <w:fldChar w:fldCharType="separate"/>
      </w:r>
      <w:r>
        <w:rPr>
          <w:rFonts w:hint="eastAsia"/>
          <w:sz w:val="24"/>
          <w:szCs w:val="24"/>
        </w:rPr>
        <w:t>培训结果分析表</w:t>
      </w:r>
      <w:r>
        <w:rPr>
          <w:rFonts w:hint="eastAsia"/>
          <w:sz w:val="24"/>
          <w:szCs w:val="24"/>
        </w:rPr>
        <w:fldChar w:fldCharType="end"/>
      </w:r>
    </w:p>
    <w:p>
      <w:pPr>
        <w:spacing w:line="360" w:lineRule="auto"/>
      </w:pPr>
      <w:r>
        <w:rPr>
          <w:rFonts w:hint="eastAsia"/>
        </w:rPr>
        <w:t>填表人：                  填表日期：                   编号：JSFW-</w:t>
      </w:r>
    </w:p>
    <w:tbl>
      <w:tblPr>
        <w:tblStyle w:val="34"/>
        <w:tblW w:w="90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794"/>
        <w:gridCol w:w="1136"/>
        <w:gridCol w:w="1260"/>
        <w:gridCol w:w="1080"/>
        <w:gridCol w:w="522"/>
        <w:gridCol w:w="378"/>
        <w:gridCol w:w="641"/>
        <w:gridCol w:w="259"/>
        <w:gridCol w:w="1080"/>
        <w:gridCol w:w="1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074" w:type="dxa"/>
            <w:gridSpan w:val="11"/>
            <w:tcBorders>
              <w:top w:val="double" w:color="auto" w:sz="4" w:space="0"/>
              <w:left w:val="double" w:color="auto" w:sz="4" w:space="0"/>
              <w:bottom w:val="double" w:color="auto" w:sz="4" w:space="0"/>
              <w:right w:val="double" w:color="auto" w:sz="4" w:space="0"/>
            </w:tcBorders>
            <w:shd w:val="clear" w:color="auto" w:fill="CCCCCC"/>
            <w:vAlign w:val="center"/>
          </w:tcPr>
          <w:p>
            <w:pPr>
              <w:spacing w:line="360" w:lineRule="auto"/>
            </w:pPr>
            <w:r>
              <w:rPr>
                <w:rFonts w:hint="eastAsia"/>
              </w:rPr>
              <w:t>培训结果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425" w:type="dxa"/>
            <w:gridSpan w:val="8"/>
            <w:tcBorders>
              <w:left w:val="double" w:color="auto" w:sz="4" w:space="0"/>
            </w:tcBorders>
            <w:vAlign w:val="center"/>
          </w:tcPr>
          <w:p>
            <w:pPr>
              <w:spacing w:line="360" w:lineRule="auto"/>
            </w:pPr>
            <w:r>
              <w:rPr>
                <w:rFonts w:hint="eastAsia"/>
              </w:rPr>
              <w:t>培训内容</w:t>
            </w:r>
          </w:p>
        </w:tc>
        <w:tc>
          <w:tcPr>
            <w:tcW w:w="2649" w:type="dxa"/>
            <w:gridSpan w:val="3"/>
            <w:tcBorders>
              <w:right w:val="double" w:color="auto" w:sz="4" w:space="0"/>
            </w:tcBorders>
            <w:vAlign w:val="center"/>
          </w:tcPr>
          <w:p>
            <w:pPr>
              <w:spacing w:line="360" w:lineRule="auto"/>
            </w:pPr>
            <w:r>
              <w:rPr>
                <w:rFonts w:hint="eastAsia"/>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4" w:type="dxa"/>
            <w:tcBorders>
              <w:left w:val="double" w:color="auto" w:sz="4" w:space="0"/>
            </w:tcBorders>
            <w:vAlign w:val="center"/>
          </w:tcPr>
          <w:p>
            <w:pPr>
              <w:spacing w:line="360" w:lineRule="auto"/>
            </w:pPr>
            <w:r>
              <w:rPr>
                <w:rFonts w:hint="eastAsia"/>
              </w:rPr>
              <w:t>1</w:t>
            </w:r>
          </w:p>
        </w:tc>
        <w:tc>
          <w:tcPr>
            <w:tcW w:w="5811" w:type="dxa"/>
            <w:gridSpan w:val="7"/>
            <w:vAlign w:val="center"/>
          </w:tcPr>
          <w:p>
            <w:pPr>
              <w:spacing w:line="360" w:lineRule="auto"/>
            </w:pPr>
          </w:p>
        </w:tc>
        <w:tc>
          <w:tcPr>
            <w:tcW w:w="1339" w:type="dxa"/>
            <w:gridSpan w:val="2"/>
            <w:vAlign w:val="center"/>
          </w:tcPr>
          <w:p>
            <w:pPr>
              <w:spacing w:line="360" w:lineRule="auto"/>
            </w:pPr>
            <w:r>
              <w:rPr>
                <w:rFonts w:hint="eastAsia"/>
              </w:rPr>
              <w:t>完成</w:t>
            </w:r>
          </w:p>
        </w:tc>
        <w:tc>
          <w:tcPr>
            <w:tcW w:w="1310" w:type="dxa"/>
            <w:tcBorders>
              <w:right w:val="double" w:color="auto" w:sz="4" w:space="0"/>
            </w:tcBorders>
            <w:vAlign w:val="center"/>
          </w:tcPr>
          <w:p>
            <w:pPr>
              <w:spacing w:line="360" w:lineRule="auto"/>
            </w:pPr>
            <w:r>
              <w:rPr>
                <w:rFonts w:hint="eastAsia"/>
              </w:rPr>
              <w:t>未完成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4" w:type="dxa"/>
            <w:tcBorders>
              <w:left w:val="double" w:color="auto" w:sz="4" w:space="0"/>
            </w:tcBorders>
            <w:vAlign w:val="center"/>
          </w:tcPr>
          <w:p>
            <w:pPr>
              <w:spacing w:line="360" w:lineRule="auto"/>
            </w:pPr>
            <w:r>
              <w:rPr>
                <w:rFonts w:hint="eastAsia"/>
              </w:rPr>
              <w:t>2</w:t>
            </w:r>
          </w:p>
        </w:tc>
        <w:tc>
          <w:tcPr>
            <w:tcW w:w="5811" w:type="dxa"/>
            <w:gridSpan w:val="7"/>
            <w:vAlign w:val="center"/>
          </w:tcPr>
          <w:p>
            <w:pPr>
              <w:spacing w:line="360" w:lineRule="auto"/>
            </w:pPr>
          </w:p>
        </w:tc>
        <w:tc>
          <w:tcPr>
            <w:tcW w:w="1339" w:type="dxa"/>
            <w:gridSpan w:val="2"/>
            <w:vAlign w:val="center"/>
          </w:tcPr>
          <w:p>
            <w:pPr>
              <w:spacing w:line="360" w:lineRule="auto"/>
            </w:pPr>
            <w:r>
              <w:rPr>
                <w:rFonts w:hint="eastAsia"/>
              </w:rPr>
              <w:t>完成</w:t>
            </w:r>
          </w:p>
        </w:tc>
        <w:tc>
          <w:tcPr>
            <w:tcW w:w="1310" w:type="dxa"/>
            <w:tcBorders>
              <w:right w:val="double" w:color="auto" w:sz="4" w:space="0"/>
            </w:tcBorders>
            <w:vAlign w:val="center"/>
          </w:tcPr>
          <w:p>
            <w:pPr>
              <w:spacing w:line="360" w:lineRule="auto"/>
            </w:pPr>
            <w:r>
              <w:rPr>
                <w:rFonts w:hint="eastAsia"/>
              </w:rPr>
              <w:t>未完成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4" w:type="dxa"/>
            <w:tcBorders>
              <w:left w:val="double" w:color="auto" w:sz="4" w:space="0"/>
            </w:tcBorders>
            <w:vAlign w:val="center"/>
          </w:tcPr>
          <w:p>
            <w:pPr>
              <w:spacing w:line="360" w:lineRule="auto"/>
            </w:pPr>
            <w:r>
              <w:rPr>
                <w:rFonts w:hint="eastAsia"/>
              </w:rPr>
              <w:t>3</w:t>
            </w:r>
          </w:p>
        </w:tc>
        <w:tc>
          <w:tcPr>
            <w:tcW w:w="5811" w:type="dxa"/>
            <w:gridSpan w:val="7"/>
            <w:vAlign w:val="center"/>
          </w:tcPr>
          <w:p>
            <w:pPr>
              <w:spacing w:line="360" w:lineRule="auto"/>
            </w:pPr>
          </w:p>
        </w:tc>
        <w:tc>
          <w:tcPr>
            <w:tcW w:w="1339" w:type="dxa"/>
            <w:gridSpan w:val="2"/>
            <w:vAlign w:val="center"/>
          </w:tcPr>
          <w:p>
            <w:pPr>
              <w:spacing w:line="360" w:lineRule="auto"/>
            </w:pPr>
            <w:r>
              <w:rPr>
                <w:rFonts w:hint="eastAsia"/>
              </w:rPr>
              <w:t>完成</w:t>
            </w:r>
          </w:p>
        </w:tc>
        <w:tc>
          <w:tcPr>
            <w:tcW w:w="1310" w:type="dxa"/>
            <w:tcBorders>
              <w:right w:val="double" w:color="auto" w:sz="4" w:space="0"/>
            </w:tcBorders>
            <w:vAlign w:val="center"/>
          </w:tcPr>
          <w:p>
            <w:pPr>
              <w:spacing w:line="360" w:lineRule="auto"/>
            </w:pPr>
            <w:r>
              <w:rPr>
                <w:rFonts w:hint="eastAsia"/>
              </w:rPr>
              <w:t>未完成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4" w:type="dxa"/>
            <w:tcBorders>
              <w:left w:val="double" w:color="auto" w:sz="4" w:space="0"/>
            </w:tcBorders>
            <w:vAlign w:val="center"/>
          </w:tcPr>
          <w:p>
            <w:pPr>
              <w:spacing w:line="360" w:lineRule="auto"/>
            </w:pPr>
            <w:r>
              <w:rPr>
                <w:rFonts w:hint="eastAsia"/>
              </w:rPr>
              <w:t>4</w:t>
            </w:r>
          </w:p>
        </w:tc>
        <w:tc>
          <w:tcPr>
            <w:tcW w:w="5811" w:type="dxa"/>
            <w:gridSpan w:val="7"/>
            <w:vAlign w:val="center"/>
          </w:tcPr>
          <w:p>
            <w:pPr>
              <w:spacing w:line="360" w:lineRule="auto"/>
            </w:pPr>
          </w:p>
        </w:tc>
        <w:tc>
          <w:tcPr>
            <w:tcW w:w="1339" w:type="dxa"/>
            <w:gridSpan w:val="2"/>
            <w:vAlign w:val="center"/>
          </w:tcPr>
          <w:p>
            <w:pPr>
              <w:spacing w:line="360" w:lineRule="auto"/>
            </w:pPr>
            <w:r>
              <w:rPr>
                <w:rFonts w:hint="eastAsia"/>
              </w:rPr>
              <w:t>完成</w:t>
            </w:r>
          </w:p>
        </w:tc>
        <w:tc>
          <w:tcPr>
            <w:tcW w:w="1310" w:type="dxa"/>
            <w:tcBorders>
              <w:right w:val="double" w:color="auto" w:sz="4" w:space="0"/>
            </w:tcBorders>
            <w:vAlign w:val="center"/>
          </w:tcPr>
          <w:p>
            <w:pPr>
              <w:spacing w:line="360" w:lineRule="auto"/>
            </w:pPr>
            <w:r>
              <w:rPr>
                <w:rFonts w:hint="eastAsia"/>
              </w:rPr>
              <w:t>未完成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074" w:type="dxa"/>
            <w:gridSpan w:val="11"/>
            <w:tcBorders>
              <w:top w:val="double" w:color="auto" w:sz="4" w:space="0"/>
              <w:left w:val="double" w:color="auto" w:sz="4" w:space="0"/>
              <w:bottom w:val="double" w:color="auto" w:sz="4" w:space="0"/>
              <w:right w:val="double" w:color="auto" w:sz="4" w:space="0"/>
            </w:tcBorders>
            <w:shd w:val="clear" w:color="auto" w:fill="CCCCCC"/>
            <w:vAlign w:val="center"/>
          </w:tcPr>
          <w:p>
            <w:pPr>
              <w:spacing w:line="360" w:lineRule="auto"/>
            </w:pPr>
            <w:r>
              <w:rPr>
                <w:rFonts w:hint="eastAsia"/>
              </w:rPr>
              <w:t>考试成绩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408" w:type="dxa"/>
            <w:gridSpan w:val="2"/>
            <w:vMerge w:val="restart"/>
            <w:tcBorders>
              <w:top w:val="double" w:color="auto" w:sz="4" w:space="0"/>
              <w:left w:val="double" w:color="auto" w:sz="4" w:space="0"/>
            </w:tcBorders>
            <w:vAlign w:val="center"/>
          </w:tcPr>
          <w:p>
            <w:pPr>
              <w:spacing w:line="360" w:lineRule="auto"/>
            </w:pPr>
            <w:r>
              <w:rPr>
                <w:rFonts w:hint="eastAsia"/>
              </w:rPr>
              <w:t>考试人数</w:t>
            </w:r>
          </w:p>
        </w:tc>
        <w:tc>
          <w:tcPr>
            <w:tcW w:w="2396" w:type="dxa"/>
            <w:gridSpan w:val="2"/>
            <w:vMerge w:val="restart"/>
            <w:tcBorders>
              <w:top w:val="double" w:color="auto" w:sz="4" w:space="0"/>
            </w:tcBorders>
            <w:vAlign w:val="center"/>
          </w:tcPr>
          <w:p>
            <w:pPr>
              <w:spacing w:line="360" w:lineRule="auto"/>
            </w:pPr>
          </w:p>
        </w:tc>
        <w:tc>
          <w:tcPr>
            <w:tcW w:w="1602" w:type="dxa"/>
            <w:gridSpan w:val="2"/>
            <w:tcBorders>
              <w:top w:val="double" w:color="auto" w:sz="4" w:space="0"/>
            </w:tcBorders>
            <w:vAlign w:val="center"/>
          </w:tcPr>
          <w:p>
            <w:pPr>
              <w:spacing w:line="360" w:lineRule="auto"/>
            </w:pPr>
            <w:r>
              <w:rPr>
                <w:rFonts w:hint="eastAsia"/>
              </w:rPr>
              <w:t>合格人数</w:t>
            </w:r>
          </w:p>
        </w:tc>
        <w:tc>
          <w:tcPr>
            <w:tcW w:w="1019" w:type="dxa"/>
            <w:gridSpan w:val="2"/>
            <w:tcBorders>
              <w:top w:val="double" w:color="auto" w:sz="4" w:space="0"/>
            </w:tcBorders>
            <w:vAlign w:val="center"/>
          </w:tcPr>
          <w:p>
            <w:pPr>
              <w:spacing w:line="360" w:lineRule="auto"/>
            </w:pPr>
          </w:p>
        </w:tc>
        <w:tc>
          <w:tcPr>
            <w:tcW w:w="1339" w:type="dxa"/>
            <w:gridSpan w:val="2"/>
            <w:tcBorders>
              <w:top w:val="double" w:color="auto" w:sz="4" w:space="0"/>
            </w:tcBorders>
            <w:vAlign w:val="center"/>
          </w:tcPr>
          <w:p>
            <w:pPr>
              <w:spacing w:line="360" w:lineRule="auto"/>
            </w:pPr>
            <w:r>
              <w:rPr>
                <w:rFonts w:hint="eastAsia"/>
              </w:rPr>
              <w:t>合格率</w:t>
            </w:r>
          </w:p>
        </w:tc>
        <w:tc>
          <w:tcPr>
            <w:tcW w:w="1310" w:type="dxa"/>
            <w:tcBorders>
              <w:top w:val="double" w:color="auto" w:sz="4" w:space="0"/>
              <w:right w:val="doub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408" w:type="dxa"/>
            <w:gridSpan w:val="2"/>
            <w:vMerge w:val="continue"/>
            <w:tcBorders>
              <w:left w:val="double" w:color="auto" w:sz="4" w:space="0"/>
              <w:bottom w:val="double" w:color="auto" w:sz="4" w:space="0"/>
            </w:tcBorders>
            <w:vAlign w:val="center"/>
          </w:tcPr>
          <w:p>
            <w:pPr>
              <w:spacing w:line="360" w:lineRule="auto"/>
            </w:pPr>
          </w:p>
        </w:tc>
        <w:tc>
          <w:tcPr>
            <w:tcW w:w="2396" w:type="dxa"/>
            <w:gridSpan w:val="2"/>
            <w:vMerge w:val="continue"/>
            <w:tcBorders>
              <w:bottom w:val="double" w:color="auto" w:sz="4" w:space="0"/>
            </w:tcBorders>
            <w:vAlign w:val="center"/>
          </w:tcPr>
          <w:p>
            <w:pPr>
              <w:spacing w:line="360" w:lineRule="auto"/>
            </w:pPr>
          </w:p>
        </w:tc>
        <w:tc>
          <w:tcPr>
            <w:tcW w:w="1602" w:type="dxa"/>
            <w:gridSpan w:val="2"/>
            <w:tcBorders>
              <w:bottom w:val="double" w:color="auto" w:sz="4" w:space="0"/>
            </w:tcBorders>
            <w:vAlign w:val="center"/>
          </w:tcPr>
          <w:p>
            <w:pPr>
              <w:spacing w:line="360" w:lineRule="auto"/>
            </w:pPr>
            <w:r>
              <w:rPr>
                <w:rFonts w:hint="eastAsia"/>
              </w:rPr>
              <w:t>优秀人数</w:t>
            </w:r>
          </w:p>
        </w:tc>
        <w:tc>
          <w:tcPr>
            <w:tcW w:w="1019" w:type="dxa"/>
            <w:gridSpan w:val="2"/>
            <w:tcBorders>
              <w:bottom w:val="double" w:color="auto" w:sz="4" w:space="0"/>
            </w:tcBorders>
            <w:vAlign w:val="center"/>
          </w:tcPr>
          <w:p>
            <w:pPr>
              <w:spacing w:line="360" w:lineRule="auto"/>
            </w:pPr>
          </w:p>
        </w:tc>
        <w:tc>
          <w:tcPr>
            <w:tcW w:w="1339" w:type="dxa"/>
            <w:gridSpan w:val="2"/>
            <w:tcBorders>
              <w:bottom w:val="double" w:color="auto" w:sz="4" w:space="0"/>
            </w:tcBorders>
            <w:vAlign w:val="center"/>
          </w:tcPr>
          <w:p>
            <w:pPr>
              <w:spacing w:line="360" w:lineRule="auto"/>
            </w:pPr>
            <w:r>
              <w:rPr>
                <w:rFonts w:hint="eastAsia"/>
              </w:rPr>
              <w:t>优秀率</w:t>
            </w:r>
          </w:p>
        </w:tc>
        <w:tc>
          <w:tcPr>
            <w:tcW w:w="1310" w:type="dxa"/>
            <w:tcBorders>
              <w:bottom w:val="double" w:color="auto" w:sz="4" w:space="0"/>
              <w:right w:val="doub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074" w:type="dxa"/>
            <w:gridSpan w:val="11"/>
            <w:tcBorders>
              <w:top w:val="double" w:color="auto" w:sz="4" w:space="0"/>
              <w:left w:val="double" w:color="auto" w:sz="4" w:space="0"/>
              <w:bottom w:val="single" w:color="auto" w:sz="4" w:space="0"/>
              <w:right w:val="double" w:color="auto" w:sz="4" w:space="0"/>
            </w:tcBorders>
            <w:shd w:val="clear" w:color="auto" w:fill="CCCCCC"/>
            <w:vAlign w:val="center"/>
          </w:tcPr>
          <w:p>
            <w:pPr>
              <w:spacing w:line="360" w:lineRule="auto"/>
            </w:pPr>
            <w:r>
              <w:rPr>
                <w:rFonts w:hint="eastAsia"/>
              </w:rPr>
              <w:t>培训质量调查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3" w:hRule="atLeast"/>
          <w:jc w:val="center"/>
        </w:trPr>
        <w:tc>
          <w:tcPr>
            <w:tcW w:w="2544" w:type="dxa"/>
            <w:gridSpan w:val="3"/>
            <w:tcBorders>
              <w:top w:val="single" w:color="auto" w:sz="4" w:space="0"/>
              <w:left w:val="double" w:color="auto" w:sz="4" w:space="0"/>
              <w:bottom w:val="single" w:color="auto" w:sz="4" w:space="0"/>
              <w:right w:val="single" w:color="auto" w:sz="4" w:space="0"/>
            </w:tcBorders>
            <w:vAlign w:val="center"/>
          </w:tcPr>
          <w:p>
            <w:pPr>
              <w:spacing w:line="360" w:lineRule="auto"/>
            </w:pPr>
            <w:r>
              <w:rPr>
                <w:rFonts w:hint="eastAsia"/>
              </w:rPr>
              <w:t>调查项目</w:t>
            </w:r>
          </w:p>
        </w:tc>
        <w:tc>
          <w:tcPr>
            <w:tcW w:w="5220" w:type="dxa"/>
            <w:gridSpan w:val="7"/>
            <w:tcBorders>
              <w:top w:val="single" w:color="auto" w:sz="4" w:space="0"/>
              <w:left w:val="single" w:color="auto" w:sz="4" w:space="0"/>
              <w:right w:val="single" w:color="auto" w:sz="4" w:space="0"/>
            </w:tcBorders>
            <w:vAlign w:val="center"/>
          </w:tcPr>
          <w:p>
            <w:pPr>
              <w:spacing w:line="360" w:lineRule="auto"/>
            </w:pPr>
            <w:r>
              <w:rPr>
                <w:rFonts w:hint="eastAsia"/>
              </w:rPr>
              <w:t>培训质量调查表各档的有效问卷份数</w:t>
            </w:r>
          </w:p>
        </w:tc>
        <w:tc>
          <w:tcPr>
            <w:tcW w:w="1310" w:type="dxa"/>
            <w:vMerge w:val="restart"/>
            <w:tcBorders>
              <w:top w:val="single" w:color="auto" w:sz="4" w:space="0"/>
              <w:left w:val="single" w:color="auto" w:sz="4" w:space="0"/>
              <w:right w:val="double" w:color="auto" w:sz="4" w:space="0"/>
            </w:tcBorders>
            <w:vAlign w:val="center"/>
          </w:tcPr>
          <w:p>
            <w:pPr>
              <w:spacing w:line="360" w:lineRule="auto"/>
            </w:pPr>
            <w:r>
              <w:rPr>
                <w:rFonts w:hint="eastAsia"/>
              </w:rPr>
              <w:t>各项满意度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3" w:hRule="atLeast"/>
          <w:jc w:val="center"/>
        </w:trPr>
        <w:tc>
          <w:tcPr>
            <w:tcW w:w="2544" w:type="dxa"/>
            <w:gridSpan w:val="3"/>
            <w:tcBorders>
              <w:top w:val="single" w:color="auto" w:sz="4" w:space="0"/>
              <w:left w:val="double" w:color="auto" w:sz="4" w:space="0"/>
              <w:bottom w:val="single" w:color="auto" w:sz="4" w:space="0"/>
              <w:right w:val="single" w:color="auto" w:sz="4" w:space="0"/>
            </w:tcBorders>
            <w:vAlign w:val="center"/>
          </w:tcPr>
          <w:p>
            <w:pPr>
              <w:spacing w:line="360" w:lineRule="auto"/>
            </w:pPr>
            <w:r>
              <w:rPr>
                <w:rFonts w:hint="eastAsia"/>
              </w:rPr>
              <w:t>调查项目</w:t>
            </w:r>
          </w:p>
          <w:p>
            <w:pPr>
              <w:spacing w:line="360" w:lineRule="auto"/>
            </w:pPr>
          </w:p>
        </w:tc>
        <w:tc>
          <w:tcPr>
            <w:tcW w:w="1260" w:type="dxa"/>
            <w:tcBorders>
              <w:top w:val="single" w:color="auto" w:sz="4" w:space="0"/>
              <w:left w:val="single" w:color="auto" w:sz="4" w:space="0"/>
              <w:right w:val="single" w:color="auto" w:sz="4" w:space="0"/>
            </w:tcBorders>
            <w:vAlign w:val="center"/>
          </w:tcPr>
          <w:p>
            <w:pPr>
              <w:spacing w:line="360" w:lineRule="auto"/>
            </w:pPr>
            <w:r>
              <w:rPr>
                <w:rFonts w:hint="eastAsia"/>
              </w:rPr>
              <w:t>非常</w:t>
            </w:r>
          </w:p>
          <w:p>
            <w:pPr>
              <w:spacing w:line="360" w:lineRule="auto"/>
            </w:pPr>
            <w:r>
              <w:rPr>
                <w:rFonts w:hint="eastAsia"/>
              </w:rPr>
              <w:t>满意</w:t>
            </w:r>
          </w:p>
        </w:tc>
        <w:tc>
          <w:tcPr>
            <w:tcW w:w="1080" w:type="dxa"/>
            <w:tcBorders>
              <w:top w:val="single" w:color="auto" w:sz="4" w:space="0"/>
              <w:left w:val="single" w:color="auto" w:sz="4" w:space="0"/>
              <w:right w:val="single" w:color="auto" w:sz="4" w:space="0"/>
            </w:tcBorders>
            <w:vAlign w:val="center"/>
          </w:tcPr>
          <w:p>
            <w:pPr>
              <w:spacing w:line="360" w:lineRule="auto"/>
            </w:pPr>
            <w:r>
              <w:rPr>
                <w:rFonts w:hint="eastAsia"/>
              </w:rPr>
              <w:t>满意</w:t>
            </w:r>
          </w:p>
        </w:tc>
        <w:tc>
          <w:tcPr>
            <w:tcW w:w="900" w:type="dxa"/>
            <w:gridSpan w:val="2"/>
            <w:tcBorders>
              <w:top w:val="single" w:color="auto" w:sz="4" w:space="0"/>
              <w:left w:val="single" w:color="auto" w:sz="4" w:space="0"/>
              <w:right w:val="single" w:color="auto" w:sz="4" w:space="0"/>
            </w:tcBorders>
            <w:vAlign w:val="center"/>
          </w:tcPr>
          <w:p>
            <w:pPr>
              <w:spacing w:line="360" w:lineRule="auto"/>
            </w:pPr>
            <w:r>
              <w:rPr>
                <w:rFonts w:hint="eastAsia"/>
              </w:rPr>
              <w:t>一般</w:t>
            </w:r>
          </w:p>
        </w:tc>
        <w:tc>
          <w:tcPr>
            <w:tcW w:w="900" w:type="dxa"/>
            <w:gridSpan w:val="2"/>
            <w:tcBorders>
              <w:top w:val="single" w:color="auto" w:sz="4" w:space="0"/>
              <w:left w:val="single" w:color="auto" w:sz="4" w:space="0"/>
              <w:right w:val="single" w:color="auto" w:sz="4" w:space="0"/>
            </w:tcBorders>
            <w:vAlign w:val="center"/>
          </w:tcPr>
          <w:p>
            <w:pPr>
              <w:spacing w:line="360" w:lineRule="auto"/>
            </w:pPr>
            <w:r>
              <w:rPr>
                <w:rFonts w:hint="eastAsia"/>
              </w:rPr>
              <w:t>不满意</w:t>
            </w:r>
          </w:p>
        </w:tc>
        <w:tc>
          <w:tcPr>
            <w:tcW w:w="1080" w:type="dxa"/>
            <w:tcBorders>
              <w:top w:val="single" w:color="auto" w:sz="4" w:space="0"/>
              <w:left w:val="single" w:color="auto" w:sz="4" w:space="0"/>
              <w:right w:val="single" w:color="auto" w:sz="4" w:space="0"/>
            </w:tcBorders>
            <w:vAlign w:val="center"/>
          </w:tcPr>
          <w:p>
            <w:pPr>
              <w:spacing w:line="360" w:lineRule="auto"/>
            </w:pPr>
            <w:r>
              <w:rPr>
                <w:rFonts w:hint="eastAsia"/>
              </w:rPr>
              <w:t>很不</w:t>
            </w:r>
          </w:p>
          <w:p>
            <w:pPr>
              <w:spacing w:line="360" w:lineRule="auto"/>
            </w:pPr>
            <w:r>
              <w:rPr>
                <w:rFonts w:hint="eastAsia"/>
              </w:rPr>
              <w:t>满意</w:t>
            </w:r>
          </w:p>
        </w:tc>
        <w:tc>
          <w:tcPr>
            <w:tcW w:w="1310" w:type="dxa"/>
            <w:vMerge w:val="continue"/>
            <w:tcBorders>
              <w:left w:val="single" w:color="auto" w:sz="4" w:space="0"/>
              <w:right w:val="doub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3" w:hRule="atLeast"/>
          <w:jc w:val="center"/>
        </w:trPr>
        <w:tc>
          <w:tcPr>
            <w:tcW w:w="2544" w:type="dxa"/>
            <w:gridSpan w:val="3"/>
            <w:tcBorders>
              <w:top w:val="single" w:color="auto" w:sz="4" w:space="0"/>
              <w:left w:val="double" w:color="auto" w:sz="4" w:space="0"/>
              <w:right w:val="single" w:color="auto" w:sz="4" w:space="0"/>
            </w:tcBorders>
            <w:vAlign w:val="center"/>
          </w:tcPr>
          <w:p>
            <w:pPr>
              <w:spacing w:line="360" w:lineRule="auto"/>
            </w:pPr>
            <w:r>
              <w:rPr>
                <w:rFonts w:hint="eastAsia"/>
              </w:rPr>
              <w:t>培训资料质量</w:t>
            </w:r>
          </w:p>
        </w:tc>
        <w:tc>
          <w:tcPr>
            <w:tcW w:w="1260" w:type="dxa"/>
            <w:tcBorders>
              <w:top w:val="single" w:color="auto" w:sz="4" w:space="0"/>
              <w:left w:val="single" w:color="auto" w:sz="4" w:space="0"/>
              <w:right w:val="single" w:color="auto" w:sz="4" w:space="0"/>
            </w:tcBorders>
            <w:vAlign w:val="center"/>
          </w:tcPr>
          <w:p>
            <w:pPr>
              <w:spacing w:line="360" w:lineRule="auto"/>
            </w:pPr>
          </w:p>
        </w:tc>
        <w:tc>
          <w:tcPr>
            <w:tcW w:w="1080" w:type="dxa"/>
            <w:tcBorders>
              <w:top w:val="single" w:color="auto" w:sz="4" w:space="0"/>
              <w:left w:val="single" w:color="auto" w:sz="4" w:space="0"/>
              <w:right w:val="single" w:color="auto" w:sz="4" w:space="0"/>
            </w:tcBorders>
            <w:vAlign w:val="center"/>
          </w:tcPr>
          <w:p>
            <w:pPr>
              <w:spacing w:line="360" w:lineRule="auto"/>
            </w:pPr>
          </w:p>
        </w:tc>
        <w:tc>
          <w:tcPr>
            <w:tcW w:w="900" w:type="dxa"/>
            <w:gridSpan w:val="2"/>
            <w:tcBorders>
              <w:top w:val="single" w:color="auto" w:sz="4" w:space="0"/>
              <w:left w:val="single" w:color="auto" w:sz="4" w:space="0"/>
              <w:right w:val="single" w:color="auto" w:sz="4" w:space="0"/>
            </w:tcBorders>
            <w:vAlign w:val="center"/>
          </w:tcPr>
          <w:p>
            <w:pPr>
              <w:spacing w:line="360" w:lineRule="auto"/>
            </w:pPr>
          </w:p>
        </w:tc>
        <w:tc>
          <w:tcPr>
            <w:tcW w:w="900" w:type="dxa"/>
            <w:gridSpan w:val="2"/>
            <w:tcBorders>
              <w:top w:val="single" w:color="auto" w:sz="4" w:space="0"/>
              <w:left w:val="single" w:color="auto" w:sz="4" w:space="0"/>
              <w:right w:val="single" w:color="auto" w:sz="4" w:space="0"/>
            </w:tcBorders>
            <w:vAlign w:val="center"/>
          </w:tcPr>
          <w:p>
            <w:pPr>
              <w:spacing w:line="360" w:lineRule="auto"/>
            </w:pPr>
          </w:p>
        </w:tc>
        <w:tc>
          <w:tcPr>
            <w:tcW w:w="1080" w:type="dxa"/>
            <w:tcBorders>
              <w:top w:val="single" w:color="auto" w:sz="4" w:space="0"/>
              <w:left w:val="single" w:color="auto" w:sz="4" w:space="0"/>
              <w:right w:val="single" w:color="auto" w:sz="4" w:space="0"/>
            </w:tcBorders>
            <w:vAlign w:val="center"/>
          </w:tcPr>
          <w:p>
            <w:pPr>
              <w:spacing w:line="360" w:lineRule="auto"/>
            </w:pPr>
          </w:p>
        </w:tc>
        <w:tc>
          <w:tcPr>
            <w:tcW w:w="1310" w:type="dxa"/>
            <w:tcBorders>
              <w:top w:val="single" w:color="auto" w:sz="4" w:space="0"/>
              <w:left w:val="single" w:color="auto" w:sz="4" w:space="0"/>
              <w:right w:val="doub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3" w:hRule="atLeast"/>
          <w:jc w:val="center"/>
        </w:trPr>
        <w:tc>
          <w:tcPr>
            <w:tcW w:w="2544" w:type="dxa"/>
            <w:gridSpan w:val="3"/>
            <w:tcBorders>
              <w:left w:val="double" w:color="auto" w:sz="4" w:space="0"/>
              <w:right w:val="single" w:color="auto" w:sz="4" w:space="0"/>
            </w:tcBorders>
            <w:vAlign w:val="center"/>
          </w:tcPr>
          <w:p>
            <w:pPr>
              <w:spacing w:line="360" w:lineRule="auto"/>
            </w:pPr>
            <w:r>
              <w:rPr>
                <w:rFonts w:hint="eastAsia"/>
              </w:rPr>
              <w:t>培训教师态度</w:t>
            </w:r>
          </w:p>
        </w:tc>
        <w:tc>
          <w:tcPr>
            <w:tcW w:w="1260" w:type="dxa"/>
            <w:tcBorders>
              <w:top w:val="single" w:color="auto" w:sz="4" w:space="0"/>
              <w:left w:val="single" w:color="auto" w:sz="4" w:space="0"/>
              <w:right w:val="single" w:color="auto" w:sz="4" w:space="0"/>
            </w:tcBorders>
            <w:vAlign w:val="center"/>
          </w:tcPr>
          <w:p>
            <w:pPr>
              <w:spacing w:line="360" w:lineRule="auto"/>
            </w:pPr>
          </w:p>
        </w:tc>
        <w:tc>
          <w:tcPr>
            <w:tcW w:w="1080" w:type="dxa"/>
            <w:tcBorders>
              <w:top w:val="single" w:color="auto" w:sz="4" w:space="0"/>
              <w:left w:val="single" w:color="auto" w:sz="4" w:space="0"/>
              <w:right w:val="single" w:color="auto" w:sz="4" w:space="0"/>
            </w:tcBorders>
            <w:vAlign w:val="center"/>
          </w:tcPr>
          <w:p>
            <w:pPr>
              <w:spacing w:line="360" w:lineRule="auto"/>
            </w:pPr>
          </w:p>
        </w:tc>
        <w:tc>
          <w:tcPr>
            <w:tcW w:w="900" w:type="dxa"/>
            <w:gridSpan w:val="2"/>
            <w:tcBorders>
              <w:top w:val="single" w:color="auto" w:sz="4" w:space="0"/>
              <w:left w:val="single" w:color="auto" w:sz="4" w:space="0"/>
              <w:right w:val="single" w:color="auto" w:sz="4" w:space="0"/>
            </w:tcBorders>
            <w:vAlign w:val="center"/>
          </w:tcPr>
          <w:p>
            <w:pPr>
              <w:spacing w:line="360" w:lineRule="auto"/>
            </w:pPr>
          </w:p>
        </w:tc>
        <w:tc>
          <w:tcPr>
            <w:tcW w:w="900" w:type="dxa"/>
            <w:gridSpan w:val="2"/>
            <w:tcBorders>
              <w:top w:val="single" w:color="auto" w:sz="4" w:space="0"/>
              <w:left w:val="single" w:color="auto" w:sz="4" w:space="0"/>
              <w:right w:val="single" w:color="auto" w:sz="4" w:space="0"/>
            </w:tcBorders>
            <w:vAlign w:val="center"/>
          </w:tcPr>
          <w:p>
            <w:pPr>
              <w:spacing w:line="360" w:lineRule="auto"/>
            </w:pPr>
          </w:p>
        </w:tc>
        <w:tc>
          <w:tcPr>
            <w:tcW w:w="1080" w:type="dxa"/>
            <w:tcBorders>
              <w:top w:val="single" w:color="auto" w:sz="4" w:space="0"/>
              <w:left w:val="single" w:color="auto" w:sz="4" w:space="0"/>
              <w:right w:val="single" w:color="auto" w:sz="4" w:space="0"/>
            </w:tcBorders>
            <w:vAlign w:val="center"/>
          </w:tcPr>
          <w:p>
            <w:pPr>
              <w:spacing w:line="360" w:lineRule="auto"/>
            </w:pPr>
          </w:p>
        </w:tc>
        <w:tc>
          <w:tcPr>
            <w:tcW w:w="1310" w:type="dxa"/>
            <w:tcBorders>
              <w:top w:val="single" w:color="auto" w:sz="4" w:space="0"/>
              <w:left w:val="single" w:color="auto" w:sz="4" w:space="0"/>
              <w:right w:val="doub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3" w:hRule="atLeast"/>
          <w:jc w:val="center"/>
        </w:trPr>
        <w:tc>
          <w:tcPr>
            <w:tcW w:w="2544" w:type="dxa"/>
            <w:gridSpan w:val="3"/>
            <w:tcBorders>
              <w:left w:val="double" w:color="auto" w:sz="4" w:space="0"/>
              <w:right w:val="single" w:color="auto" w:sz="4" w:space="0"/>
            </w:tcBorders>
            <w:vAlign w:val="center"/>
          </w:tcPr>
          <w:p>
            <w:pPr>
              <w:spacing w:line="360" w:lineRule="auto"/>
            </w:pPr>
            <w:r>
              <w:rPr>
                <w:rFonts w:hint="eastAsia"/>
              </w:rPr>
              <w:t>培训教师的授课技能技巧</w:t>
            </w:r>
          </w:p>
        </w:tc>
        <w:tc>
          <w:tcPr>
            <w:tcW w:w="1260" w:type="dxa"/>
            <w:tcBorders>
              <w:top w:val="single" w:color="auto" w:sz="4" w:space="0"/>
              <w:left w:val="single" w:color="auto" w:sz="4" w:space="0"/>
              <w:right w:val="single" w:color="auto" w:sz="4" w:space="0"/>
            </w:tcBorders>
            <w:vAlign w:val="center"/>
          </w:tcPr>
          <w:p>
            <w:pPr>
              <w:spacing w:line="360" w:lineRule="auto"/>
            </w:pPr>
          </w:p>
        </w:tc>
        <w:tc>
          <w:tcPr>
            <w:tcW w:w="1080" w:type="dxa"/>
            <w:tcBorders>
              <w:top w:val="single" w:color="auto" w:sz="4" w:space="0"/>
              <w:left w:val="single" w:color="auto" w:sz="4" w:space="0"/>
              <w:right w:val="single" w:color="auto" w:sz="4" w:space="0"/>
            </w:tcBorders>
            <w:vAlign w:val="center"/>
          </w:tcPr>
          <w:p>
            <w:pPr>
              <w:spacing w:line="360" w:lineRule="auto"/>
            </w:pPr>
          </w:p>
        </w:tc>
        <w:tc>
          <w:tcPr>
            <w:tcW w:w="900" w:type="dxa"/>
            <w:gridSpan w:val="2"/>
            <w:tcBorders>
              <w:top w:val="single" w:color="auto" w:sz="4" w:space="0"/>
              <w:left w:val="single" w:color="auto" w:sz="4" w:space="0"/>
              <w:right w:val="single" w:color="auto" w:sz="4" w:space="0"/>
            </w:tcBorders>
            <w:vAlign w:val="center"/>
          </w:tcPr>
          <w:p>
            <w:pPr>
              <w:spacing w:line="360" w:lineRule="auto"/>
            </w:pPr>
          </w:p>
        </w:tc>
        <w:tc>
          <w:tcPr>
            <w:tcW w:w="900" w:type="dxa"/>
            <w:gridSpan w:val="2"/>
            <w:tcBorders>
              <w:top w:val="single" w:color="auto" w:sz="4" w:space="0"/>
              <w:left w:val="single" w:color="auto" w:sz="4" w:space="0"/>
              <w:right w:val="single" w:color="auto" w:sz="4" w:space="0"/>
            </w:tcBorders>
            <w:vAlign w:val="center"/>
          </w:tcPr>
          <w:p>
            <w:pPr>
              <w:spacing w:line="360" w:lineRule="auto"/>
            </w:pPr>
          </w:p>
        </w:tc>
        <w:tc>
          <w:tcPr>
            <w:tcW w:w="1080" w:type="dxa"/>
            <w:tcBorders>
              <w:top w:val="single" w:color="auto" w:sz="4" w:space="0"/>
              <w:left w:val="single" w:color="auto" w:sz="4" w:space="0"/>
              <w:right w:val="single" w:color="auto" w:sz="4" w:space="0"/>
            </w:tcBorders>
            <w:vAlign w:val="center"/>
          </w:tcPr>
          <w:p>
            <w:pPr>
              <w:spacing w:line="360" w:lineRule="auto"/>
            </w:pPr>
          </w:p>
        </w:tc>
        <w:tc>
          <w:tcPr>
            <w:tcW w:w="1310" w:type="dxa"/>
            <w:tcBorders>
              <w:top w:val="single" w:color="auto" w:sz="4" w:space="0"/>
              <w:left w:val="single" w:color="auto" w:sz="4" w:space="0"/>
              <w:right w:val="doub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3" w:hRule="atLeast"/>
          <w:jc w:val="center"/>
        </w:trPr>
        <w:tc>
          <w:tcPr>
            <w:tcW w:w="2544" w:type="dxa"/>
            <w:gridSpan w:val="3"/>
            <w:tcBorders>
              <w:left w:val="double" w:color="auto" w:sz="4" w:space="0"/>
              <w:right w:val="single" w:color="auto" w:sz="4" w:space="0"/>
            </w:tcBorders>
            <w:vAlign w:val="center"/>
          </w:tcPr>
          <w:p>
            <w:pPr>
              <w:spacing w:line="360" w:lineRule="auto"/>
            </w:pPr>
            <w:r>
              <w:rPr>
                <w:rFonts w:hint="eastAsia"/>
              </w:rPr>
              <w:t>培训教师的业务水平</w:t>
            </w:r>
          </w:p>
        </w:tc>
        <w:tc>
          <w:tcPr>
            <w:tcW w:w="1260" w:type="dxa"/>
            <w:tcBorders>
              <w:top w:val="single" w:color="auto" w:sz="4" w:space="0"/>
              <w:left w:val="single" w:color="auto" w:sz="4" w:space="0"/>
              <w:right w:val="single" w:color="auto" w:sz="4" w:space="0"/>
            </w:tcBorders>
            <w:vAlign w:val="center"/>
          </w:tcPr>
          <w:p>
            <w:pPr>
              <w:spacing w:line="360" w:lineRule="auto"/>
            </w:pPr>
          </w:p>
        </w:tc>
        <w:tc>
          <w:tcPr>
            <w:tcW w:w="1080" w:type="dxa"/>
            <w:tcBorders>
              <w:top w:val="single" w:color="auto" w:sz="4" w:space="0"/>
              <w:left w:val="single" w:color="auto" w:sz="4" w:space="0"/>
              <w:right w:val="single" w:color="auto" w:sz="4" w:space="0"/>
            </w:tcBorders>
            <w:vAlign w:val="center"/>
          </w:tcPr>
          <w:p>
            <w:pPr>
              <w:spacing w:line="360" w:lineRule="auto"/>
            </w:pPr>
          </w:p>
        </w:tc>
        <w:tc>
          <w:tcPr>
            <w:tcW w:w="900" w:type="dxa"/>
            <w:gridSpan w:val="2"/>
            <w:tcBorders>
              <w:top w:val="single" w:color="auto" w:sz="4" w:space="0"/>
              <w:left w:val="single" w:color="auto" w:sz="4" w:space="0"/>
              <w:right w:val="single" w:color="auto" w:sz="4" w:space="0"/>
            </w:tcBorders>
            <w:vAlign w:val="center"/>
          </w:tcPr>
          <w:p>
            <w:pPr>
              <w:spacing w:line="360" w:lineRule="auto"/>
            </w:pPr>
          </w:p>
        </w:tc>
        <w:tc>
          <w:tcPr>
            <w:tcW w:w="900" w:type="dxa"/>
            <w:gridSpan w:val="2"/>
            <w:tcBorders>
              <w:top w:val="single" w:color="auto" w:sz="4" w:space="0"/>
              <w:left w:val="single" w:color="auto" w:sz="4" w:space="0"/>
              <w:right w:val="single" w:color="auto" w:sz="4" w:space="0"/>
            </w:tcBorders>
            <w:vAlign w:val="center"/>
          </w:tcPr>
          <w:p>
            <w:pPr>
              <w:spacing w:line="360" w:lineRule="auto"/>
            </w:pPr>
          </w:p>
        </w:tc>
        <w:tc>
          <w:tcPr>
            <w:tcW w:w="1080" w:type="dxa"/>
            <w:tcBorders>
              <w:top w:val="single" w:color="auto" w:sz="4" w:space="0"/>
              <w:left w:val="single" w:color="auto" w:sz="4" w:space="0"/>
              <w:right w:val="single" w:color="auto" w:sz="4" w:space="0"/>
            </w:tcBorders>
            <w:vAlign w:val="center"/>
          </w:tcPr>
          <w:p>
            <w:pPr>
              <w:spacing w:line="360" w:lineRule="auto"/>
            </w:pPr>
          </w:p>
        </w:tc>
        <w:tc>
          <w:tcPr>
            <w:tcW w:w="1310" w:type="dxa"/>
            <w:tcBorders>
              <w:top w:val="single" w:color="auto" w:sz="4" w:space="0"/>
              <w:left w:val="single" w:color="auto" w:sz="4" w:space="0"/>
              <w:right w:val="doub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9" w:hRule="atLeast"/>
          <w:jc w:val="center"/>
        </w:trPr>
        <w:tc>
          <w:tcPr>
            <w:tcW w:w="2544" w:type="dxa"/>
            <w:gridSpan w:val="3"/>
            <w:tcBorders>
              <w:top w:val="single" w:color="auto" w:sz="4" w:space="0"/>
              <w:left w:val="double" w:color="auto" w:sz="4" w:space="0"/>
              <w:bottom w:val="single" w:color="auto" w:sz="4" w:space="0"/>
              <w:right w:val="single" w:color="auto" w:sz="4" w:space="0"/>
            </w:tcBorders>
            <w:vAlign w:val="center"/>
          </w:tcPr>
          <w:p>
            <w:pPr>
              <w:spacing w:line="360" w:lineRule="auto"/>
            </w:pPr>
            <w:r>
              <w:rPr>
                <w:rFonts w:hint="eastAsia"/>
              </w:rPr>
              <w:t>调查表总份数</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pPr>
          </w:p>
        </w:tc>
        <w:tc>
          <w:tcPr>
            <w:tcW w:w="2880" w:type="dxa"/>
            <w:gridSpan w:val="5"/>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本次培训综合满意度</w:t>
            </w:r>
          </w:p>
        </w:tc>
        <w:tc>
          <w:tcPr>
            <w:tcW w:w="2390" w:type="dxa"/>
            <w:gridSpan w:val="2"/>
            <w:tcBorders>
              <w:top w:val="single" w:color="auto" w:sz="4" w:space="0"/>
              <w:left w:val="single" w:color="auto" w:sz="4" w:space="0"/>
              <w:bottom w:val="single" w:color="auto" w:sz="4" w:space="0"/>
              <w:right w:val="doub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074" w:type="dxa"/>
            <w:gridSpan w:val="11"/>
            <w:tcBorders>
              <w:top w:val="double" w:color="auto" w:sz="4" w:space="0"/>
              <w:left w:val="double" w:color="auto" w:sz="4" w:space="0"/>
              <w:bottom w:val="double" w:color="auto" w:sz="4" w:space="0"/>
              <w:right w:val="double" w:color="auto" w:sz="4" w:space="0"/>
            </w:tcBorders>
            <w:shd w:val="clear" w:color="auto" w:fill="CCCCCC"/>
            <w:vAlign w:val="center"/>
          </w:tcPr>
          <w:p>
            <w:pPr>
              <w:spacing w:line="360" w:lineRule="auto"/>
            </w:pPr>
            <w:r>
              <w:rPr>
                <w:rFonts w:hint="eastAsia"/>
              </w:rPr>
              <w:t>培训结论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67" w:hRule="atLeast"/>
          <w:jc w:val="center"/>
        </w:trPr>
        <w:tc>
          <w:tcPr>
            <w:tcW w:w="9074" w:type="dxa"/>
            <w:gridSpan w:val="11"/>
            <w:tcBorders>
              <w:top w:val="double" w:color="auto" w:sz="4" w:space="0"/>
              <w:left w:val="double" w:color="auto" w:sz="4" w:space="0"/>
              <w:bottom w:val="double" w:color="auto" w:sz="4" w:space="0"/>
              <w:right w:val="double" w:color="auto" w:sz="4" w:space="0"/>
            </w:tcBorders>
            <w:vAlign w:val="center"/>
          </w:tcPr>
          <w:p>
            <w:pPr>
              <w:spacing w:line="360" w:lineRule="auto"/>
            </w:pPr>
            <w:r>
              <w:rPr>
                <w:rFonts w:hint="eastAsia"/>
              </w:rPr>
              <w:t>一、概述</w:t>
            </w:r>
          </w:p>
          <w:p>
            <w:pPr>
              <w:spacing w:line="360" w:lineRule="auto"/>
            </w:pPr>
            <w:r>
              <w:rPr>
                <w:rFonts w:hint="eastAsia"/>
              </w:rPr>
              <w:t>二、意见及建议</w:t>
            </w:r>
          </w:p>
          <w:p>
            <w:pPr>
              <w:spacing w:line="360" w:lineRule="auto"/>
            </w:pPr>
            <w:r>
              <w:rPr>
                <w:rFonts w:hint="eastAsia"/>
              </w:rPr>
              <w:t>三、改进措施</w:t>
            </w:r>
          </w:p>
          <w:p>
            <w:pPr>
              <w:spacing w:line="360" w:lineRule="auto"/>
            </w:pPr>
            <w:r>
              <w:rPr>
                <w:rFonts w:hint="eastAsia"/>
              </w:rPr>
              <w:t>四、经验分享</w:t>
            </w:r>
          </w:p>
        </w:tc>
      </w:tr>
    </w:tbl>
    <w:p>
      <w:pPr>
        <w:spacing w:line="360" w:lineRule="auto"/>
      </w:pPr>
      <w:r>
        <w:rPr>
          <w:rFonts w:hint="eastAsia"/>
        </w:rPr>
        <w:t>填表说明：</w:t>
      </w:r>
    </w:p>
    <w:p>
      <w:pPr>
        <w:spacing w:line="360" w:lineRule="auto"/>
        <w:rPr>
          <w:sz w:val="24"/>
          <w:szCs w:val="24"/>
        </w:rPr>
      </w:pPr>
      <w:r>
        <w:rPr>
          <w:rFonts w:hint="eastAsia"/>
          <w:sz w:val="24"/>
          <w:szCs w:val="24"/>
        </w:rPr>
        <w:t>1、调查项目：调查分别对应《培训质量调查表》第一至四项内容，第五至六条受到客观因素影响较大，不列入质量常规调查项，作为日常工作参考项。</w:t>
      </w:r>
    </w:p>
    <w:p>
      <w:pPr>
        <w:spacing w:line="360" w:lineRule="auto"/>
        <w:rPr>
          <w:sz w:val="24"/>
          <w:szCs w:val="24"/>
        </w:rPr>
      </w:pPr>
      <w:r>
        <w:rPr>
          <w:rFonts w:hint="eastAsia"/>
          <w:sz w:val="24"/>
          <w:szCs w:val="24"/>
        </w:rPr>
        <w:t>2、各项满意度＝（（非常满意问卷份数×1＋满意问卷份数×0.95＋一般问卷份数×0.6＋不满意份数×0.3＋很不满意份数×0）/该调查项问卷总份数）×100％。</w:t>
      </w:r>
    </w:p>
    <w:p>
      <w:pPr>
        <w:spacing w:line="360" w:lineRule="auto"/>
        <w:rPr>
          <w:sz w:val="24"/>
          <w:szCs w:val="24"/>
        </w:rPr>
      </w:pPr>
      <w:r>
        <w:rPr>
          <w:rFonts w:hint="eastAsia"/>
          <w:sz w:val="24"/>
          <w:szCs w:val="24"/>
        </w:rPr>
        <w:t>3、综合满意度＝（培训资料质量满意度＋培训教师态度满意度＋教学方法技能技巧满意度＋业务水平满意度）/4×100％。</w:t>
      </w:r>
    </w:p>
    <w:p>
      <w:pPr>
        <w:spacing w:line="360" w:lineRule="auto"/>
        <w:rPr>
          <w:sz w:val="24"/>
          <w:szCs w:val="24"/>
        </w:rPr>
      </w:pPr>
      <w:r>
        <w:rPr>
          <w:rFonts w:hint="eastAsia"/>
          <w:sz w:val="24"/>
          <w:szCs w:val="24"/>
        </w:rPr>
        <w:t>十三、培训总结</w:t>
      </w:r>
      <w:r>
        <w:rPr>
          <w:rFonts w:hint="eastAsia"/>
          <w:sz w:val="24"/>
          <w:szCs w:val="24"/>
        </w:rPr>
        <w:tab/>
      </w:r>
    </w:p>
    <w:p>
      <w:pPr>
        <w:spacing w:line="360" w:lineRule="auto"/>
        <w:ind w:firstLine="480" w:firstLineChars="200"/>
        <w:rPr>
          <w:sz w:val="24"/>
          <w:szCs w:val="24"/>
        </w:rPr>
      </w:pPr>
      <w:r>
        <w:rPr>
          <w:sz w:val="24"/>
          <w:szCs w:val="24"/>
        </w:rPr>
        <w:t>培训效果的反馈与强化是不可缺少的重要环节。培训效果的反馈指的是在培训后对员工进行检验，其作用在于巩固员工学习的技能、及时纠正错误和偏差，反馈的信息越及时、准确&amp;培训的效果就越好。强化则是指由于反馈而对接受培训人员进行的奖励或惩罚。其目的一方面是为了奖励接受培训并取得绩效的人员、另一方面是为了加强其他员工的培训意识，使培训效果得到进一步强化。</w:t>
      </w:r>
    </w:p>
    <w:p>
      <w:pPr>
        <w:spacing w:line="360" w:lineRule="auto"/>
        <w:ind w:firstLine="480" w:firstLineChars="200"/>
        <w:rPr>
          <w:sz w:val="24"/>
          <w:szCs w:val="24"/>
        </w:rPr>
      </w:pPr>
      <w:r>
        <w:rPr>
          <w:rFonts w:hint="eastAsia"/>
          <w:sz w:val="24"/>
          <w:szCs w:val="24"/>
        </w:rPr>
        <w:t>编写培训总结，对培训过程进行总结，总结经验，对存在的不足进行分析、确定改进办法。</w:t>
      </w:r>
      <w:r>
        <w:rPr>
          <w:rFonts w:hint="eastAsia"/>
          <w:sz w:val="24"/>
          <w:szCs w:val="24"/>
        </w:rPr>
        <w:tab/>
      </w:r>
    </w:p>
    <w:p>
      <w:pPr>
        <w:spacing w:line="360" w:lineRule="auto"/>
        <w:rPr>
          <w:sz w:val="24"/>
          <w:szCs w:val="24"/>
        </w:rPr>
      </w:pPr>
      <w:r>
        <w:rPr>
          <w:rFonts w:hint="eastAsia"/>
          <w:sz w:val="24"/>
          <w:szCs w:val="24"/>
        </w:rPr>
        <w:t>表七：培训总结</w:t>
      </w:r>
    </w:p>
    <w:p>
      <w:pPr>
        <w:spacing w:line="360" w:lineRule="auto"/>
        <w:rPr>
          <w:sz w:val="24"/>
          <w:szCs w:val="24"/>
        </w:rPr>
      </w:pPr>
      <w:r>
        <w:rPr>
          <w:rFonts w:hint="eastAsia"/>
          <w:sz w:val="24"/>
          <w:szCs w:val="24"/>
        </w:rPr>
        <w:t>培训总结报告</w:t>
      </w:r>
    </w:p>
    <w:p>
      <w:pPr>
        <w:spacing w:line="360" w:lineRule="auto"/>
      </w:pPr>
      <w:r>
        <w:rPr>
          <w:rFonts w:hint="eastAsia"/>
        </w:rPr>
        <w:t>填表人：                            填表日期：</w:t>
      </w:r>
    </w:p>
    <w:tbl>
      <w:tblPr>
        <w:tblStyle w:val="34"/>
        <w:tblW w:w="90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794"/>
        <w:gridCol w:w="1136"/>
        <w:gridCol w:w="1260"/>
        <w:gridCol w:w="1080"/>
        <w:gridCol w:w="522"/>
        <w:gridCol w:w="378"/>
        <w:gridCol w:w="641"/>
        <w:gridCol w:w="259"/>
        <w:gridCol w:w="1080"/>
        <w:gridCol w:w="1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074" w:type="dxa"/>
            <w:gridSpan w:val="11"/>
            <w:tcBorders>
              <w:top w:val="double" w:color="auto" w:sz="4" w:space="0"/>
              <w:left w:val="double" w:color="auto" w:sz="4" w:space="0"/>
              <w:bottom w:val="double" w:color="auto" w:sz="4" w:space="0"/>
              <w:right w:val="double" w:color="auto" w:sz="4" w:space="0"/>
            </w:tcBorders>
            <w:shd w:val="clear" w:color="auto" w:fill="CCCCCC"/>
            <w:vAlign w:val="center"/>
          </w:tcPr>
          <w:p>
            <w:pPr>
              <w:spacing w:line="360" w:lineRule="auto"/>
            </w:pPr>
            <w:r>
              <w:rPr>
                <w:rFonts w:hint="eastAsia"/>
              </w:rPr>
              <w:t>培训结果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425" w:type="dxa"/>
            <w:gridSpan w:val="8"/>
            <w:tcBorders>
              <w:left w:val="double" w:color="auto" w:sz="4" w:space="0"/>
            </w:tcBorders>
            <w:vAlign w:val="center"/>
          </w:tcPr>
          <w:p>
            <w:pPr>
              <w:spacing w:line="360" w:lineRule="auto"/>
            </w:pPr>
            <w:r>
              <w:rPr>
                <w:rFonts w:hint="eastAsia"/>
              </w:rPr>
              <w:t>培训内容</w:t>
            </w:r>
          </w:p>
        </w:tc>
        <w:tc>
          <w:tcPr>
            <w:tcW w:w="2649" w:type="dxa"/>
            <w:gridSpan w:val="3"/>
            <w:tcBorders>
              <w:right w:val="double" w:color="auto" w:sz="4" w:space="0"/>
            </w:tcBorders>
            <w:vAlign w:val="center"/>
          </w:tcPr>
          <w:p>
            <w:pPr>
              <w:spacing w:line="360" w:lineRule="auto"/>
            </w:pPr>
            <w:r>
              <w:rPr>
                <w:rFonts w:hint="eastAsia"/>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4" w:type="dxa"/>
            <w:tcBorders>
              <w:left w:val="double" w:color="auto" w:sz="4" w:space="0"/>
            </w:tcBorders>
            <w:vAlign w:val="center"/>
          </w:tcPr>
          <w:p>
            <w:pPr>
              <w:spacing w:line="360" w:lineRule="auto"/>
            </w:pPr>
            <w:r>
              <w:rPr>
                <w:rFonts w:hint="eastAsia"/>
              </w:rPr>
              <w:t>1</w:t>
            </w:r>
          </w:p>
        </w:tc>
        <w:tc>
          <w:tcPr>
            <w:tcW w:w="5811" w:type="dxa"/>
            <w:gridSpan w:val="7"/>
            <w:vAlign w:val="center"/>
          </w:tcPr>
          <w:p>
            <w:pPr>
              <w:spacing w:line="360" w:lineRule="auto"/>
            </w:pPr>
          </w:p>
        </w:tc>
        <w:tc>
          <w:tcPr>
            <w:tcW w:w="1339" w:type="dxa"/>
            <w:gridSpan w:val="2"/>
            <w:vAlign w:val="center"/>
          </w:tcPr>
          <w:p>
            <w:pPr>
              <w:spacing w:line="360" w:lineRule="auto"/>
            </w:pPr>
            <w:r>
              <w:rPr>
                <w:rFonts w:hint="eastAsia"/>
              </w:rPr>
              <w:t>完成</w:t>
            </w:r>
          </w:p>
        </w:tc>
        <w:tc>
          <w:tcPr>
            <w:tcW w:w="1310" w:type="dxa"/>
            <w:tcBorders>
              <w:right w:val="double" w:color="auto" w:sz="4" w:space="0"/>
            </w:tcBorders>
            <w:vAlign w:val="center"/>
          </w:tcPr>
          <w:p>
            <w:pPr>
              <w:spacing w:line="360" w:lineRule="auto"/>
            </w:pPr>
            <w:r>
              <w:rPr>
                <w:rFonts w:hint="eastAsia"/>
              </w:rPr>
              <w:t>未完成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4" w:type="dxa"/>
            <w:tcBorders>
              <w:left w:val="double" w:color="auto" w:sz="4" w:space="0"/>
            </w:tcBorders>
            <w:vAlign w:val="center"/>
          </w:tcPr>
          <w:p>
            <w:pPr>
              <w:spacing w:line="360" w:lineRule="auto"/>
            </w:pPr>
            <w:r>
              <w:rPr>
                <w:rFonts w:hint="eastAsia"/>
              </w:rPr>
              <w:t>2</w:t>
            </w:r>
          </w:p>
        </w:tc>
        <w:tc>
          <w:tcPr>
            <w:tcW w:w="5811" w:type="dxa"/>
            <w:gridSpan w:val="7"/>
            <w:vAlign w:val="center"/>
          </w:tcPr>
          <w:p>
            <w:pPr>
              <w:spacing w:line="360" w:lineRule="auto"/>
            </w:pPr>
          </w:p>
        </w:tc>
        <w:tc>
          <w:tcPr>
            <w:tcW w:w="1339" w:type="dxa"/>
            <w:gridSpan w:val="2"/>
            <w:vAlign w:val="center"/>
          </w:tcPr>
          <w:p>
            <w:pPr>
              <w:spacing w:line="360" w:lineRule="auto"/>
            </w:pPr>
            <w:r>
              <w:rPr>
                <w:rFonts w:hint="eastAsia"/>
              </w:rPr>
              <w:t>完成</w:t>
            </w:r>
          </w:p>
        </w:tc>
        <w:tc>
          <w:tcPr>
            <w:tcW w:w="1310" w:type="dxa"/>
            <w:tcBorders>
              <w:right w:val="double" w:color="auto" w:sz="4" w:space="0"/>
            </w:tcBorders>
            <w:vAlign w:val="center"/>
          </w:tcPr>
          <w:p>
            <w:pPr>
              <w:spacing w:line="360" w:lineRule="auto"/>
            </w:pPr>
            <w:r>
              <w:rPr>
                <w:rFonts w:hint="eastAsia"/>
              </w:rPr>
              <w:t>未完成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4" w:type="dxa"/>
            <w:tcBorders>
              <w:left w:val="double" w:color="auto" w:sz="4" w:space="0"/>
            </w:tcBorders>
            <w:vAlign w:val="center"/>
          </w:tcPr>
          <w:p>
            <w:pPr>
              <w:spacing w:line="360" w:lineRule="auto"/>
            </w:pPr>
            <w:r>
              <w:rPr>
                <w:rFonts w:hint="eastAsia"/>
              </w:rPr>
              <w:t>3</w:t>
            </w:r>
          </w:p>
        </w:tc>
        <w:tc>
          <w:tcPr>
            <w:tcW w:w="5811" w:type="dxa"/>
            <w:gridSpan w:val="7"/>
            <w:vAlign w:val="center"/>
          </w:tcPr>
          <w:p>
            <w:pPr>
              <w:spacing w:line="360" w:lineRule="auto"/>
            </w:pPr>
          </w:p>
        </w:tc>
        <w:tc>
          <w:tcPr>
            <w:tcW w:w="1339" w:type="dxa"/>
            <w:gridSpan w:val="2"/>
            <w:vAlign w:val="center"/>
          </w:tcPr>
          <w:p>
            <w:pPr>
              <w:spacing w:line="360" w:lineRule="auto"/>
            </w:pPr>
            <w:r>
              <w:rPr>
                <w:rFonts w:hint="eastAsia"/>
              </w:rPr>
              <w:t>完成</w:t>
            </w:r>
          </w:p>
        </w:tc>
        <w:tc>
          <w:tcPr>
            <w:tcW w:w="1310" w:type="dxa"/>
            <w:tcBorders>
              <w:right w:val="double" w:color="auto" w:sz="4" w:space="0"/>
            </w:tcBorders>
            <w:vAlign w:val="center"/>
          </w:tcPr>
          <w:p>
            <w:pPr>
              <w:spacing w:line="360" w:lineRule="auto"/>
            </w:pPr>
            <w:r>
              <w:rPr>
                <w:rFonts w:hint="eastAsia"/>
              </w:rPr>
              <w:t>未完成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4" w:type="dxa"/>
            <w:tcBorders>
              <w:left w:val="double" w:color="auto" w:sz="4" w:space="0"/>
            </w:tcBorders>
            <w:vAlign w:val="center"/>
          </w:tcPr>
          <w:p>
            <w:pPr>
              <w:spacing w:line="360" w:lineRule="auto"/>
            </w:pPr>
            <w:r>
              <w:rPr>
                <w:rFonts w:hint="eastAsia"/>
              </w:rPr>
              <w:t>4</w:t>
            </w:r>
          </w:p>
        </w:tc>
        <w:tc>
          <w:tcPr>
            <w:tcW w:w="5811" w:type="dxa"/>
            <w:gridSpan w:val="7"/>
            <w:vAlign w:val="center"/>
          </w:tcPr>
          <w:p>
            <w:pPr>
              <w:spacing w:line="360" w:lineRule="auto"/>
            </w:pPr>
          </w:p>
        </w:tc>
        <w:tc>
          <w:tcPr>
            <w:tcW w:w="1339" w:type="dxa"/>
            <w:gridSpan w:val="2"/>
            <w:vAlign w:val="center"/>
          </w:tcPr>
          <w:p>
            <w:pPr>
              <w:spacing w:line="360" w:lineRule="auto"/>
            </w:pPr>
            <w:r>
              <w:rPr>
                <w:rFonts w:hint="eastAsia"/>
              </w:rPr>
              <w:t>完成</w:t>
            </w:r>
          </w:p>
        </w:tc>
        <w:tc>
          <w:tcPr>
            <w:tcW w:w="1310" w:type="dxa"/>
            <w:tcBorders>
              <w:right w:val="double" w:color="auto" w:sz="4" w:space="0"/>
            </w:tcBorders>
            <w:vAlign w:val="center"/>
          </w:tcPr>
          <w:p>
            <w:pPr>
              <w:spacing w:line="360" w:lineRule="auto"/>
            </w:pPr>
            <w:r>
              <w:rPr>
                <w:rFonts w:hint="eastAsia"/>
              </w:rPr>
              <w:t>未完成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074" w:type="dxa"/>
            <w:gridSpan w:val="11"/>
            <w:tcBorders>
              <w:top w:val="double" w:color="auto" w:sz="4" w:space="0"/>
              <w:left w:val="double" w:color="auto" w:sz="4" w:space="0"/>
              <w:bottom w:val="double" w:color="auto" w:sz="4" w:space="0"/>
              <w:right w:val="double" w:color="auto" w:sz="4" w:space="0"/>
            </w:tcBorders>
            <w:shd w:val="clear" w:color="auto" w:fill="CCCCCC"/>
            <w:vAlign w:val="center"/>
          </w:tcPr>
          <w:p>
            <w:pPr>
              <w:spacing w:line="360" w:lineRule="auto"/>
            </w:pPr>
            <w:r>
              <w:rPr>
                <w:rFonts w:hint="eastAsia"/>
              </w:rPr>
              <w:t>考试成绩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408" w:type="dxa"/>
            <w:gridSpan w:val="2"/>
            <w:vMerge w:val="restart"/>
            <w:tcBorders>
              <w:top w:val="double" w:color="auto" w:sz="4" w:space="0"/>
              <w:left w:val="double" w:color="auto" w:sz="4" w:space="0"/>
            </w:tcBorders>
            <w:vAlign w:val="center"/>
          </w:tcPr>
          <w:p>
            <w:pPr>
              <w:spacing w:line="360" w:lineRule="auto"/>
            </w:pPr>
            <w:r>
              <w:rPr>
                <w:rFonts w:hint="eastAsia"/>
              </w:rPr>
              <w:t>考试人数</w:t>
            </w:r>
          </w:p>
        </w:tc>
        <w:tc>
          <w:tcPr>
            <w:tcW w:w="2396" w:type="dxa"/>
            <w:gridSpan w:val="2"/>
            <w:vMerge w:val="restart"/>
            <w:tcBorders>
              <w:top w:val="double" w:color="auto" w:sz="4" w:space="0"/>
            </w:tcBorders>
            <w:vAlign w:val="center"/>
          </w:tcPr>
          <w:p>
            <w:pPr>
              <w:spacing w:line="360" w:lineRule="auto"/>
            </w:pPr>
          </w:p>
        </w:tc>
        <w:tc>
          <w:tcPr>
            <w:tcW w:w="1602" w:type="dxa"/>
            <w:gridSpan w:val="2"/>
            <w:tcBorders>
              <w:top w:val="double" w:color="auto" w:sz="4" w:space="0"/>
            </w:tcBorders>
            <w:vAlign w:val="center"/>
          </w:tcPr>
          <w:p>
            <w:pPr>
              <w:spacing w:line="360" w:lineRule="auto"/>
            </w:pPr>
            <w:r>
              <w:rPr>
                <w:rFonts w:hint="eastAsia"/>
              </w:rPr>
              <w:t>合格人数</w:t>
            </w:r>
          </w:p>
        </w:tc>
        <w:tc>
          <w:tcPr>
            <w:tcW w:w="1019" w:type="dxa"/>
            <w:gridSpan w:val="2"/>
            <w:tcBorders>
              <w:top w:val="double" w:color="auto" w:sz="4" w:space="0"/>
            </w:tcBorders>
            <w:vAlign w:val="center"/>
          </w:tcPr>
          <w:p>
            <w:pPr>
              <w:spacing w:line="360" w:lineRule="auto"/>
            </w:pPr>
          </w:p>
        </w:tc>
        <w:tc>
          <w:tcPr>
            <w:tcW w:w="1339" w:type="dxa"/>
            <w:gridSpan w:val="2"/>
            <w:tcBorders>
              <w:top w:val="double" w:color="auto" w:sz="4" w:space="0"/>
            </w:tcBorders>
            <w:vAlign w:val="center"/>
          </w:tcPr>
          <w:p>
            <w:pPr>
              <w:spacing w:line="360" w:lineRule="auto"/>
            </w:pPr>
            <w:r>
              <w:rPr>
                <w:rFonts w:hint="eastAsia"/>
              </w:rPr>
              <w:t>合格率</w:t>
            </w:r>
          </w:p>
        </w:tc>
        <w:tc>
          <w:tcPr>
            <w:tcW w:w="1310" w:type="dxa"/>
            <w:tcBorders>
              <w:top w:val="double" w:color="auto" w:sz="4" w:space="0"/>
              <w:right w:val="doub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408" w:type="dxa"/>
            <w:gridSpan w:val="2"/>
            <w:vMerge w:val="continue"/>
            <w:tcBorders>
              <w:left w:val="double" w:color="auto" w:sz="4" w:space="0"/>
              <w:bottom w:val="double" w:color="auto" w:sz="4" w:space="0"/>
            </w:tcBorders>
            <w:vAlign w:val="center"/>
          </w:tcPr>
          <w:p>
            <w:pPr>
              <w:spacing w:line="360" w:lineRule="auto"/>
            </w:pPr>
          </w:p>
        </w:tc>
        <w:tc>
          <w:tcPr>
            <w:tcW w:w="2396" w:type="dxa"/>
            <w:gridSpan w:val="2"/>
            <w:vMerge w:val="continue"/>
            <w:tcBorders>
              <w:bottom w:val="double" w:color="auto" w:sz="4" w:space="0"/>
            </w:tcBorders>
            <w:vAlign w:val="center"/>
          </w:tcPr>
          <w:p>
            <w:pPr>
              <w:spacing w:line="360" w:lineRule="auto"/>
            </w:pPr>
          </w:p>
        </w:tc>
        <w:tc>
          <w:tcPr>
            <w:tcW w:w="1602" w:type="dxa"/>
            <w:gridSpan w:val="2"/>
            <w:tcBorders>
              <w:bottom w:val="double" w:color="auto" w:sz="4" w:space="0"/>
            </w:tcBorders>
            <w:vAlign w:val="center"/>
          </w:tcPr>
          <w:p>
            <w:pPr>
              <w:spacing w:line="360" w:lineRule="auto"/>
            </w:pPr>
            <w:r>
              <w:rPr>
                <w:rFonts w:hint="eastAsia"/>
              </w:rPr>
              <w:t>优秀人数</w:t>
            </w:r>
          </w:p>
        </w:tc>
        <w:tc>
          <w:tcPr>
            <w:tcW w:w="1019" w:type="dxa"/>
            <w:gridSpan w:val="2"/>
            <w:tcBorders>
              <w:bottom w:val="double" w:color="auto" w:sz="4" w:space="0"/>
            </w:tcBorders>
            <w:vAlign w:val="center"/>
          </w:tcPr>
          <w:p>
            <w:pPr>
              <w:spacing w:line="360" w:lineRule="auto"/>
            </w:pPr>
          </w:p>
        </w:tc>
        <w:tc>
          <w:tcPr>
            <w:tcW w:w="1339" w:type="dxa"/>
            <w:gridSpan w:val="2"/>
            <w:tcBorders>
              <w:bottom w:val="double" w:color="auto" w:sz="4" w:space="0"/>
            </w:tcBorders>
            <w:vAlign w:val="center"/>
          </w:tcPr>
          <w:p>
            <w:pPr>
              <w:spacing w:line="360" w:lineRule="auto"/>
            </w:pPr>
            <w:r>
              <w:rPr>
                <w:rFonts w:hint="eastAsia"/>
              </w:rPr>
              <w:t>优秀率</w:t>
            </w:r>
          </w:p>
        </w:tc>
        <w:tc>
          <w:tcPr>
            <w:tcW w:w="1310" w:type="dxa"/>
            <w:tcBorders>
              <w:bottom w:val="double" w:color="auto" w:sz="4" w:space="0"/>
              <w:right w:val="doub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074" w:type="dxa"/>
            <w:gridSpan w:val="11"/>
            <w:tcBorders>
              <w:top w:val="double" w:color="auto" w:sz="4" w:space="0"/>
              <w:left w:val="double" w:color="auto" w:sz="4" w:space="0"/>
              <w:bottom w:val="single" w:color="auto" w:sz="4" w:space="0"/>
              <w:right w:val="double" w:color="auto" w:sz="4" w:space="0"/>
            </w:tcBorders>
            <w:shd w:val="clear" w:color="auto" w:fill="CCCCCC"/>
            <w:vAlign w:val="center"/>
          </w:tcPr>
          <w:p>
            <w:pPr>
              <w:spacing w:line="360" w:lineRule="auto"/>
            </w:pPr>
            <w:r>
              <w:rPr>
                <w:rFonts w:hint="eastAsia"/>
              </w:rPr>
              <w:t>培训质量调查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3" w:hRule="atLeast"/>
          <w:jc w:val="center"/>
        </w:trPr>
        <w:tc>
          <w:tcPr>
            <w:tcW w:w="2544" w:type="dxa"/>
            <w:gridSpan w:val="3"/>
            <w:tcBorders>
              <w:top w:val="single" w:color="auto" w:sz="4" w:space="0"/>
              <w:left w:val="double" w:color="auto" w:sz="4" w:space="0"/>
              <w:bottom w:val="single" w:color="auto" w:sz="4" w:space="0"/>
              <w:right w:val="single" w:color="auto" w:sz="4" w:space="0"/>
            </w:tcBorders>
            <w:vAlign w:val="center"/>
          </w:tcPr>
          <w:p>
            <w:pPr>
              <w:spacing w:line="360" w:lineRule="auto"/>
            </w:pPr>
            <w:r>
              <w:rPr>
                <w:rFonts w:hint="eastAsia"/>
              </w:rPr>
              <w:t>调查项目</w:t>
            </w:r>
          </w:p>
        </w:tc>
        <w:tc>
          <w:tcPr>
            <w:tcW w:w="5220" w:type="dxa"/>
            <w:gridSpan w:val="7"/>
            <w:tcBorders>
              <w:top w:val="single" w:color="auto" w:sz="4" w:space="0"/>
              <w:left w:val="single" w:color="auto" w:sz="4" w:space="0"/>
              <w:right w:val="single" w:color="auto" w:sz="4" w:space="0"/>
            </w:tcBorders>
            <w:vAlign w:val="center"/>
          </w:tcPr>
          <w:p>
            <w:pPr>
              <w:spacing w:line="360" w:lineRule="auto"/>
            </w:pPr>
            <w:r>
              <w:rPr>
                <w:rFonts w:hint="eastAsia"/>
              </w:rPr>
              <w:t>培训质量调查表各档的有效问卷份数</w:t>
            </w:r>
          </w:p>
        </w:tc>
        <w:tc>
          <w:tcPr>
            <w:tcW w:w="1310" w:type="dxa"/>
            <w:vMerge w:val="restart"/>
            <w:tcBorders>
              <w:top w:val="single" w:color="auto" w:sz="4" w:space="0"/>
              <w:left w:val="single" w:color="auto" w:sz="4" w:space="0"/>
              <w:right w:val="double" w:color="auto" w:sz="4" w:space="0"/>
            </w:tcBorders>
            <w:vAlign w:val="center"/>
          </w:tcPr>
          <w:p>
            <w:pPr>
              <w:spacing w:line="360" w:lineRule="auto"/>
            </w:pPr>
            <w:r>
              <w:rPr>
                <w:rFonts w:hint="eastAsia"/>
              </w:rPr>
              <w:t>各项满意度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3" w:hRule="atLeast"/>
          <w:jc w:val="center"/>
        </w:trPr>
        <w:tc>
          <w:tcPr>
            <w:tcW w:w="2544" w:type="dxa"/>
            <w:gridSpan w:val="3"/>
            <w:tcBorders>
              <w:top w:val="single" w:color="auto" w:sz="4" w:space="0"/>
              <w:left w:val="double" w:color="auto" w:sz="4" w:space="0"/>
              <w:bottom w:val="single" w:color="auto" w:sz="4" w:space="0"/>
              <w:right w:val="single" w:color="auto" w:sz="4" w:space="0"/>
            </w:tcBorders>
            <w:vAlign w:val="center"/>
          </w:tcPr>
          <w:p>
            <w:pPr>
              <w:spacing w:line="360" w:lineRule="auto"/>
            </w:pPr>
            <w:r>
              <w:rPr>
                <w:rFonts w:hint="eastAsia"/>
              </w:rPr>
              <w:t>调查项目</w:t>
            </w:r>
          </w:p>
          <w:p>
            <w:pPr>
              <w:spacing w:line="360" w:lineRule="auto"/>
            </w:pPr>
          </w:p>
        </w:tc>
        <w:tc>
          <w:tcPr>
            <w:tcW w:w="1260" w:type="dxa"/>
            <w:tcBorders>
              <w:top w:val="single" w:color="auto" w:sz="4" w:space="0"/>
              <w:left w:val="single" w:color="auto" w:sz="4" w:space="0"/>
              <w:right w:val="single" w:color="auto" w:sz="4" w:space="0"/>
            </w:tcBorders>
            <w:vAlign w:val="center"/>
          </w:tcPr>
          <w:p>
            <w:pPr>
              <w:spacing w:line="360" w:lineRule="auto"/>
            </w:pPr>
            <w:r>
              <w:rPr>
                <w:rFonts w:hint="eastAsia"/>
              </w:rPr>
              <w:t>非常</w:t>
            </w:r>
          </w:p>
          <w:p>
            <w:pPr>
              <w:spacing w:line="360" w:lineRule="auto"/>
            </w:pPr>
            <w:r>
              <w:rPr>
                <w:rFonts w:hint="eastAsia"/>
              </w:rPr>
              <w:t>满意</w:t>
            </w:r>
          </w:p>
        </w:tc>
        <w:tc>
          <w:tcPr>
            <w:tcW w:w="1080" w:type="dxa"/>
            <w:tcBorders>
              <w:top w:val="single" w:color="auto" w:sz="4" w:space="0"/>
              <w:left w:val="single" w:color="auto" w:sz="4" w:space="0"/>
              <w:right w:val="single" w:color="auto" w:sz="4" w:space="0"/>
            </w:tcBorders>
            <w:vAlign w:val="center"/>
          </w:tcPr>
          <w:p>
            <w:pPr>
              <w:spacing w:line="360" w:lineRule="auto"/>
            </w:pPr>
            <w:r>
              <w:rPr>
                <w:rFonts w:hint="eastAsia"/>
              </w:rPr>
              <w:t>满意</w:t>
            </w:r>
          </w:p>
        </w:tc>
        <w:tc>
          <w:tcPr>
            <w:tcW w:w="900" w:type="dxa"/>
            <w:gridSpan w:val="2"/>
            <w:tcBorders>
              <w:top w:val="single" w:color="auto" w:sz="4" w:space="0"/>
              <w:left w:val="single" w:color="auto" w:sz="4" w:space="0"/>
              <w:right w:val="single" w:color="auto" w:sz="4" w:space="0"/>
            </w:tcBorders>
            <w:vAlign w:val="center"/>
          </w:tcPr>
          <w:p>
            <w:pPr>
              <w:spacing w:line="360" w:lineRule="auto"/>
            </w:pPr>
            <w:r>
              <w:rPr>
                <w:rFonts w:hint="eastAsia"/>
              </w:rPr>
              <w:t>一般</w:t>
            </w:r>
          </w:p>
        </w:tc>
        <w:tc>
          <w:tcPr>
            <w:tcW w:w="900" w:type="dxa"/>
            <w:gridSpan w:val="2"/>
            <w:tcBorders>
              <w:top w:val="single" w:color="auto" w:sz="4" w:space="0"/>
              <w:left w:val="single" w:color="auto" w:sz="4" w:space="0"/>
              <w:right w:val="single" w:color="auto" w:sz="4" w:space="0"/>
            </w:tcBorders>
            <w:vAlign w:val="center"/>
          </w:tcPr>
          <w:p>
            <w:pPr>
              <w:spacing w:line="360" w:lineRule="auto"/>
            </w:pPr>
            <w:r>
              <w:rPr>
                <w:rFonts w:hint="eastAsia"/>
              </w:rPr>
              <w:t>不满意</w:t>
            </w:r>
          </w:p>
        </w:tc>
        <w:tc>
          <w:tcPr>
            <w:tcW w:w="1080" w:type="dxa"/>
            <w:tcBorders>
              <w:top w:val="single" w:color="auto" w:sz="4" w:space="0"/>
              <w:left w:val="single" w:color="auto" w:sz="4" w:space="0"/>
              <w:right w:val="single" w:color="auto" w:sz="4" w:space="0"/>
            </w:tcBorders>
            <w:vAlign w:val="center"/>
          </w:tcPr>
          <w:p>
            <w:pPr>
              <w:spacing w:line="360" w:lineRule="auto"/>
            </w:pPr>
            <w:r>
              <w:rPr>
                <w:rFonts w:hint="eastAsia"/>
              </w:rPr>
              <w:t>很不</w:t>
            </w:r>
          </w:p>
          <w:p>
            <w:pPr>
              <w:spacing w:line="360" w:lineRule="auto"/>
            </w:pPr>
            <w:r>
              <w:rPr>
                <w:rFonts w:hint="eastAsia"/>
              </w:rPr>
              <w:t>满意</w:t>
            </w:r>
          </w:p>
        </w:tc>
        <w:tc>
          <w:tcPr>
            <w:tcW w:w="1310" w:type="dxa"/>
            <w:vMerge w:val="continue"/>
            <w:tcBorders>
              <w:left w:val="single" w:color="auto" w:sz="4" w:space="0"/>
              <w:right w:val="doub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3" w:hRule="atLeast"/>
          <w:jc w:val="center"/>
        </w:trPr>
        <w:tc>
          <w:tcPr>
            <w:tcW w:w="2544" w:type="dxa"/>
            <w:gridSpan w:val="3"/>
            <w:tcBorders>
              <w:top w:val="single" w:color="auto" w:sz="4" w:space="0"/>
              <w:left w:val="double" w:color="auto" w:sz="4" w:space="0"/>
              <w:right w:val="single" w:color="auto" w:sz="4" w:space="0"/>
            </w:tcBorders>
            <w:vAlign w:val="center"/>
          </w:tcPr>
          <w:p>
            <w:pPr>
              <w:spacing w:line="360" w:lineRule="auto"/>
            </w:pPr>
            <w:r>
              <w:rPr>
                <w:rFonts w:hint="eastAsia"/>
              </w:rPr>
              <w:t>培训资料质量</w:t>
            </w:r>
          </w:p>
        </w:tc>
        <w:tc>
          <w:tcPr>
            <w:tcW w:w="1260" w:type="dxa"/>
            <w:tcBorders>
              <w:top w:val="single" w:color="auto" w:sz="4" w:space="0"/>
              <w:left w:val="single" w:color="auto" w:sz="4" w:space="0"/>
              <w:right w:val="single" w:color="auto" w:sz="4" w:space="0"/>
            </w:tcBorders>
            <w:vAlign w:val="center"/>
          </w:tcPr>
          <w:p>
            <w:pPr>
              <w:spacing w:line="360" w:lineRule="auto"/>
            </w:pPr>
          </w:p>
        </w:tc>
        <w:tc>
          <w:tcPr>
            <w:tcW w:w="1080" w:type="dxa"/>
            <w:tcBorders>
              <w:top w:val="single" w:color="auto" w:sz="4" w:space="0"/>
              <w:left w:val="single" w:color="auto" w:sz="4" w:space="0"/>
              <w:right w:val="single" w:color="auto" w:sz="4" w:space="0"/>
            </w:tcBorders>
            <w:vAlign w:val="center"/>
          </w:tcPr>
          <w:p>
            <w:pPr>
              <w:spacing w:line="360" w:lineRule="auto"/>
            </w:pPr>
          </w:p>
        </w:tc>
        <w:tc>
          <w:tcPr>
            <w:tcW w:w="900" w:type="dxa"/>
            <w:gridSpan w:val="2"/>
            <w:tcBorders>
              <w:top w:val="single" w:color="auto" w:sz="4" w:space="0"/>
              <w:left w:val="single" w:color="auto" w:sz="4" w:space="0"/>
              <w:right w:val="single" w:color="auto" w:sz="4" w:space="0"/>
            </w:tcBorders>
            <w:vAlign w:val="center"/>
          </w:tcPr>
          <w:p>
            <w:pPr>
              <w:spacing w:line="360" w:lineRule="auto"/>
            </w:pPr>
          </w:p>
        </w:tc>
        <w:tc>
          <w:tcPr>
            <w:tcW w:w="900" w:type="dxa"/>
            <w:gridSpan w:val="2"/>
            <w:tcBorders>
              <w:top w:val="single" w:color="auto" w:sz="4" w:space="0"/>
              <w:left w:val="single" w:color="auto" w:sz="4" w:space="0"/>
              <w:right w:val="single" w:color="auto" w:sz="4" w:space="0"/>
            </w:tcBorders>
            <w:vAlign w:val="center"/>
          </w:tcPr>
          <w:p>
            <w:pPr>
              <w:spacing w:line="360" w:lineRule="auto"/>
            </w:pPr>
          </w:p>
        </w:tc>
        <w:tc>
          <w:tcPr>
            <w:tcW w:w="1080" w:type="dxa"/>
            <w:tcBorders>
              <w:top w:val="single" w:color="auto" w:sz="4" w:space="0"/>
              <w:left w:val="single" w:color="auto" w:sz="4" w:space="0"/>
              <w:right w:val="single" w:color="auto" w:sz="4" w:space="0"/>
            </w:tcBorders>
            <w:vAlign w:val="center"/>
          </w:tcPr>
          <w:p>
            <w:pPr>
              <w:spacing w:line="360" w:lineRule="auto"/>
            </w:pPr>
          </w:p>
        </w:tc>
        <w:tc>
          <w:tcPr>
            <w:tcW w:w="1310" w:type="dxa"/>
            <w:tcBorders>
              <w:top w:val="single" w:color="auto" w:sz="4" w:space="0"/>
              <w:left w:val="single" w:color="auto" w:sz="4" w:space="0"/>
              <w:right w:val="doub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3" w:hRule="atLeast"/>
          <w:jc w:val="center"/>
        </w:trPr>
        <w:tc>
          <w:tcPr>
            <w:tcW w:w="2544" w:type="dxa"/>
            <w:gridSpan w:val="3"/>
            <w:tcBorders>
              <w:left w:val="double" w:color="auto" w:sz="4" w:space="0"/>
              <w:right w:val="single" w:color="auto" w:sz="4" w:space="0"/>
            </w:tcBorders>
            <w:vAlign w:val="center"/>
          </w:tcPr>
          <w:p>
            <w:pPr>
              <w:spacing w:line="360" w:lineRule="auto"/>
            </w:pPr>
            <w:r>
              <w:rPr>
                <w:rFonts w:hint="eastAsia"/>
              </w:rPr>
              <w:t>培训教师态度</w:t>
            </w:r>
          </w:p>
        </w:tc>
        <w:tc>
          <w:tcPr>
            <w:tcW w:w="1260" w:type="dxa"/>
            <w:tcBorders>
              <w:top w:val="single" w:color="auto" w:sz="4" w:space="0"/>
              <w:left w:val="single" w:color="auto" w:sz="4" w:space="0"/>
              <w:right w:val="single" w:color="auto" w:sz="4" w:space="0"/>
            </w:tcBorders>
            <w:vAlign w:val="center"/>
          </w:tcPr>
          <w:p>
            <w:pPr>
              <w:spacing w:line="360" w:lineRule="auto"/>
            </w:pPr>
          </w:p>
        </w:tc>
        <w:tc>
          <w:tcPr>
            <w:tcW w:w="1080" w:type="dxa"/>
            <w:tcBorders>
              <w:top w:val="single" w:color="auto" w:sz="4" w:space="0"/>
              <w:left w:val="single" w:color="auto" w:sz="4" w:space="0"/>
              <w:right w:val="single" w:color="auto" w:sz="4" w:space="0"/>
            </w:tcBorders>
            <w:vAlign w:val="center"/>
          </w:tcPr>
          <w:p>
            <w:pPr>
              <w:spacing w:line="360" w:lineRule="auto"/>
            </w:pPr>
          </w:p>
        </w:tc>
        <w:tc>
          <w:tcPr>
            <w:tcW w:w="900" w:type="dxa"/>
            <w:gridSpan w:val="2"/>
            <w:tcBorders>
              <w:top w:val="single" w:color="auto" w:sz="4" w:space="0"/>
              <w:left w:val="single" w:color="auto" w:sz="4" w:space="0"/>
              <w:right w:val="single" w:color="auto" w:sz="4" w:space="0"/>
            </w:tcBorders>
            <w:vAlign w:val="center"/>
          </w:tcPr>
          <w:p>
            <w:pPr>
              <w:spacing w:line="360" w:lineRule="auto"/>
            </w:pPr>
          </w:p>
        </w:tc>
        <w:tc>
          <w:tcPr>
            <w:tcW w:w="900" w:type="dxa"/>
            <w:gridSpan w:val="2"/>
            <w:tcBorders>
              <w:top w:val="single" w:color="auto" w:sz="4" w:space="0"/>
              <w:left w:val="single" w:color="auto" w:sz="4" w:space="0"/>
              <w:right w:val="single" w:color="auto" w:sz="4" w:space="0"/>
            </w:tcBorders>
            <w:vAlign w:val="center"/>
          </w:tcPr>
          <w:p>
            <w:pPr>
              <w:spacing w:line="360" w:lineRule="auto"/>
            </w:pPr>
          </w:p>
        </w:tc>
        <w:tc>
          <w:tcPr>
            <w:tcW w:w="1080" w:type="dxa"/>
            <w:tcBorders>
              <w:top w:val="single" w:color="auto" w:sz="4" w:space="0"/>
              <w:left w:val="single" w:color="auto" w:sz="4" w:space="0"/>
              <w:right w:val="single" w:color="auto" w:sz="4" w:space="0"/>
            </w:tcBorders>
            <w:vAlign w:val="center"/>
          </w:tcPr>
          <w:p>
            <w:pPr>
              <w:spacing w:line="360" w:lineRule="auto"/>
            </w:pPr>
          </w:p>
        </w:tc>
        <w:tc>
          <w:tcPr>
            <w:tcW w:w="1310" w:type="dxa"/>
            <w:tcBorders>
              <w:top w:val="single" w:color="auto" w:sz="4" w:space="0"/>
              <w:left w:val="single" w:color="auto" w:sz="4" w:space="0"/>
              <w:right w:val="doub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3" w:hRule="atLeast"/>
          <w:jc w:val="center"/>
        </w:trPr>
        <w:tc>
          <w:tcPr>
            <w:tcW w:w="2544" w:type="dxa"/>
            <w:gridSpan w:val="3"/>
            <w:tcBorders>
              <w:left w:val="double" w:color="auto" w:sz="4" w:space="0"/>
              <w:right w:val="single" w:color="auto" w:sz="4" w:space="0"/>
            </w:tcBorders>
            <w:vAlign w:val="center"/>
          </w:tcPr>
          <w:p>
            <w:pPr>
              <w:spacing w:line="360" w:lineRule="auto"/>
            </w:pPr>
            <w:r>
              <w:rPr>
                <w:rFonts w:hint="eastAsia"/>
              </w:rPr>
              <w:t>培训教师的授课技能技巧</w:t>
            </w:r>
          </w:p>
        </w:tc>
        <w:tc>
          <w:tcPr>
            <w:tcW w:w="1260" w:type="dxa"/>
            <w:tcBorders>
              <w:top w:val="single" w:color="auto" w:sz="4" w:space="0"/>
              <w:left w:val="single" w:color="auto" w:sz="4" w:space="0"/>
              <w:right w:val="single" w:color="auto" w:sz="4" w:space="0"/>
            </w:tcBorders>
            <w:vAlign w:val="center"/>
          </w:tcPr>
          <w:p>
            <w:pPr>
              <w:spacing w:line="360" w:lineRule="auto"/>
            </w:pPr>
          </w:p>
        </w:tc>
        <w:tc>
          <w:tcPr>
            <w:tcW w:w="1080" w:type="dxa"/>
            <w:tcBorders>
              <w:top w:val="single" w:color="auto" w:sz="4" w:space="0"/>
              <w:left w:val="single" w:color="auto" w:sz="4" w:space="0"/>
              <w:right w:val="single" w:color="auto" w:sz="4" w:space="0"/>
            </w:tcBorders>
            <w:vAlign w:val="center"/>
          </w:tcPr>
          <w:p>
            <w:pPr>
              <w:spacing w:line="360" w:lineRule="auto"/>
            </w:pPr>
          </w:p>
        </w:tc>
        <w:tc>
          <w:tcPr>
            <w:tcW w:w="900" w:type="dxa"/>
            <w:gridSpan w:val="2"/>
            <w:tcBorders>
              <w:top w:val="single" w:color="auto" w:sz="4" w:space="0"/>
              <w:left w:val="single" w:color="auto" w:sz="4" w:space="0"/>
              <w:right w:val="single" w:color="auto" w:sz="4" w:space="0"/>
            </w:tcBorders>
            <w:vAlign w:val="center"/>
          </w:tcPr>
          <w:p>
            <w:pPr>
              <w:spacing w:line="360" w:lineRule="auto"/>
            </w:pPr>
          </w:p>
        </w:tc>
        <w:tc>
          <w:tcPr>
            <w:tcW w:w="900" w:type="dxa"/>
            <w:gridSpan w:val="2"/>
            <w:tcBorders>
              <w:top w:val="single" w:color="auto" w:sz="4" w:space="0"/>
              <w:left w:val="single" w:color="auto" w:sz="4" w:space="0"/>
              <w:right w:val="single" w:color="auto" w:sz="4" w:space="0"/>
            </w:tcBorders>
            <w:vAlign w:val="center"/>
          </w:tcPr>
          <w:p>
            <w:pPr>
              <w:spacing w:line="360" w:lineRule="auto"/>
            </w:pPr>
          </w:p>
        </w:tc>
        <w:tc>
          <w:tcPr>
            <w:tcW w:w="1080" w:type="dxa"/>
            <w:tcBorders>
              <w:top w:val="single" w:color="auto" w:sz="4" w:space="0"/>
              <w:left w:val="single" w:color="auto" w:sz="4" w:space="0"/>
              <w:right w:val="single" w:color="auto" w:sz="4" w:space="0"/>
            </w:tcBorders>
            <w:vAlign w:val="center"/>
          </w:tcPr>
          <w:p>
            <w:pPr>
              <w:spacing w:line="360" w:lineRule="auto"/>
            </w:pPr>
          </w:p>
        </w:tc>
        <w:tc>
          <w:tcPr>
            <w:tcW w:w="1310" w:type="dxa"/>
            <w:tcBorders>
              <w:top w:val="single" w:color="auto" w:sz="4" w:space="0"/>
              <w:left w:val="single" w:color="auto" w:sz="4" w:space="0"/>
              <w:right w:val="doub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3" w:hRule="atLeast"/>
          <w:jc w:val="center"/>
        </w:trPr>
        <w:tc>
          <w:tcPr>
            <w:tcW w:w="2544" w:type="dxa"/>
            <w:gridSpan w:val="3"/>
            <w:tcBorders>
              <w:left w:val="double" w:color="auto" w:sz="4" w:space="0"/>
              <w:right w:val="single" w:color="auto" w:sz="4" w:space="0"/>
            </w:tcBorders>
            <w:vAlign w:val="center"/>
          </w:tcPr>
          <w:p>
            <w:pPr>
              <w:spacing w:line="360" w:lineRule="auto"/>
            </w:pPr>
            <w:r>
              <w:rPr>
                <w:rFonts w:hint="eastAsia"/>
              </w:rPr>
              <w:t>培训教师的业务水平</w:t>
            </w:r>
          </w:p>
        </w:tc>
        <w:tc>
          <w:tcPr>
            <w:tcW w:w="1260" w:type="dxa"/>
            <w:tcBorders>
              <w:top w:val="single" w:color="auto" w:sz="4" w:space="0"/>
              <w:left w:val="single" w:color="auto" w:sz="4" w:space="0"/>
              <w:right w:val="single" w:color="auto" w:sz="4" w:space="0"/>
            </w:tcBorders>
            <w:vAlign w:val="center"/>
          </w:tcPr>
          <w:p>
            <w:pPr>
              <w:spacing w:line="360" w:lineRule="auto"/>
            </w:pPr>
          </w:p>
        </w:tc>
        <w:tc>
          <w:tcPr>
            <w:tcW w:w="1080" w:type="dxa"/>
            <w:tcBorders>
              <w:top w:val="single" w:color="auto" w:sz="4" w:space="0"/>
              <w:left w:val="single" w:color="auto" w:sz="4" w:space="0"/>
              <w:right w:val="single" w:color="auto" w:sz="4" w:space="0"/>
            </w:tcBorders>
            <w:vAlign w:val="center"/>
          </w:tcPr>
          <w:p>
            <w:pPr>
              <w:spacing w:line="360" w:lineRule="auto"/>
            </w:pPr>
          </w:p>
        </w:tc>
        <w:tc>
          <w:tcPr>
            <w:tcW w:w="900" w:type="dxa"/>
            <w:gridSpan w:val="2"/>
            <w:tcBorders>
              <w:top w:val="single" w:color="auto" w:sz="4" w:space="0"/>
              <w:left w:val="single" w:color="auto" w:sz="4" w:space="0"/>
              <w:right w:val="single" w:color="auto" w:sz="4" w:space="0"/>
            </w:tcBorders>
            <w:vAlign w:val="center"/>
          </w:tcPr>
          <w:p>
            <w:pPr>
              <w:spacing w:line="360" w:lineRule="auto"/>
            </w:pPr>
          </w:p>
        </w:tc>
        <w:tc>
          <w:tcPr>
            <w:tcW w:w="900" w:type="dxa"/>
            <w:gridSpan w:val="2"/>
            <w:tcBorders>
              <w:top w:val="single" w:color="auto" w:sz="4" w:space="0"/>
              <w:left w:val="single" w:color="auto" w:sz="4" w:space="0"/>
              <w:right w:val="single" w:color="auto" w:sz="4" w:space="0"/>
            </w:tcBorders>
            <w:vAlign w:val="center"/>
          </w:tcPr>
          <w:p>
            <w:pPr>
              <w:spacing w:line="360" w:lineRule="auto"/>
            </w:pPr>
          </w:p>
        </w:tc>
        <w:tc>
          <w:tcPr>
            <w:tcW w:w="1080" w:type="dxa"/>
            <w:tcBorders>
              <w:top w:val="single" w:color="auto" w:sz="4" w:space="0"/>
              <w:left w:val="single" w:color="auto" w:sz="4" w:space="0"/>
              <w:right w:val="single" w:color="auto" w:sz="4" w:space="0"/>
            </w:tcBorders>
            <w:vAlign w:val="center"/>
          </w:tcPr>
          <w:p>
            <w:pPr>
              <w:spacing w:line="360" w:lineRule="auto"/>
            </w:pPr>
          </w:p>
        </w:tc>
        <w:tc>
          <w:tcPr>
            <w:tcW w:w="1310" w:type="dxa"/>
            <w:tcBorders>
              <w:top w:val="single" w:color="auto" w:sz="4" w:space="0"/>
              <w:left w:val="single" w:color="auto" w:sz="4" w:space="0"/>
              <w:right w:val="doub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9" w:hRule="atLeast"/>
          <w:jc w:val="center"/>
        </w:trPr>
        <w:tc>
          <w:tcPr>
            <w:tcW w:w="2544" w:type="dxa"/>
            <w:gridSpan w:val="3"/>
            <w:tcBorders>
              <w:top w:val="single" w:color="auto" w:sz="4" w:space="0"/>
              <w:left w:val="double" w:color="auto" w:sz="4" w:space="0"/>
              <w:bottom w:val="single" w:color="auto" w:sz="4" w:space="0"/>
              <w:right w:val="single" w:color="auto" w:sz="4" w:space="0"/>
            </w:tcBorders>
            <w:vAlign w:val="center"/>
          </w:tcPr>
          <w:p>
            <w:pPr>
              <w:spacing w:line="360" w:lineRule="auto"/>
            </w:pPr>
            <w:r>
              <w:rPr>
                <w:rFonts w:hint="eastAsia"/>
              </w:rPr>
              <w:t>调查表总份数</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pPr>
          </w:p>
        </w:tc>
        <w:tc>
          <w:tcPr>
            <w:tcW w:w="2880" w:type="dxa"/>
            <w:gridSpan w:val="5"/>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本次培训综合满意度</w:t>
            </w:r>
          </w:p>
        </w:tc>
        <w:tc>
          <w:tcPr>
            <w:tcW w:w="2390" w:type="dxa"/>
            <w:gridSpan w:val="2"/>
            <w:tcBorders>
              <w:top w:val="single" w:color="auto" w:sz="4" w:space="0"/>
              <w:left w:val="single" w:color="auto" w:sz="4" w:space="0"/>
              <w:bottom w:val="single" w:color="auto" w:sz="4" w:space="0"/>
              <w:right w:val="doub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074" w:type="dxa"/>
            <w:gridSpan w:val="11"/>
            <w:tcBorders>
              <w:top w:val="double" w:color="auto" w:sz="4" w:space="0"/>
              <w:left w:val="double" w:color="auto" w:sz="4" w:space="0"/>
              <w:bottom w:val="double" w:color="auto" w:sz="4" w:space="0"/>
              <w:right w:val="double" w:color="auto" w:sz="4" w:space="0"/>
            </w:tcBorders>
            <w:shd w:val="clear" w:color="auto" w:fill="CCCCCC"/>
            <w:vAlign w:val="center"/>
          </w:tcPr>
          <w:p>
            <w:pPr>
              <w:spacing w:line="360" w:lineRule="auto"/>
            </w:pPr>
            <w:r>
              <w:rPr>
                <w:rFonts w:hint="eastAsia"/>
              </w:rPr>
              <w:t>培训结论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67" w:hRule="atLeast"/>
          <w:jc w:val="center"/>
        </w:trPr>
        <w:tc>
          <w:tcPr>
            <w:tcW w:w="9074" w:type="dxa"/>
            <w:gridSpan w:val="11"/>
            <w:tcBorders>
              <w:top w:val="double" w:color="auto" w:sz="4" w:space="0"/>
              <w:left w:val="double" w:color="auto" w:sz="4" w:space="0"/>
              <w:bottom w:val="double" w:color="auto" w:sz="4" w:space="0"/>
              <w:right w:val="double" w:color="auto" w:sz="4" w:space="0"/>
            </w:tcBorders>
            <w:vAlign w:val="center"/>
          </w:tcPr>
          <w:p>
            <w:pPr>
              <w:spacing w:line="360" w:lineRule="auto"/>
            </w:pPr>
            <w:r>
              <w:rPr>
                <w:rFonts w:hint="eastAsia"/>
              </w:rPr>
              <w:t>一、概述</w:t>
            </w:r>
          </w:p>
          <w:p>
            <w:pPr>
              <w:spacing w:line="360" w:lineRule="auto"/>
            </w:pPr>
            <w:r>
              <w:rPr>
                <w:rFonts w:hint="eastAsia"/>
              </w:rPr>
              <w:t>二、意见及建议</w:t>
            </w:r>
          </w:p>
          <w:p>
            <w:pPr>
              <w:spacing w:line="360" w:lineRule="auto"/>
            </w:pPr>
            <w:r>
              <w:rPr>
                <w:rFonts w:hint="eastAsia"/>
              </w:rPr>
              <w:t>三、改进措施</w:t>
            </w:r>
          </w:p>
          <w:p>
            <w:pPr>
              <w:spacing w:line="360" w:lineRule="auto"/>
            </w:pPr>
            <w:r>
              <w:rPr>
                <w:rFonts w:hint="eastAsia"/>
              </w:rPr>
              <w:t>四、经验分享</w:t>
            </w:r>
          </w:p>
        </w:tc>
      </w:tr>
    </w:tbl>
    <w:p>
      <w:pPr>
        <w:spacing w:line="360" w:lineRule="auto"/>
      </w:pPr>
      <w:r>
        <w:rPr>
          <w:rFonts w:hint="eastAsia"/>
        </w:rPr>
        <w:t>填表说明：</w:t>
      </w:r>
    </w:p>
    <w:p>
      <w:pPr>
        <w:spacing w:line="360" w:lineRule="auto"/>
        <w:rPr>
          <w:sz w:val="24"/>
          <w:szCs w:val="24"/>
        </w:rPr>
      </w:pPr>
      <w:r>
        <w:rPr>
          <w:rFonts w:hint="eastAsia"/>
          <w:sz w:val="24"/>
          <w:szCs w:val="24"/>
        </w:rPr>
        <w:t>1、调查项目：调查分别对应《培训质量调查表》第一至四项内容，第五至六条受到客观因素影响较大，不列入质量常规调查项，作为日常工作参考项。</w:t>
      </w:r>
    </w:p>
    <w:p>
      <w:pPr>
        <w:spacing w:line="360" w:lineRule="auto"/>
        <w:rPr>
          <w:sz w:val="24"/>
          <w:szCs w:val="24"/>
        </w:rPr>
      </w:pPr>
      <w:r>
        <w:rPr>
          <w:rFonts w:hint="eastAsia"/>
          <w:sz w:val="24"/>
          <w:szCs w:val="24"/>
        </w:rPr>
        <w:t>2、各项满意度＝（（非常满意问卷份数×1＋满意问卷份数×0.95＋一般问卷份数×0.6＋不满意份数×0.3＋很不满意份数×0）/该调查项问卷总份数）×100％。</w:t>
      </w:r>
    </w:p>
    <w:p>
      <w:pPr>
        <w:spacing w:line="360" w:lineRule="auto"/>
        <w:rPr>
          <w:sz w:val="24"/>
          <w:szCs w:val="24"/>
        </w:rPr>
      </w:pPr>
      <w:r>
        <w:rPr>
          <w:rFonts w:hint="eastAsia"/>
          <w:sz w:val="24"/>
          <w:szCs w:val="24"/>
        </w:rPr>
        <w:t>3、综合满意度＝（培训资料质量满意度＋培训教师态度满意度＋教学方法技能技巧满意度＋业务水平满意度）/4×100％。</w:t>
      </w:r>
    </w:p>
    <w:p>
      <w:pPr>
        <w:spacing w:line="360" w:lineRule="auto"/>
        <w:rPr>
          <w:sz w:val="24"/>
          <w:szCs w:val="24"/>
        </w:rPr>
      </w:pPr>
      <w:r>
        <w:rPr>
          <w:rFonts w:hint="eastAsia"/>
          <w:sz w:val="24"/>
          <w:szCs w:val="24"/>
        </w:rPr>
        <w:t>十四、资料归档</w:t>
      </w:r>
      <w:r>
        <w:rPr>
          <w:rFonts w:hint="eastAsia"/>
          <w:sz w:val="24"/>
          <w:szCs w:val="24"/>
        </w:rPr>
        <w:tab/>
      </w:r>
    </w:p>
    <w:p>
      <w:pPr>
        <w:spacing w:line="360" w:lineRule="auto"/>
        <w:ind w:firstLine="480" w:firstLineChars="200"/>
      </w:pPr>
      <w:r>
        <w:rPr>
          <w:rFonts w:hint="eastAsia"/>
          <w:sz w:val="24"/>
          <w:szCs w:val="24"/>
        </w:rPr>
        <w:t>对所有文档进行登记、存档。</w:t>
      </w:r>
    </w:p>
    <w:p>
      <w:pPr>
        <w:pStyle w:val="4"/>
        <w:numPr>
          <w:ilvl w:val="2"/>
          <w:numId w:val="85"/>
        </w:numPr>
        <w:spacing w:before="0" w:after="0" w:line="360" w:lineRule="auto"/>
        <w:ind w:left="0" w:leftChars="0" w:firstLine="402" w:firstLineChars="0"/>
      </w:pPr>
      <w:bookmarkStart w:id="456" w:name="_Toc19631"/>
      <w:bookmarkStart w:id="457" w:name="_Toc444186110"/>
      <w:r>
        <w:rPr>
          <w:rFonts w:hint="eastAsia"/>
        </w:rPr>
        <w:t>培训规范</w:t>
      </w:r>
      <w:bookmarkEnd w:id="456"/>
      <w:bookmarkEnd w:id="457"/>
    </w:p>
    <w:p>
      <w:pPr>
        <w:spacing w:line="360" w:lineRule="auto"/>
        <w:ind w:firstLine="480" w:firstLineChars="200"/>
        <w:rPr>
          <w:sz w:val="24"/>
          <w:szCs w:val="24"/>
        </w:rPr>
      </w:pPr>
      <w:r>
        <w:rPr>
          <w:rFonts w:hint="eastAsia"/>
          <w:sz w:val="24"/>
          <w:szCs w:val="24"/>
        </w:rPr>
        <w:t>培训通知内容包括：培训时间、培训地点、培训内容、人员要求、联系人等信息。</w:t>
      </w:r>
    </w:p>
    <w:p>
      <w:pPr>
        <w:spacing w:line="360" w:lineRule="auto"/>
        <w:ind w:firstLine="480" w:firstLineChars="200"/>
        <w:rPr>
          <w:sz w:val="24"/>
          <w:szCs w:val="24"/>
        </w:rPr>
      </w:pPr>
      <w:r>
        <w:rPr>
          <w:rFonts w:hint="eastAsia"/>
          <w:sz w:val="24"/>
          <w:szCs w:val="24"/>
        </w:rPr>
        <w:t>培训工作人员应认真负责，具有为人师表的严谨作风。</w:t>
      </w:r>
    </w:p>
    <w:p>
      <w:pPr>
        <w:spacing w:line="360" w:lineRule="auto"/>
        <w:ind w:firstLine="480" w:firstLineChars="200"/>
        <w:rPr>
          <w:sz w:val="24"/>
          <w:szCs w:val="24"/>
        </w:rPr>
      </w:pPr>
      <w:r>
        <w:rPr>
          <w:rFonts w:hint="eastAsia"/>
          <w:sz w:val="24"/>
          <w:szCs w:val="24"/>
        </w:rPr>
        <w:t>培训教师在</w:t>
      </w:r>
      <w:r>
        <w:rPr>
          <w:sz w:val="24"/>
          <w:szCs w:val="24"/>
        </w:rPr>
        <w:t>上课期间</w:t>
      </w:r>
      <w:r>
        <w:rPr>
          <w:rFonts w:hint="eastAsia"/>
          <w:sz w:val="24"/>
          <w:szCs w:val="24"/>
        </w:rPr>
        <w:t>应着工装或正装。</w:t>
      </w:r>
    </w:p>
    <w:p>
      <w:pPr>
        <w:spacing w:line="360" w:lineRule="auto"/>
        <w:ind w:firstLine="480" w:firstLineChars="200"/>
        <w:rPr>
          <w:sz w:val="24"/>
          <w:szCs w:val="24"/>
        </w:rPr>
      </w:pPr>
      <w:r>
        <w:rPr>
          <w:sz w:val="24"/>
          <w:szCs w:val="24"/>
        </w:rPr>
        <w:t>用普通话</w:t>
      </w:r>
      <w:r>
        <w:rPr>
          <w:rFonts w:hint="eastAsia"/>
          <w:sz w:val="24"/>
          <w:szCs w:val="24"/>
        </w:rPr>
        <w:t>与顾客交流</w:t>
      </w:r>
      <w:r>
        <w:rPr>
          <w:sz w:val="24"/>
          <w:szCs w:val="24"/>
        </w:rPr>
        <w:t>，</w:t>
      </w:r>
      <w:r>
        <w:rPr>
          <w:rFonts w:hint="eastAsia"/>
          <w:sz w:val="24"/>
          <w:szCs w:val="24"/>
        </w:rPr>
        <w:t>言语温和，</w:t>
      </w:r>
      <w:r>
        <w:rPr>
          <w:sz w:val="24"/>
          <w:szCs w:val="24"/>
        </w:rPr>
        <w:t>声音</w:t>
      </w:r>
      <w:r>
        <w:rPr>
          <w:rFonts w:hint="eastAsia"/>
          <w:sz w:val="24"/>
          <w:szCs w:val="24"/>
        </w:rPr>
        <w:t>洪亮</w:t>
      </w:r>
      <w:r>
        <w:rPr>
          <w:sz w:val="24"/>
          <w:szCs w:val="24"/>
        </w:rPr>
        <w:t>清晰，不得出现任何不文明的言行</w:t>
      </w:r>
      <w:r>
        <w:rPr>
          <w:rFonts w:hint="eastAsia"/>
          <w:sz w:val="24"/>
          <w:szCs w:val="24"/>
        </w:rPr>
        <w:t>。</w:t>
      </w:r>
    </w:p>
    <w:p>
      <w:pPr>
        <w:spacing w:line="360" w:lineRule="auto"/>
        <w:ind w:firstLine="480" w:firstLineChars="200"/>
        <w:rPr>
          <w:sz w:val="24"/>
          <w:szCs w:val="24"/>
        </w:rPr>
      </w:pPr>
      <w:r>
        <w:rPr>
          <w:sz w:val="24"/>
          <w:szCs w:val="24"/>
        </w:rPr>
        <w:t>教学中</w:t>
      </w:r>
      <w:r>
        <w:rPr>
          <w:rFonts w:hint="eastAsia"/>
          <w:sz w:val="24"/>
          <w:szCs w:val="24"/>
        </w:rPr>
        <w:t>需</w:t>
      </w:r>
      <w:r>
        <w:rPr>
          <w:sz w:val="24"/>
          <w:szCs w:val="24"/>
        </w:rPr>
        <w:t>做到有问必答</w:t>
      </w:r>
      <w:r>
        <w:rPr>
          <w:rFonts w:hint="eastAsia"/>
          <w:sz w:val="24"/>
          <w:szCs w:val="24"/>
        </w:rPr>
        <w:t>，</w:t>
      </w:r>
      <w:r>
        <w:rPr>
          <w:sz w:val="24"/>
          <w:szCs w:val="24"/>
        </w:rPr>
        <w:t>对学员提出的问题耐心解答，不</w:t>
      </w:r>
      <w:r>
        <w:rPr>
          <w:rFonts w:hint="eastAsia"/>
          <w:sz w:val="24"/>
          <w:szCs w:val="24"/>
        </w:rPr>
        <w:t>能</w:t>
      </w:r>
      <w:r>
        <w:rPr>
          <w:sz w:val="24"/>
          <w:szCs w:val="24"/>
        </w:rPr>
        <w:t>流露出厌烦情绪</w:t>
      </w:r>
      <w:r>
        <w:rPr>
          <w:rFonts w:hint="eastAsia"/>
          <w:sz w:val="24"/>
          <w:szCs w:val="24"/>
        </w:rPr>
        <w:t>。当对学员的问题不能确切回答时应向学员说明情况，并采用询问其它技术人员或进行测试等方法积极寻找解决方案，并在承诺时间内给学员明确的答复，切忌不懂装懂想当然地回答或搪塞学员问题。</w:t>
      </w:r>
    </w:p>
    <w:p>
      <w:pPr>
        <w:spacing w:line="360" w:lineRule="auto"/>
        <w:ind w:firstLine="480" w:firstLineChars="200"/>
        <w:rPr>
          <w:sz w:val="24"/>
          <w:szCs w:val="24"/>
        </w:rPr>
      </w:pPr>
      <w:r>
        <w:rPr>
          <w:rFonts w:hint="eastAsia"/>
          <w:sz w:val="24"/>
          <w:szCs w:val="24"/>
        </w:rPr>
        <w:t>培训中使用的各类资料如需向学员发布，必须通过审批方能发布。</w:t>
      </w:r>
    </w:p>
    <w:p>
      <w:pPr>
        <w:spacing w:line="360" w:lineRule="auto"/>
        <w:ind w:firstLine="480" w:firstLineChars="200"/>
        <w:rPr>
          <w:sz w:val="24"/>
          <w:szCs w:val="24"/>
        </w:rPr>
      </w:pPr>
      <w:r>
        <w:rPr>
          <w:rFonts w:hint="eastAsia"/>
          <w:sz w:val="24"/>
          <w:szCs w:val="24"/>
        </w:rPr>
        <w:t>培训过程中，应遵守公司各项规章制度，妥善保管所持有的涉密文件及培训用设备。</w:t>
      </w:r>
    </w:p>
    <w:p>
      <w:pPr>
        <w:spacing w:line="360" w:lineRule="auto"/>
        <w:ind w:firstLine="480" w:firstLineChars="200"/>
        <w:rPr>
          <w:sz w:val="24"/>
          <w:szCs w:val="24"/>
        </w:rPr>
      </w:pPr>
      <w:r>
        <w:rPr>
          <w:rFonts w:hint="eastAsia"/>
          <w:sz w:val="24"/>
          <w:szCs w:val="24"/>
        </w:rPr>
        <w:t>培训过程中，应该爱护各类培训设施。对于顾客的培训设备，在使用时要做出专门的标识，给予妥善保护，要求“专品专用”，未经顾客允许不能挪作它用。</w:t>
      </w:r>
    </w:p>
    <w:p>
      <w:pPr>
        <w:spacing w:line="360" w:lineRule="auto"/>
        <w:ind w:firstLine="480" w:firstLineChars="200"/>
        <w:rPr>
          <w:sz w:val="24"/>
          <w:szCs w:val="24"/>
        </w:rPr>
      </w:pPr>
      <w:r>
        <w:rPr>
          <w:rFonts w:hint="eastAsia"/>
          <w:sz w:val="24"/>
          <w:szCs w:val="24"/>
        </w:rPr>
        <w:t>遵守现场工作单位的各项规章制度，保持工作环境清洁。每次培训结束后，应最后确认所有学员已离开现场，且现场所有设备已关闭。</w:t>
      </w:r>
    </w:p>
    <w:p>
      <w:pPr>
        <w:spacing w:line="360" w:lineRule="auto"/>
        <w:ind w:firstLine="480" w:firstLineChars="200"/>
        <w:rPr>
          <w:sz w:val="24"/>
          <w:szCs w:val="24"/>
        </w:rPr>
      </w:pPr>
      <w:r>
        <w:rPr>
          <w:rFonts w:hint="eastAsia"/>
          <w:sz w:val="24"/>
          <w:szCs w:val="24"/>
        </w:rPr>
        <w:t>做好培训过程中的各项文档的记录，记录要准确详细，相关资料应在培训工作完成后3个工作日归档。</w:t>
      </w:r>
    </w:p>
    <w:p>
      <w:pPr>
        <w:spacing w:line="360" w:lineRule="auto"/>
        <w:ind w:firstLine="480" w:firstLineChars="200"/>
      </w:pPr>
      <w:r>
        <w:rPr>
          <w:rFonts w:hint="eastAsia"/>
          <w:sz w:val="24"/>
          <w:szCs w:val="24"/>
        </w:rPr>
        <w:t>大规模培训回访量不得低于学员数量的5%，当学员数量较少时，回访量不得少于3个。</w:t>
      </w:r>
    </w:p>
    <w:p>
      <w:pPr>
        <w:spacing w:line="360" w:lineRule="auto"/>
      </w:pPr>
    </w:p>
    <w:p>
      <w:pPr>
        <w:pStyle w:val="3"/>
        <w:numPr>
          <w:ilvl w:val="1"/>
          <w:numId w:val="85"/>
        </w:numPr>
        <w:spacing w:before="0" w:after="0" w:line="360" w:lineRule="auto"/>
        <w:ind w:left="0" w:leftChars="0" w:firstLine="402" w:firstLineChars="0"/>
      </w:pPr>
      <w:bookmarkStart w:id="458" w:name="_Toc5343"/>
      <w:bookmarkStart w:id="459" w:name="_Toc444186111"/>
      <w:r>
        <w:rPr>
          <w:rFonts w:hint="eastAsia"/>
        </w:rPr>
        <w:t>培训策略</w:t>
      </w:r>
      <w:bookmarkEnd w:id="458"/>
      <w:bookmarkEnd w:id="459"/>
    </w:p>
    <w:p>
      <w:pPr>
        <w:spacing w:line="360" w:lineRule="auto"/>
        <w:rPr>
          <w:sz w:val="24"/>
          <w:szCs w:val="24"/>
        </w:rPr>
      </w:pPr>
      <w:r>
        <w:rPr>
          <w:rFonts w:hint="eastAsia"/>
          <w:sz w:val="24"/>
          <w:szCs w:val="24"/>
        </w:rPr>
        <w:t>一、培训过程全程跟踪和监控</w:t>
      </w:r>
    </w:p>
    <w:p>
      <w:pPr>
        <w:spacing w:line="360" w:lineRule="auto"/>
        <w:ind w:firstLine="480" w:firstLineChars="200"/>
        <w:rPr>
          <w:sz w:val="24"/>
          <w:szCs w:val="24"/>
        </w:rPr>
      </w:pPr>
      <w:r>
        <w:rPr>
          <w:rFonts w:hint="eastAsia"/>
          <w:sz w:val="24"/>
          <w:szCs w:val="24"/>
        </w:rPr>
        <w:t>培训过程中指派专人对培训的各个环节进行跟踪、控制，包括前期的培训需求收集、培训准备工作、培训通知的发放、学员的食宿情况、学员的签到、培训记录管理、培训质量调查、培训效果反馈、培训考试以及培训过程的改进等，对存在的问题和不完善的地方及时督促相关人员进行纠正和改进，并进行好相关的记录，保证项目培训工作能有序、规范、有效开张，达到预期的培训效果，取得良好成效。</w:t>
      </w:r>
    </w:p>
    <w:p>
      <w:pPr>
        <w:spacing w:line="360" w:lineRule="auto"/>
        <w:rPr>
          <w:sz w:val="24"/>
          <w:szCs w:val="24"/>
        </w:rPr>
      </w:pPr>
      <w:r>
        <w:rPr>
          <w:rFonts w:hint="eastAsia"/>
          <w:sz w:val="24"/>
          <w:szCs w:val="24"/>
        </w:rPr>
        <w:t>表八：培训过程监控表</w:t>
      </w:r>
    </w:p>
    <w:p>
      <w:pPr>
        <w:spacing w:line="360" w:lineRule="auto"/>
        <w:rPr>
          <w:sz w:val="24"/>
          <w:szCs w:val="24"/>
        </w:rPr>
      </w:pPr>
      <w:r>
        <w:rPr>
          <w:rFonts w:hint="eastAsia"/>
          <w:sz w:val="24"/>
          <w:szCs w:val="24"/>
        </w:rPr>
        <w:t>培训过程监控表</w:t>
      </w:r>
    </w:p>
    <w:p>
      <w:pPr>
        <w:spacing w:line="360" w:lineRule="auto"/>
      </w:pPr>
      <w:r>
        <w:rPr>
          <w:rFonts w:hint="eastAsia"/>
        </w:rPr>
        <w:t>填表人：                            填表日期：</w:t>
      </w:r>
    </w:p>
    <w:tbl>
      <w:tblPr>
        <w:tblStyle w:val="34"/>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364"/>
        <w:gridCol w:w="1842"/>
        <w:gridCol w:w="2552"/>
        <w:gridCol w:w="1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1" w:type="dxa"/>
            <w:shd w:val="clear" w:color="auto" w:fill="E0E0E0"/>
          </w:tcPr>
          <w:p>
            <w:pPr>
              <w:spacing w:line="360" w:lineRule="auto"/>
            </w:pPr>
            <w:r>
              <w:rPr>
                <w:rFonts w:hint="eastAsia"/>
              </w:rPr>
              <w:t>序号</w:t>
            </w:r>
          </w:p>
        </w:tc>
        <w:tc>
          <w:tcPr>
            <w:tcW w:w="1364" w:type="dxa"/>
            <w:shd w:val="clear" w:color="auto" w:fill="E0E0E0"/>
          </w:tcPr>
          <w:p>
            <w:pPr>
              <w:spacing w:line="360" w:lineRule="auto"/>
            </w:pPr>
            <w:r>
              <w:rPr>
                <w:rFonts w:hint="eastAsia"/>
              </w:rPr>
              <w:t>培训环节</w:t>
            </w:r>
          </w:p>
        </w:tc>
        <w:tc>
          <w:tcPr>
            <w:tcW w:w="1842" w:type="dxa"/>
            <w:shd w:val="clear" w:color="auto" w:fill="E0E0E0"/>
          </w:tcPr>
          <w:p>
            <w:pPr>
              <w:spacing w:line="360" w:lineRule="auto"/>
            </w:pPr>
            <w:r>
              <w:rPr>
                <w:rFonts w:hint="eastAsia"/>
              </w:rPr>
              <w:t>责任人</w:t>
            </w:r>
          </w:p>
        </w:tc>
        <w:tc>
          <w:tcPr>
            <w:tcW w:w="2552" w:type="dxa"/>
            <w:shd w:val="clear" w:color="auto" w:fill="E0E0E0"/>
          </w:tcPr>
          <w:p>
            <w:pPr>
              <w:spacing w:line="360" w:lineRule="auto"/>
            </w:pPr>
            <w:r>
              <w:rPr>
                <w:rFonts w:hint="eastAsia"/>
              </w:rPr>
              <w:t>存在问题</w:t>
            </w:r>
          </w:p>
        </w:tc>
        <w:tc>
          <w:tcPr>
            <w:tcW w:w="1899" w:type="dxa"/>
            <w:shd w:val="clear" w:color="auto" w:fill="E0E0E0"/>
          </w:tcPr>
          <w:p>
            <w:pPr>
              <w:spacing w:line="360" w:lineRule="auto"/>
            </w:pPr>
            <w:r>
              <w:rPr>
                <w:rFonts w:hint="eastAsia"/>
              </w:rPr>
              <w:t>问题处理结果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tcPr>
          <w:p>
            <w:pPr>
              <w:spacing w:line="360" w:lineRule="auto"/>
            </w:pPr>
            <w:r>
              <w:rPr>
                <w:rFonts w:hint="eastAsia"/>
              </w:rPr>
              <w:t>1</w:t>
            </w:r>
          </w:p>
        </w:tc>
        <w:tc>
          <w:tcPr>
            <w:tcW w:w="1364" w:type="dxa"/>
          </w:tcPr>
          <w:p>
            <w:pPr>
              <w:spacing w:line="360" w:lineRule="auto"/>
            </w:pPr>
          </w:p>
        </w:tc>
        <w:tc>
          <w:tcPr>
            <w:tcW w:w="1842" w:type="dxa"/>
          </w:tcPr>
          <w:p>
            <w:pPr>
              <w:spacing w:line="360" w:lineRule="auto"/>
            </w:pPr>
          </w:p>
        </w:tc>
        <w:tc>
          <w:tcPr>
            <w:tcW w:w="2552" w:type="dxa"/>
          </w:tcPr>
          <w:p>
            <w:pPr>
              <w:spacing w:line="360" w:lineRule="auto"/>
            </w:pPr>
          </w:p>
        </w:tc>
        <w:tc>
          <w:tcPr>
            <w:tcW w:w="1899" w:type="dxa"/>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tcPr>
          <w:p>
            <w:pPr>
              <w:spacing w:line="360" w:lineRule="auto"/>
            </w:pPr>
            <w:r>
              <w:rPr>
                <w:rFonts w:hint="eastAsia"/>
              </w:rPr>
              <w:t>2</w:t>
            </w:r>
          </w:p>
        </w:tc>
        <w:tc>
          <w:tcPr>
            <w:tcW w:w="1364" w:type="dxa"/>
          </w:tcPr>
          <w:p>
            <w:pPr>
              <w:spacing w:line="360" w:lineRule="auto"/>
            </w:pPr>
          </w:p>
        </w:tc>
        <w:tc>
          <w:tcPr>
            <w:tcW w:w="1842" w:type="dxa"/>
          </w:tcPr>
          <w:p>
            <w:pPr>
              <w:spacing w:line="360" w:lineRule="auto"/>
            </w:pPr>
          </w:p>
        </w:tc>
        <w:tc>
          <w:tcPr>
            <w:tcW w:w="2552" w:type="dxa"/>
          </w:tcPr>
          <w:p>
            <w:pPr>
              <w:spacing w:line="360" w:lineRule="auto"/>
            </w:pPr>
          </w:p>
        </w:tc>
        <w:tc>
          <w:tcPr>
            <w:tcW w:w="1899" w:type="dxa"/>
          </w:tcPr>
          <w:p>
            <w:pPr>
              <w:spacing w:line="360" w:lineRule="auto"/>
            </w:pPr>
          </w:p>
        </w:tc>
      </w:tr>
    </w:tbl>
    <w:p>
      <w:pPr>
        <w:spacing w:line="360" w:lineRule="auto"/>
        <w:rPr>
          <w:sz w:val="24"/>
          <w:szCs w:val="24"/>
        </w:rPr>
      </w:pPr>
      <w:r>
        <w:rPr>
          <w:rFonts w:hint="eastAsia"/>
          <w:sz w:val="24"/>
          <w:szCs w:val="24"/>
        </w:rPr>
        <w:t>二、有针对性的培训</w:t>
      </w:r>
    </w:p>
    <w:p>
      <w:pPr>
        <w:spacing w:line="360" w:lineRule="auto"/>
        <w:ind w:firstLine="480" w:firstLineChars="200"/>
        <w:rPr>
          <w:sz w:val="24"/>
          <w:szCs w:val="24"/>
        </w:rPr>
      </w:pPr>
      <w:r>
        <w:rPr>
          <w:rFonts w:hint="eastAsia"/>
          <w:sz w:val="24"/>
          <w:szCs w:val="24"/>
        </w:rPr>
        <w:t>由于本系统涉及到的技术复杂，培训对象覆盖招标方所有相关运维人员和操作人员，针对不同的人员安排不同的培训内容、采取不同的培训计划和培训方式，确保本系统的项目培训因岗而异，确保培训的效果。</w:t>
      </w:r>
    </w:p>
    <w:p>
      <w:pPr>
        <w:spacing w:line="360" w:lineRule="auto"/>
        <w:ind w:firstLine="480" w:firstLineChars="200"/>
        <w:rPr>
          <w:sz w:val="24"/>
          <w:szCs w:val="24"/>
        </w:rPr>
      </w:pPr>
      <w:r>
        <w:rPr>
          <w:rFonts w:hint="eastAsia"/>
          <w:sz w:val="24"/>
          <w:szCs w:val="24"/>
        </w:rPr>
        <w:t>采用面授、</w:t>
      </w:r>
      <w:r>
        <w:rPr>
          <w:rFonts w:hint="eastAsia"/>
          <w:sz w:val="24"/>
          <w:szCs w:val="24"/>
          <w:lang w:eastAsia="zh-CN"/>
        </w:rPr>
        <w:t>远程视频培训</w:t>
      </w:r>
      <w:r>
        <w:rPr>
          <w:rFonts w:hint="eastAsia"/>
          <w:sz w:val="24"/>
          <w:szCs w:val="24"/>
        </w:rPr>
        <w:t>相结合的方式</w:t>
      </w:r>
    </w:p>
    <w:p>
      <w:pPr>
        <w:spacing w:line="360" w:lineRule="auto"/>
        <w:ind w:firstLine="480" w:firstLineChars="200"/>
        <w:rPr>
          <w:sz w:val="24"/>
          <w:szCs w:val="24"/>
        </w:rPr>
      </w:pPr>
      <w:r>
        <w:rPr>
          <w:rFonts w:hint="eastAsia"/>
          <w:sz w:val="24"/>
          <w:szCs w:val="24"/>
        </w:rPr>
        <w:t>为保障培训效果，提高培训质量，我方的培训工作采取面授、</w:t>
      </w:r>
      <w:r>
        <w:rPr>
          <w:rFonts w:hint="eastAsia"/>
          <w:sz w:val="24"/>
          <w:szCs w:val="24"/>
          <w:lang w:eastAsia="zh-CN"/>
        </w:rPr>
        <w:t>远程视频</w:t>
      </w:r>
      <w:r>
        <w:rPr>
          <w:rFonts w:hint="eastAsia"/>
          <w:sz w:val="24"/>
          <w:szCs w:val="24"/>
        </w:rPr>
        <w:t>培训方式相结合。提供多种形式的培训教材和资料</w:t>
      </w:r>
    </w:p>
    <w:p>
      <w:pPr>
        <w:spacing w:line="360" w:lineRule="auto"/>
        <w:ind w:firstLine="480" w:firstLineChars="200"/>
        <w:rPr>
          <w:sz w:val="24"/>
          <w:szCs w:val="24"/>
        </w:rPr>
      </w:pPr>
      <w:r>
        <w:rPr>
          <w:rFonts w:hint="eastAsia"/>
          <w:sz w:val="24"/>
          <w:szCs w:val="24"/>
        </w:rPr>
        <w:t>我方为学员提供多种形式的培训教材，包括：印刷教材、培训PPT、培训视频、电子文档等。</w:t>
      </w:r>
    </w:p>
    <w:p>
      <w:pPr>
        <w:spacing w:line="360" w:lineRule="auto"/>
        <w:ind w:firstLine="480" w:firstLineChars="200"/>
        <w:rPr>
          <w:sz w:val="24"/>
          <w:szCs w:val="24"/>
        </w:rPr>
      </w:pPr>
      <w:r>
        <w:rPr>
          <w:rFonts w:hint="eastAsia"/>
          <w:sz w:val="24"/>
          <w:szCs w:val="24"/>
        </w:rPr>
        <w:t>通过考核验收巩固学习效果</w:t>
      </w:r>
    </w:p>
    <w:p>
      <w:pPr>
        <w:spacing w:line="360" w:lineRule="auto"/>
        <w:ind w:firstLine="480" w:firstLineChars="200"/>
        <w:rPr>
          <w:sz w:val="24"/>
          <w:szCs w:val="24"/>
        </w:rPr>
      </w:pPr>
      <w:r>
        <w:rPr>
          <w:rFonts w:hint="eastAsia"/>
          <w:sz w:val="24"/>
          <w:szCs w:val="24"/>
        </w:rPr>
        <w:t>为加强学员对所学知识的记忆和理解，巩固培训效果，在培训结束后会安排笔试，如果考试不合格将给予重新培训，以保证培训效果和质量。</w:t>
      </w:r>
    </w:p>
    <w:p>
      <w:pPr>
        <w:spacing w:line="360" w:lineRule="auto"/>
        <w:ind w:firstLine="480" w:firstLineChars="200"/>
        <w:rPr>
          <w:sz w:val="24"/>
          <w:szCs w:val="24"/>
        </w:rPr>
      </w:pPr>
      <w:r>
        <w:rPr>
          <w:rFonts w:hint="eastAsia"/>
          <w:sz w:val="24"/>
          <w:szCs w:val="24"/>
        </w:rPr>
        <w:t>三、对培训效果全面评价</w:t>
      </w:r>
    </w:p>
    <w:p>
      <w:pPr>
        <w:spacing w:line="360" w:lineRule="auto"/>
        <w:ind w:firstLine="480" w:firstLineChars="200"/>
        <w:rPr>
          <w:sz w:val="24"/>
          <w:szCs w:val="24"/>
        </w:rPr>
      </w:pPr>
      <w:r>
        <w:rPr>
          <w:rFonts w:hint="eastAsia"/>
          <w:sz w:val="24"/>
          <w:szCs w:val="24"/>
        </w:rPr>
        <w:t>培训工作完成后，对整个培训工作的各个方面进行全面总结，通过培训满意度调查、培训学员回访等形式对培训效果进行了解，结合相关的质量记录，对培训效果进行全面评价，保障培训质量达到相关要求。</w:t>
      </w:r>
    </w:p>
    <w:p>
      <w:pPr>
        <w:spacing w:line="360" w:lineRule="auto"/>
        <w:ind w:firstLine="480" w:firstLineChars="200"/>
        <w:rPr>
          <w:sz w:val="24"/>
          <w:szCs w:val="24"/>
        </w:rPr>
      </w:pPr>
      <w:r>
        <w:rPr>
          <w:rFonts w:hint="eastAsia"/>
          <w:sz w:val="24"/>
          <w:szCs w:val="24"/>
        </w:rPr>
        <w:t>四、对培训过程持续改进</w:t>
      </w:r>
    </w:p>
    <w:p>
      <w:pPr>
        <w:spacing w:line="360" w:lineRule="auto"/>
        <w:ind w:firstLine="480" w:firstLineChars="200"/>
        <w:rPr>
          <w:sz w:val="24"/>
          <w:szCs w:val="24"/>
        </w:rPr>
      </w:pPr>
      <w:r>
        <w:rPr>
          <w:rFonts w:hint="eastAsia"/>
          <w:sz w:val="24"/>
          <w:szCs w:val="24"/>
        </w:rPr>
        <w:t>培训结束后，结合培训过程中的相关记录，以及对培训效果的评价情况，对培训过程中存在的不足进行改进和完善，为后面的培训工作积累经验，保障培训效果。</w:t>
      </w:r>
    </w:p>
    <w:p>
      <w:pPr>
        <w:spacing w:line="360" w:lineRule="auto"/>
        <w:ind w:firstLine="480" w:firstLineChars="200"/>
        <w:rPr>
          <w:sz w:val="24"/>
          <w:szCs w:val="24"/>
        </w:rPr>
      </w:pPr>
      <w:r>
        <w:rPr>
          <w:rFonts w:hint="eastAsia"/>
          <w:sz w:val="24"/>
          <w:szCs w:val="24"/>
          <w:lang w:eastAsia="zh-CN"/>
        </w:rPr>
        <w:t>五</w:t>
      </w:r>
      <w:r>
        <w:rPr>
          <w:rFonts w:hint="eastAsia"/>
          <w:sz w:val="24"/>
          <w:szCs w:val="24"/>
        </w:rPr>
        <w:t>、培训过程质量保障</w:t>
      </w:r>
    </w:p>
    <w:p>
      <w:pPr>
        <w:spacing w:line="360" w:lineRule="auto"/>
        <w:ind w:firstLine="480" w:firstLineChars="200"/>
        <w:rPr>
          <w:sz w:val="24"/>
          <w:szCs w:val="24"/>
        </w:rPr>
      </w:pPr>
      <w:r>
        <w:rPr>
          <w:rFonts w:hint="eastAsia"/>
          <w:sz w:val="24"/>
          <w:szCs w:val="24"/>
        </w:rPr>
        <w:t>1、制定培训计划</w:t>
      </w:r>
    </w:p>
    <w:p>
      <w:pPr>
        <w:spacing w:line="360" w:lineRule="auto"/>
        <w:ind w:firstLine="480" w:firstLineChars="200"/>
        <w:rPr>
          <w:sz w:val="24"/>
          <w:szCs w:val="24"/>
        </w:rPr>
      </w:pPr>
      <w:r>
        <w:rPr>
          <w:rFonts w:hint="eastAsia"/>
          <w:sz w:val="24"/>
          <w:szCs w:val="24"/>
        </w:rPr>
        <w:t>我方对培训流程进行严格管理。按照项目总体实施进度的要求开始项目培训工作。我方负责制定详细的培训实施计划，并提交给招标方的培训负责人进行审批，审批通过后，立即开始培训的准备工作。</w:t>
      </w:r>
    </w:p>
    <w:p>
      <w:pPr>
        <w:spacing w:line="360" w:lineRule="auto"/>
        <w:ind w:firstLine="480" w:firstLineChars="200"/>
        <w:rPr>
          <w:sz w:val="24"/>
          <w:szCs w:val="24"/>
        </w:rPr>
      </w:pPr>
      <w:r>
        <w:rPr>
          <w:rFonts w:hint="eastAsia"/>
          <w:sz w:val="24"/>
          <w:szCs w:val="24"/>
        </w:rPr>
        <w:t>2、编写培训教材</w:t>
      </w:r>
    </w:p>
    <w:p>
      <w:pPr>
        <w:spacing w:line="360" w:lineRule="auto"/>
        <w:ind w:firstLine="480" w:firstLineChars="200"/>
        <w:rPr>
          <w:sz w:val="24"/>
          <w:szCs w:val="24"/>
        </w:rPr>
      </w:pPr>
      <w:r>
        <w:rPr>
          <w:rFonts w:hint="eastAsia"/>
          <w:sz w:val="24"/>
          <w:szCs w:val="24"/>
        </w:rPr>
        <w:t>将根据用户培训需求，确定培训技术范围并制定教材的大纲，然后</w:t>
      </w:r>
      <w:r>
        <w:rPr>
          <w:rFonts w:hint="eastAsia"/>
          <w:sz w:val="24"/>
          <w:szCs w:val="24"/>
          <w:lang w:eastAsia="zh-CN"/>
        </w:rPr>
        <w:t>按</w:t>
      </w:r>
      <w:r>
        <w:rPr>
          <w:rFonts w:hint="eastAsia"/>
          <w:sz w:val="24"/>
          <w:szCs w:val="24"/>
        </w:rPr>
        <w:t>《资料编写及印刷工作规范》进行培训教材的编写和印刷工作，编写后的培训教材经项目组和招标方审批通过后作为最终的培训用教材进行印刷。</w:t>
      </w:r>
    </w:p>
    <w:p>
      <w:pPr>
        <w:spacing w:line="360" w:lineRule="auto"/>
        <w:ind w:firstLine="480" w:firstLineChars="200"/>
        <w:rPr>
          <w:sz w:val="24"/>
          <w:szCs w:val="24"/>
        </w:rPr>
      </w:pPr>
      <w:r>
        <w:rPr>
          <w:rFonts w:hint="eastAsia"/>
          <w:sz w:val="24"/>
          <w:szCs w:val="24"/>
        </w:rPr>
        <w:t>3、发放培训通知</w:t>
      </w:r>
    </w:p>
    <w:p>
      <w:pPr>
        <w:spacing w:line="360" w:lineRule="auto"/>
        <w:ind w:firstLine="480" w:firstLineChars="200"/>
        <w:rPr>
          <w:sz w:val="24"/>
          <w:szCs w:val="24"/>
        </w:rPr>
      </w:pPr>
      <w:r>
        <w:rPr>
          <w:rFonts w:hint="eastAsia"/>
          <w:sz w:val="24"/>
          <w:szCs w:val="24"/>
        </w:rPr>
        <w:t>我方根据培训实施计划，提前将培训通知和培训教材提交给招标方培训负责人。招标方负责对需要参加培训的人员发放培训通知。</w:t>
      </w:r>
    </w:p>
    <w:p>
      <w:pPr>
        <w:spacing w:line="360" w:lineRule="auto"/>
        <w:ind w:firstLine="480" w:firstLineChars="200"/>
        <w:rPr>
          <w:sz w:val="24"/>
          <w:szCs w:val="24"/>
        </w:rPr>
      </w:pPr>
      <w:r>
        <w:rPr>
          <w:rFonts w:hint="eastAsia"/>
          <w:sz w:val="24"/>
          <w:szCs w:val="24"/>
        </w:rPr>
        <w:t>4、培训准备</w:t>
      </w:r>
    </w:p>
    <w:p>
      <w:pPr>
        <w:spacing w:line="360" w:lineRule="auto"/>
        <w:ind w:firstLine="480" w:firstLineChars="200"/>
        <w:rPr>
          <w:sz w:val="24"/>
          <w:szCs w:val="24"/>
        </w:rPr>
      </w:pPr>
      <w:r>
        <w:rPr>
          <w:rFonts w:hint="eastAsia"/>
          <w:sz w:val="24"/>
          <w:szCs w:val="24"/>
        </w:rPr>
        <w:t>之后进行培训资源的准备，包括培训场地、培训环境、培训师资的准备，培训师资是根据不同的培训课程选派相应的培训讲师。为确保试讲的质量，有效实施改进，培训试讲应在实施培训前5个工作日提出申请。</w:t>
      </w:r>
    </w:p>
    <w:p>
      <w:pPr>
        <w:spacing w:line="360" w:lineRule="auto"/>
        <w:ind w:firstLine="480" w:firstLineChars="200"/>
        <w:rPr>
          <w:sz w:val="24"/>
          <w:szCs w:val="24"/>
        </w:rPr>
      </w:pPr>
      <w:r>
        <w:rPr>
          <w:rFonts w:hint="eastAsia"/>
          <w:sz w:val="24"/>
          <w:szCs w:val="24"/>
        </w:rPr>
        <w:t>5、培训实施</w:t>
      </w:r>
      <w:r>
        <w:rPr>
          <w:sz w:val="24"/>
          <w:szCs w:val="24"/>
        </w:rPr>
        <w:tab/>
      </w:r>
    </w:p>
    <w:p>
      <w:pPr>
        <w:spacing w:line="360" w:lineRule="auto"/>
        <w:ind w:firstLine="480" w:firstLineChars="200"/>
        <w:rPr>
          <w:sz w:val="24"/>
          <w:szCs w:val="24"/>
        </w:rPr>
      </w:pPr>
      <w:r>
        <w:rPr>
          <w:rFonts w:hint="eastAsia"/>
          <w:sz w:val="24"/>
          <w:szCs w:val="24"/>
        </w:rPr>
        <w:t>在培训开始时，由每期培训班的课堂负责人，负责考勤及活动组织。要求每天的上午、下午正式上课时需要签到，负责人需要对培训进展情况进行记录，登记到培训记录表中。</w:t>
      </w:r>
    </w:p>
    <w:p>
      <w:pPr>
        <w:spacing w:line="360" w:lineRule="auto"/>
        <w:ind w:firstLine="480" w:firstLineChars="200"/>
        <w:rPr>
          <w:sz w:val="24"/>
          <w:szCs w:val="24"/>
        </w:rPr>
      </w:pPr>
      <w:r>
        <w:rPr>
          <w:rFonts w:hint="eastAsia"/>
          <w:sz w:val="24"/>
          <w:szCs w:val="24"/>
        </w:rPr>
        <w:t>在培训的过程中，培训讲师会根据课程表的安排进行讲解。讲课老师及辅导老师每天把培训人员的疑问进行记录，汇总并提炼后形成问题集锦，在培训结束时发放给每一位培训人员。</w:t>
      </w:r>
    </w:p>
    <w:p>
      <w:pPr>
        <w:spacing w:line="360" w:lineRule="auto"/>
        <w:ind w:firstLine="480" w:firstLineChars="200"/>
        <w:rPr>
          <w:sz w:val="24"/>
          <w:szCs w:val="24"/>
        </w:rPr>
      </w:pPr>
      <w:r>
        <w:rPr>
          <w:rFonts w:hint="eastAsia"/>
          <w:sz w:val="24"/>
          <w:szCs w:val="24"/>
        </w:rPr>
        <w:t>6、培训考核与评估</w:t>
      </w:r>
    </w:p>
    <w:p>
      <w:pPr>
        <w:spacing w:line="360" w:lineRule="auto"/>
        <w:ind w:firstLine="480" w:firstLineChars="200"/>
        <w:rPr>
          <w:sz w:val="24"/>
          <w:szCs w:val="24"/>
        </w:rPr>
      </w:pPr>
      <w:r>
        <w:rPr>
          <w:rFonts w:hint="eastAsia"/>
          <w:sz w:val="24"/>
          <w:szCs w:val="24"/>
        </w:rPr>
        <w:t>培训结束后，需要对培训效果进行及时评估，以检验培训目标是否实现。</w:t>
      </w:r>
      <w:r>
        <w:rPr>
          <w:rFonts w:hint="eastAsia"/>
          <w:sz w:val="24"/>
          <w:szCs w:val="24"/>
          <w:lang w:eastAsia="zh-CN"/>
        </w:rPr>
        <w:t>**公司</w:t>
      </w:r>
      <w:r>
        <w:rPr>
          <w:rFonts w:hint="eastAsia"/>
          <w:sz w:val="24"/>
          <w:szCs w:val="24"/>
        </w:rPr>
        <w:t>将严格按照公司质量体系规范，采用调查、考核、反馈等多种手段结合的方式，对培训过程进行评估，保证培训成果。</w:t>
      </w:r>
    </w:p>
    <w:p>
      <w:pPr>
        <w:spacing w:line="360" w:lineRule="auto"/>
        <w:ind w:firstLine="480" w:firstLineChars="200"/>
        <w:rPr>
          <w:sz w:val="24"/>
          <w:szCs w:val="24"/>
        </w:rPr>
      </w:pPr>
      <w:r>
        <w:rPr>
          <w:rFonts w:hint="eastAsia"/>
          <w:sz w:val="24"/>
          <w:szCs w:val="24"/>
        </w:rPr>
        <w:t>培训考核与评估主要分为两方面：一方面是通过考试的方式，对培训对象进行考核，检验每个学员的培训情况；另一方面对培训效果进行评估，包括培训内容、培训讲师、培训环境、培训组织的评估，通过对学员收集培训效果评估表的方式汇总。</w:t>
      </w:r>
    </w:p>
    <w:p>
      <w:pPr>
        <w:spacing w:line="360" w:lineRule="auto"/>
        <w:ind w:firstLine="480" w:firstLineChars="200"/>
        <w:rPr>
          <w:sz w:val="24"/>
          <w:szCs w:val="24"/>
        </w:rPr>
      </w:pPr>
      <w:r>
        <w:rPr>
          <w:rFonts w:hint="eastAsia"/>
          <w:sz w:val="24"/>
          <w:szCs w:val="24"/>
        </w:rPr>
        <w:t>7、培训总结</w:t>
      </w:r>
    </w:p>
    <w:p>
      <w:pPr>
        <w:spacing w:line="360" w:lineRule="auto"/>
        <w:ind w:firstLine="480" w:firstLineChars="200"/>
        <w:rPr>
          <w:sz w:val="24"/>
          <w:szCs w:val="24"/>
        </w:rPr>
      </w:pPr>
      <w:r>
        <w:rPr>
          <w:rFonts w:hint="eastAsia"/>
          <w:sz w:val="24"/>
          <w:szCs w:val="24"/>
        </w:rPr>
        <w:t>每期培训结束后，培训负责人需将培训工作进行总结，形成当期培训工作总结报告，报告内容主要包括对培训课程、培训参加人员、培训的效果、培训计划的执行情况等进行总结和分析，并对培训工作的改进和调整提出相应的建议。</w:t>
      </w:r>
    </w:p>
    <w:p>
      <w:pPr>
        <w:spacing w:line="360" w:lineRule="auto"/>
        <w:ind w:firstLine="480" w:firstLineChars="200"/>
        <w:rPr>
          <w:sz w:val="24"/>
          <w:szCs w:val="24"/>
        </w:rPr>
      </w:pPr>
      <w:r>
        <w:rPr>
          <w:rFonts w:hint="eastAsia"/>
          <w:sz w:val="24"/>
          <w:szCs w:val="24"/>
        </w:rPr>
        <w:t>8、培训资产管理</w:t>
      </w:r>
    </w:p>
    <w:p>
      <w:pPr>
        <w:spacing w:line="360" w:lineRule="auto"/>
        <w:ind w:firstLine="480" w:firstLineChars="200"/>
        <w:rPr>
          <w:sz w:val="24"/>
          <w:szCs w:val="24"/>
        </w:rPr>
      </w:pPr>
      <w:r>
        <w:rPr>
          <w:rFonts w:hint="eastAsia"/>
          <w:sz w:val="24"/>
          <w:szCs w:val="24"/>
        </w:rPr>
        <w:t>每期培训后，将培训过程中产生的文档等相关资产都存放在项目组的培训库，以便进行重复使用，一般由项目组的配置管理员保存在项目组的配置库中，等项目结束后统一提交给客户，作为客户的培训资产。</w:t>
      </w:r>
    </w:p>
    <w:p>
      <w:pPr>
        <w:spacing w:line="360" w:lineRule="auto"/>
        <w:ind w:firstLine="480" w:firstLineChars="200"/>
        <w:rPr>
          <w:sz w:val="24"/>
          <w:szCs w:val="24"/>
        </w:rPr>
      </w:pPr>
      <w:r>
        <w:rPr>
          <w:rFonts w:hint="eastAsia"/>
          <w:sz w:val="24"/>
          <w:szCs w:val="24"/>
        </w:rPr>
        <w:t>培训资源质量保障</w:t>
      </w:r>
    </w:p>
    <w:p>
      <w:pPr>
        <w:spacing w:line="360" w:lineRule="auto"/>
        <w:ind w:firstLine="480" w:firstLineChars="200"/>
        <w:rPr>
          <w:sz w:val="24"/>
          <w:szCs w:val="24"/>
        </w:rPr>
      </w:pPr>
      <w:r>
        <w:rPr>
          <w:rFonts w:hint="eastAsia"/>
          <w:sz w:val="24"/>
          <w:szCs w:val="24"/>
        </w:rPr>
        <w:t>9、培训质量验证</w:t>
      </w:r>
    </w:p>
    <w:p>
      <w:pPr>
        <w:spacing w:line="360" w:lineRule="auto"/>
        <w:ind w:firstLine="480" w:firstLineChars="200"/>
        <w:rPr>
          <w:sz w:val="24"/>
          <w:szCs w:val="24"/>
        </w:rPr>
      </w:pPr>
      <w:r>
        <w:rPr>
          <w:rFonts w:hint="eastAsia"/>
          <w:sz w:val="24"/>
          <w:szCs w:val="24"/>
        </w:rPr>
        <w:t>考试验证</w:t>
      </w:r>
    </w:p>
    <w:p>
      <w:pPr>
        <w:spacing w:line="360" w:lineRule="auto"/>
        <w:ind w:firstLine="480" w:firstLineChars="200"/>
        <w:rPr>
          <w:sz w:val="24"/>
          <w:szCs w:val="24"/>
        </w:rPr>
      </w:pPr>
      <w:r>
        <w:rPr>
          <w:rFonts w:hint="eastAsia"/>
          <w:sz w:val="24"/>
          <w:szCs w:val="24"/>
        </w:rPr>
        <w:t>每期培训结束，由招标方、中标人双方共同组织对学员的考试，考题均由双方业务和技术专家确认，达到与实际工作需要相当的水平。考试合格率应达到100%，如不能达到100%则对不合格学员经过重新培训使之很快达到相应水准。</w:t>
      </w:r>
    </w:p>
    <w:p>
      <w:pPr>
        <w:spacing w:line="360" w:lineRule="auto"/>
        <w:ind w:firstLine="480" w:firstLineChars="200"/>
        <w:rPr>
          <w:sz w:val="24"/>
          <w:szCs w:val="24"/>
        </w:rPr>
      </w:pPr>
      <w:r>
        <w:rPr>
          <w:rFonts w:hint="eastAsia"/>
          <w:sz w:val="24"/>
          <w:szCs w:val="24"/>
        </w:rPr>
        <w:t>管理监督验证</w:t>
      </w:r>
    </w:p>
    <w:p>
      <w:pPr>
        <w:spacing w:line="360" w:lineRule="auto"/>
        <w:ind w:firstLine="480" w:firstLineChars="200"/>
        <w:rPr>
          <w:sz w:val="24"/>
          <w:szCs w:val="24"/>
        </w:rPr>
      </w:pPr>
      <w:r>
        <w:rPr>
          <w:rFonts w:hint="eastAsia"/>
          <w:sz w:val="24"/>
          <w:szCs w:val="24"/>
        </w:rPr>
        <w:t>双方项目经理和质量管理人员可随时对培训工作进展、培训教材、场地环境、管理文档、学员满意度进行抽查，以验证培训质量是否到达预期的水准。如有偏差及时调整后续培训方案。</w:t>
      </w:r>
    </w:p>
    <w:p>
      <w:pPr>
        <w:spacing w:line="360" w:lineRule="auto"/>
        <w:ind w:firstLine="480" w:firstLineChars="200"/>
        <w:rPr>
          <w:sz w:val="24"/>
          <w:szCs w:val="24"/>
        </w:rPr>
      </w:pPr>
      <w:r>
        <w:rPr>
          <w:rFonts w:hint="eastAsia"/>
          <w:sz w:val="24"/>
          <w:szCs w:val="24"/>
        </w:rPr>
        <w:t>反馈验证</w:t>
      </w:r>
    </w:p>
    <w:p>
      <w:pPr>
        <w:spacing w:line="360" w:lineRule="auto"/>
      </w:pPr>
      <w:r>
        <w:rPr>
          <w:rFonts w:hint="eastAsia"/>
          <w:sz w:val="24"/>
          <w:szCs w:val="24"/>
        </w:rPr>
        <w:t>根据学员满意度调查和学员参与实际管理运维工作以后的实际工作情况和运维问题处理情况来验证培训质量是否达到预期水准。如有欠缺，则在售后阶段可再组织必要的培训。</w:t>
      </w:r>
    </w:p>
    <w:p>
      <w:pPr>
        <w:pStyle w:val="2"/>
        <w:pageBreakBefore/>
        <w:numPr>
          <w:ilvl w:val="0"/>
          <w:numId w:val="3"/>
        </w:numPr>
        <w:spacing w:before="0" w:after="0" w:line="360" w:lineRule="auto"/>
        <w:ind w:left="0" w:leftChars="0" w:firstLine="402" w:firstLineChars="0"/>
      </w:pPr>
      <w:r>
        <w:rPr>
          <w:rFonts w:hint="eastAsia"/>
        </w:rPr>
        <w:t xml:space="preserve"> </w:t>
      </w:r>
      <w:bookmarkStart w:id="460" w:name="_Toc18709"/>
      <w:r>
        <w:rPr>
          <w:rFonts w:hint="eastAsia"/>
        </w:rPr>
        <w:t>项目测试与验收方案</w:t>
      </w:r>
      <w:bookmarkEnd w:id="460"/>
    </w:p>
    <w:p>
      <w:pPr>
        <w:pStyle w:val="3"/>
        <w:numPr>
          <w:ilvl w:val="1"/>
          <w:numId w:val="3"/>
        </w:numPr>
        <w:spacing w:before="0" w:after="0" w:line="360" w:lineRule="auto"/>
        <w:ind w:left="0" w:leftChars="0" w:firstLine="402" w:firstLineChars="0"/>
      </w:pPr>
      <w:bookmarkStart w:id="461" w:name="_Toc19090"/>
      <w:r>
        <w:rPr>
          <w:rFonts w:hint="eastAsia"/>
        </w:rPr>
        <w:t>系统测试</w:t>
      </w:r>
      <w:bookmarkEnd w:id="461"/>
    </w:p>
    <w:p>
      <w:pPr>
        <w:pStyle w:val="4"/>
        <w:numPr>
          <w:ilvl w:val="2"/>
          <w:numId w:val="3"/>
        </w:numPr>
        <w:spacing w:before="0" w:after="0" w:line="360" w:lineRule="auto"/>
        <w:ind w:left="0" w:leftChars="0" w:firstLine="402" w:firstLineChars="0"/>
      </w:pPr>
      <w:bookmarkStart w:id="462" w:name="_Toc24179"/>
      <w:r>
        <w:rPr>
          <w:rFonts w:hint="eastAsia"/>
        </w:rPr>
        <w:t>整体要求</w:t>
      </w:r>
      <w:bookmarkEnd w:id="462"/>
    </w:p>
    <w:p>
      <w:pPr>
        <w:spacing w:line="360" w:lineRule="auto"/>
        <w:ind w:firstLine="480" w:firstLineChars="200"/>
        <w:rPr>
          <w:sz w:val="24"/>
          <w:szCs w:val="24"/>
        </w:rPr>
      </w:pPr>
      <w:r>
        <w:rPr>
          <w:rFonts w:hint="eastAsia"/>
          <w:sz w:val="24"/>
          <w:szCs w:val="24"/>
        </w:rPr>
        <w:t>本项目测试全面实施标准和规范化流程。</w:t>
      </w:r>
      <w:r>
        <w:rPr>
          <w:rFonts w:hint="eastAsia"/>
          <w:sz w:val="24"/>
          <w:szCs w:val="24"/>
          <w:lang w:eastAsia="zh-CN"/>
        </w:rPr>
        <w:t>**信息</w:t>
      </w:r>
      <w:r>
        <w:rPr>
          <w:rFonts w:hint="eastAsia"/>
          <w:sz w:val="24"/>
          <w:szCs w:val="24"/>
        </w:rPr>
        <w:t>将按照招标方国税总局要求完成全部业务需求、技术要求和各种类型测试的测试案例编写和实际数据采集工作。所有测试均以客观的测试案例和测试数据为准，不以个人主观判断作为测试标准。项目测试拟按GB/T 15532-2008《计算机软件测试规范》和GB/T 9386-2008《计算机软件测试文档编制规范》的指导进行软件检查、测试和文档的整理报送，</w:t>
      </w:r>
      <w:r>
        <w:rPr>
          <w:rFonts w:hint="eastAsia"/>
          <w:sz w:val="24"/>
          <w:szCs w:val="24"/>
          <w:lang w:eastAsia="zh-CN"/>
        </w:rPr>
        <w:t>**信息</w:t>
      </w:r>
      <w:r>
        <w:rPr>
          <w:rFonts w:hint="eastAsia"/>
          <w:sz w:val="24"/>
          <w:szCs w:val="24"/>
        </w:rPr>
        <w:t>将保证对测试错误和缺陷进行及时修正和补充。</w:t>
      </w:r>
    </w:p>
    <w:p>
      <w:pPr>
        <w:spacing w:line="360" w:lineRule="auto"/>
        <w:ind w:firstLine="480" w:firstLineChars="200"/>
        <w:rPr>
          <w:sz w:val="24"/>
          <w:szCs w:val="24"/>
        </w:rPr>
      </w:pPr>
      <w:r>
        <w:rPr>
          <w:rFonts w:hint="eastAsia"/>
          <w:sz w:val="24"/>
          <w:szCs w:val="24"/>
        </w:rPr>
        <w:t>《计算机软件测试规范》中严格定义了计算机软件生存周期内各类软件产品的基本测试方法、过程和准则，适用于软件生存周期全过程。本项目在全体测试过程阶段均参照规范要求，采用测试策划、测试设计、测试执行、测试总结的过程实施。</w:t>
      </w:r>
    </w:p>
    <w:p>
      <w:pPr>
        <w:spacing w:line="360" w:lineRule="auto"/>
        <w:ind w:firstLine="480" w:firstLineChars="200"/>
        <w:rPr>
          <w:sz w:val="24"/>
          <w:szCs w:val="24"/>
        </w:rPr>
      </w:pPr>
      <w:r>
        <w:rPr>
          <w:rFonts w:hint="eastAsia"/>
          <w:sz w:val="24"/>
          <w:szCs w:val="24"/>
        </w:rPr>
        <w:t>《计算机软件测试文档编制规范》中规定了测试期间各个测试文档的格式和内容，主要涉及测试计划、测试说明和测试报告等，用标准化的参照体系提高测试过程每个阶段的可视性，提高测试工作的可管理性。本项目各相关文档均按照规范要求呈交至招标方。</w:t>
      </w:r>
    </w:p>
    <w:p>
      <w:pPr>
        <w:spacing w:line="360" w:lineRule="auto"/>
        <w:ind w:firstLine="480" w:firstLineChars="200"/>
        <w:rPr>
          <w:sz w:val="24"/>
          <w:szCs w:val="24"/>
        </w:rPr>
      </w:pPr>
      <w:r>
        <w:rPr>
          <w:rFonts w:hint="eastAsia"/>
          <w:sz w:val="24"/>
          <w:szCs w:val="24"/>
          <w:lang w:eastAsia="zh-CN"/>
        </w:rPr>
        <w:t>**信息</w:t>
      </w:r>
      <w:r>
        <w:rPr>
          <w:rFonts w:hint="eastAsia"/>
          <w:sz w:val="24"/>
          <w:szCs w:val="24"/>
        </w:rPr>
        <w:t>将按照招标方要求，对整个测试过程划分为实验室环境确认测试、用户方测试环境系统测试、实际环境验收测试三个部分，并对软件测试过程中的典型性问题、常见性问题和重要性问题纳入测试知识库管理。</w:t>
      </w:r>
    </w:p>
    <w:p>
      <w:pPr>
        <w:spacing w:line="360" w:lineRule="auto"/>
        <w:ind w:firstLine="480" w:firstLineChars="200"/>
        <w:rPr>
          <w:sz w:val="24"/>
          <w:szCs w:val="24"/>
        </w:rPr>
      </w:pPr>
      <w:r>
        <w:rPr>
          <w:rFonts w:hint="eastAsia"/>
          <w:sz w:val="24"/>
          <w:szCs w:val="24"/>
          <w:lang w:eastAsia="zh-CN"/>
        </w:rPr>
        <w:t>**信息</w:t>
      </w:r>
      <w:r>
        <w:rPr>
          <w:rFonts w:hint="eastAsia"/>
          <w:sz w:val="24"/>
          <w:szCs w:val="24"/>
        </w:rPr>
        <w:t>在对产品的测试过程中，自行准备测试所需工具，招标方不需对此付费。</w:t>
      </w:r>
    </w:p>
    <w:p>
      <w:pPr>
        <w:spacing w:line="360" w:lineRule="auto"/>
        <w:ind w:firstLine="480" w:firstLineChars="200"/>
        <w:rPr>
          <w:sz w:val="24"/>
          <w:szCs w:val="24"/>
        </w:rPr>
      </w:pPr>
      <w:r>
        <w:rPr>
          <w:rFonts w:hint="eastAsia"/>
          <w:sz w:val="24"/>
          <w:szCs w:val="24"/>
        </w:rPr>
        <w:t>如招标方委托第三方测试机构进行测试，</w:t>
      </w:r>
      <w:r>
        <w:rPr>
          <w:rFonts w:hint="eastAsia"/>
          <w:sz w:val="24"/>
          <w:szCs w:val="24"/>
          <w:lang w:eastAsia="zh-CN"/>
        </w:rPr>
        <w:t>**信息</w:t>
      </w:r>
      <w:r>
        <w:rPr>
          <w:rFonts w:hint="eastAsia"/>
          <w:sz w:val="24"/>
          <w:szCs w:val="24"/>
        </w:rPr>
        <w:t>将按招标方要求提供相关资料。</w:t>
      </w:r>
    </w:p>
    <w:p>
      <w:pPr>
        <w:spacing w:line="360" w:lineRule="auto"/>
        <w:ind w:firstLine="480" w:firstLineChars="200"/>
        <w:rPr>
          <w:sz w:val="24"/>
          <w:szCs w:val="24"/>
        </w:rPr>
      </w:pPr>
      <w:r>
        <w:rPr>
          <w:rFonts w:hint="eastAsia"/>
          <w:sz w:val="24"/>
          <w:szCs w:val="24"/>
        </w:rPr>
        <w:t>本测试方案中总体要求部分将对测试过程、测试质量、测试类型、测试质量等方面的要求展开说明。</w:t>
      </w:r>
    </w:p>
    <w:p>
      <w:pPr>
        <w:spacing w:line="360" w:lineRule="auto"/>
      </w:pPr>
    </w:p>
    <w:p>
      <w:pPr>
        <w:pStyle w:val="4"/>
        <w:numPr>
          <w:ilvl w:val="2"/>
          <w:numId w:val="3"/>
        </w:numPr>
        <w:spacing w:before="0" w:after="0" w:line="360" w:lineRule="auto"/>
        <w:ind w:left="0" w:leftChars="0" w:firstLine="402" w:firstLineChars="0"/>
      </w:pPr>
      <w:bookmarkStart w:id="463" w:name="_Toc16820"/>
      <w:r>
        <w:rPr>
          <w:rFonts w:hint="eastAsia"/>
        </w:rPr>
        <w:t>测试过程要求响应</w:t>
      </w:r>
      <w:bookmarkEnd w:id="463"/>
    </w:p>
    <w:p>
      <w:pPr>
        <w:pStyle w:val="5"/>
        <w:numPr>
          <w:ilvl w:val="3"/>
          <w:numId w:val="3"/>
        </w:numPr>
        <w:spacing w:before="0" w:after="0" w:line="360" w:lineRule="auto"/>
        <w:ind w:left="0" w:leftChars="0" w:firstLine="402" w:firstLineChars="0"/>
      </w:pPr>
      <w:bookmarkStart w:id="464" w:name="_Toc17267"/>
      <w:r>
        <w:rPr>
          <w:rFonts w:hint="eastAsia"/>
        </w:rPr>
        <w:t>需求分析阶段</w:t>
      </w:r>
      <w:bookmarkEnd w:id="464"/>
    </w:p>
    <w:p>
      <w:pPr>
        <w:spacing w:line="360" w:lineRule="auto"/>
        <w:ind w:firstLine="480" w:firstLineChars="200"/>
        <w:rPr>
          <w:sz w:val="24"/>
          <w:szCs w:val="24"/>
        </w:rPr>
      </w:pPr>
      <w:r>
        <w:rPr>
          <w:rFonts w:hint="eastAsia"/>
          <w:sz w:val="24"/>
          <w:szCs w:val="24"/>
        </w:rPr>
        <w:t>为了避免在需求分析阶段可能出现的对招标方业务需求理解不全面、不准确，进而造成后期系统存在重大隐患，工程返工或延期的情况发生，本项目需求分析阶段的评测将采用循环迭代的方式，由局部到整体逐步进行，贯穿整个需求分析阶段。通过检查，验证需求是否具备适宜性、充分性、正确性的要求，及时发现需求存在的问题。评测前从用户使用的角度出发，分析可能存在的场景，形成测试需求清单，进而根据测试需求清单制定评测内容、评测环境、数据要求、评测范围、评测工具与方法、完成准则等内容，形成《需求规格说明书评测方案》提交至招标方确认。</w:t>
      </w:r>
    </w:p>
    <w:p>
      <w:pPr>
        <w:spacing w:line="360" w:lineRule="auto"/>
        <w:ind w:firstLine="480" w:firstLineChars="200"/>
        <w:rPr>
          <w:sz w:val="24"/>
          <w:szCs w:val="24"/>
        </w:rPr>
      </w:pPr>
      <w:r>
        <w:rPr>
          <w:rFonts w:hint="eastAsia"/>
          <w:sz w:val="24"/>
          <w:szCs w:val="24"/>
        </w:rPr>
        <w:t>需求分析阶段评测的工作重点为</w:t>
      </w:r>
      <w:r>
        <w:rPr>
          <w:rFonts w:hint="eastAsia"/>
          <w:sz w:val="24"/>
          <w:szCs w:val="24"/>
          <w:lang w:eastAsia="zh-CN"/>
        </w:rPr>
        <w:t>**信息</w:t>
      </w:r>
      <w:r>
        <w:rPr>
          <w:rFonts w:hint="eastAsia"/>
          <w:sz w:val="24"/>
          <w:szCs w:val="24"/>
        </w:rPr>
        <w:t>项目评审委员会会同本方测试单位、本方系统分析人员、设计人员一起对需求说明书内容进行内部审查，并协助招标方完成需求规格说明书的评审确认。最终形成《需求规格说明书评测意见》及相关文档、会议纪要等，以专题报告的形式提交招标方及开发单位测试配置库。</w:t>
      </w:r>
    </w:p>
    <w:p>
      <w:pPr>
        <w:spacing w:line="360" w:lineRule="auto"/>
      </w:pPr>
    </w:p>
    <w:p>
      <w:pPr>
        <w:pStyle w:val="5"/>
        <w:numPr>
          <w:ilvl w:val="3"/>
          <w:numId w:val="3"/>
        </w:numPr>
        <w:spacing w:before="0" w:after="0" w:line="360" w:lineRule="auto"/>
        <w:ind w:left="0" w:leftChars="0" w:firstLine="402" w:firstLineChars="0"/>
      </w:pPr>
      <w:bookmarkStart w:id="465" w:name="_Toc25373"/>
      <w:r>
        <w:rPr>
          <w:rFonts w:hint="eastAsia"/>
        </w:rPr>
        <w:t>概要设计阶段</w:t>
      </w:r>
      <w:bookmarkEnd w:id="465"/>
    </w:p>
    <w:p>
      <w:pPr>
        <w:spacing w:line="360" w:lineRule="auto"/>
        <w:ind w:firstLine="480" w:firstLineChars="200"/>
        <w:rPr>
          <w:sz w:val="24"/>
          <w:szCs w:val="24"/>
        </w:rPr>
      </w:pPr>
      <w:r>
        <w:rPr>
          <w:rFonts w:hint="eastAsia"/>
          <w:sz w:val="24"/>
          <w:szCs w:val="24"/>
        </w:rPr>
        <w:t>概要设计阶段的评测工作在《需求规格说明书》由招标方认可后即展开，由</w:t>
      </w:r>
      <w:r>
        <w:rPr>
          <w:rFonts w:hint="eastAsia"/>
          <w:sz w:val="24"/>
          <w:szCs w:val="24"/>
          <w:lang w:eastAsia="zh-CN"/>
        </w:rPr>
        <w:t>**信息</w:t>
      </w:r>
      <w:r>
        <w:rPr>
          <w:rFonts w:hint="eastAsia"/>
          <w:sz w:val="24"/>
          <w:szCs w:val="24"/>
        </w:rPr>
        <w:t>测试单位主导，与本方系统分析人员、设计人员一起对概要设计过程进行循环迭代式过程跟踪，以便及时发现和解决在软件设计中出现的问题，防止把问题遗留到开发的后期阶段，造成后患。评测前需要根据评测内容、评测环境、数据要求、评测范围、评测工具与方法、完成准则等内容形成《概要设计说明书评测方案》提交至招标方确认。</w:t>
      </w:r>
    </w:p>
    <w:p>
      <w:pPr>
        <w:spacing w:line="360" w:lineRule="auto"/>
        <w:ind w:firstLine="480" w:firstLineChars="200"/>
      </w:pPr>
      <w:r>
        <w:rPr>
          <w:rFonts w:hint="eastAsia"/>
          <w:sz w:val="24"/>
          <w:szCs w:val="24"/>
        </w:rPr>
        <w:t>概要设计阶段评测的另一项工作为由项目评审委员会对《概要设计说明书》的内部审查，并协助招标方完成说明书的评审确认。本阶段结束后，测试单位形成《概要设计说明书评测意见》及相关文档、会议纪要等，以专题报告的形式提交招标方及开发单位测试配置库。</w:t>
      </w:r>
    </w:p>
    <w:p>
      <w:pPr>
        <w:spacing w:line="360" w:lineRule="auto"/>
      </w:pPr>
    </w:p>
    <w:p>
      <w:pPr>
        <w:pStyle w:val="5"/>
        <w:numPr>
          <w:ilvl w:val="3"/>
          <w:numId w:val="3"/>
        </w:numPr>
        <w:spacing w:before="0" w:after="0" w:line="360" w:lineRule="auto"/>
        <w:ind w:left="0" w:leftChars="0" w:firstLine="402" w:firstLineChars="0"/>
      </w:pPr>
      <w:bookmarkStart w:id="466" w:name="_Toc24347"/>
      <w:r>
        <w:rPr>
          <w:rFonts w:hint="eastAsia"/>
        </w:rPr>
        <w:t>详细设计阶段</w:t>
      </w:r>
      <w:bookmarkEnd w:id="466"/>
    </w:p>
    <w:p>
      <w:pPr>
        <w:spacing w:line="360" w:lineRule="auto"/>
        <w:ind w:firstLine="480" w:firstLineChars="200"/>
        <w:rPr>
          <w:sz w:val="24"/>
          <w:szCs w:val="24"/>
        </w:rPr>
      </w:pPr>
      <w:r>
        <w:rPr>
          <w:rFonts w:hint="eastAsia"/>
          <w:sz w:val="24"/>
          <w:szCs w:val="24"/>
        </w:rPr>
        <w:t>详细设计阶段的评测工作开始于招标方对于《概要设计说明书》的认可。评测前需要根据评测内容、评测环境、数据要求、评测范围、评测工具与方法、完成准则等内容形成《详细设计说明书评测方案》提交至招标方确认。</w:t>
      </w:r>
    </w:p>
    <w:p>
      <w:pPr>
        <w:spacing w:line="360" w:lineRule="auto"/>
        <w:ind w:firstLine="480" w:firstLineChars="200"/>
      </w:pPr>
      <w:r>
        <w:rPr>
          <w:rFonts w:hint="eastAsia"/>
          <w:sz w:val="24"/>
          <w:szCs w:val="24"/>
        </w:rPr>
        <w:t>详细设计阶段的评测由</w:t>
      </w:r>
      <w:r>
        <w:rPr>
          <w:rFonts w:hint="eastAsia"/>
          <w:sz w:val="24"/>
          <w:szCs w:val="24"/>
          <w:lang w:eastAsia="zh-CN"/>
        </w:rPr>
        <w:t>**信息</w:t>
      </w:r>
      <w:r>
        <w:rPr>
          <w:rFonts w:hint="eastAsia"/>
          <w:sz w:val="24"/>
          <w:szCs w:val="24"/>
        </w:rPr>
        <w:t>测试单位主导，与本方系统分析人员、系统设计人员、数据库设计人员一起对系统详细设计过程、</w:t>
      </w:r>
      <w:r>
        <w:rPr>
          <w:sz w:val="24"/>
          <w:szCs w:val="24"/>
        </w:rPr>
        <w:t>详细设计活动</w:t>
      </w:r>
      <w:r>
        <w:rPr>
          <w:rFonts w:hint="eastAsia"/>
          <w:sz w:val="24"/>
          <w:szCs w:val="24"/>
        </w:rPr>
        <w:t>进行跟踪，</w:t>
      </w:r>
      <w:r>
        <w:rPr>
          <w:sz w:val="24"/>
          <w:szCs w:val="24"/>
        </w:rPr>
        <w:t>重点</w:t>
      </w:r>
      <w:r>
        <w:rPr>
          <w:rFonts w:hint="eastAsia"/>
          <w:sz w:val="24"/>
          <w:szCs w:val="24"/>
        </w:rPr>
        <w:t>关注设计</w:t>
      </w:r>
      <w:r>
        <w:rPr>
          <w:sz w:val="24"/>
          <w:szCs w:val="24"/>
        </w:rPr>
        <w:t>的算法、数据结构、数据类型、异常处理、计算效率等</w:t>
      </w:r>
      <w:r>
        <w:rPr>
          <w:rFonts w:hint="eastAsia"/>
          <w:sz w:val="24"/>
          <w:szCs w:val="24"/>
        </w:rPr>
        <w:t>内容</w:t>
      </w:r>
      <w:r>
        <w:rPr>
          <w:sz w:val="24"/>
          <w:szCs w:val="24"/>
        </w:rPr>
        <w:t>是否实现了软件概要设计的要求，确定其可否作为软件编码的前提和依据</w:t>
      </w:r>
      <w:r>
        <w:rPr>
          <w:rFonts w:hint="eastAsia"/>
          <w:sz w:val="24"/>
          <w:szCs w:val="24"/>
        </w:rPr>
        <w:t>，并由项目评审委员会对《详细设计说明书》、《数据库设计说明书》的内容进行内部审查，协助招标方完成说明书的评审确认。本阶段结束后，测试单位形成《详细设计说明书评测意见》及相关文档、会议纪要等，以专题报告的形式提交招标方及开发单位测试配置库。</w:t>
      </w:r>
    </w:p>
    <w:p>
      <w:pPr>
        <w:spacing w:line="360" w:lineRule="auto"/>
      </w:pPr>
    </w:p>
    <w:p>
      <w:pPr>
        <w:pStyle w:val="5"/>
        <w:numPr>
          <w:ilvl w:val="3"/>
          <w:numId w:val="3"/>
        </w:numPr>
        <w:spacing w:before="0" w:after="0" w:line="360" w:lineRule="auto"/>
        <w:ind w:left="0" w:leftChars="0" w:firstLine="402" w:firstLineChars="0"/>
      </w:pPr>
      <w:bookmarkStart w:id="467" w:name="_Toc15647"/>
      <w:r>
        <w:rPr>
          <w:rFonts w:hint="eastAsia"/>
        </w:rPr>
        <w:t>源代码审查阶段</w:t>
      </w:r>
      <w:bookmarkEnd w:id="467"/>
    </w:p>
    <w:p>
      <w:pPr>
        <w:spacing w:line="360" w:lineRule="auto"/>
        <w:ind w:firstLine="480" w:firstLineChars="200"/>
      </w:pPr>
      <w:r>
        <w:rPr>
          <w:rFonts w:hint="eastAsia"/>
          <w:sz w:val="24"/>
          <w:szCs w:val="24"/>
        </w:rPr>
        <w:t>本项目拟对各级源程序模块执行代码审查工作，以使程序风格统一，可读性强，便于维护。由</w:t>
      </w:r>
      <w:r>
        <w:rPr>
          <w:rFonts w:hint="eastAsia"/>
          <w:sz w:val="24"/>
          <w:szCs w:val="24"/>
          <w:lang w:eastAsia="zh-CN"/>
        </w:rPr>
        <w:t>**信息</w:t>
      </w:r>
      <w:r>
        <w:rPr>
          <w:rFonts w:hint="eastAsia"/>
          <w:sz w:val="24"/>
          <w:szCs w:val="24"/>
        </w:rPr>
        <w:t>开发单位主导，与本方测试单位共同制定编码标准和实现规范，开发过程中严格按照标准与规范执行。本阶段结束后，形成的编码标准、实现规范及相关文档、会议纪要等，以备忘录形式提交至测试配置库。</w:t>
      </w:r>
    </w:p>
    <w:p>
      <w:pPr>
        <w:pStyle w:val="5"/>
        <w:numPr>
          <w:ilvl w:val="3"/>
          <w:numId w:val="3"/>
        </w:numPr>
        <w:spacing w:before="0" w:after="0" w:line="360" w:lineRule="auto"/>
        <w:ind w:left="0" w:leftChars="0" w:firstLine="402" w:firstLineChars="0"/>
      </w:pPr>
      <w:bookmarkStart w:id="468" w:name="_Toc17487"/>
      <w:r>
        <w:rPr>
          <w:rFonts w:hint="eastAsia"/>
        </w:rPr>
        <w:t>系统测试阶段</w:t>
      </w:r>
      <w:bookmarkEnd w:id="468"/>
    </w:p>
    <w:p>
      <w:pPr>
        <w:spacing w:line="360" w:lineRule="auto"/>
        <w:ind w:firstLine="480" w:firstLineChars="200"/>
        <w:rPr>
          <w:sz w:val="24"/>
          <w:szCs w:val="24"/>
        </w:rPr>
      </w:pPr>
      <w:r>
        <w:rPr>
          <w:rFonts w:hint="eastAsia"/>
          <w:sz w:val="24"/>
          <w:szCs w:val="24"/>
        </w:rPr>
        <w:t>本项目所有实验室环境测试类型的《软件测试报告》经招标方确认后，执行用户测试环境测试。本阶段测试主要包括在用户测试环境中执行功能测试、性能测试、安全测试与评估、压力测试、健壮性测试、灾备与恢复测试等内容。用户验收测试前</w:t>
      </w:r>
      <w:r>
        <w:rPr>
          <w:rFonts w:hint="eastAsia"/>
          <w:sz w:val="24"/>
          <w:szCs w:val="24"/>
          <w:lang w:eastAsia="zh-CN"/>
        </w:rPr>
        <w:t>**信息</w:t>
      </w:r>
      <w:r>
        <w:rPr>
          <w:rFonts w:hint="eastAsia"/>
          <w:sz w:val="24"/>
          <w:szCs w:val="24"/>
        </w:rPr>
        <w:t>开发单位、测试单位、质保单位将按照招标方要求，配合招标方就本次测试的方案、测试范围、工具与方法等内容形成《用户测试方案》，并配合招标方设计用户测试用例以及测试数据，在用户测试环境中对核心业务流程进行测试，测试过程中</w:t>
      </w:r>
      <w:r>
        <w:rPr>
          <w:rFonts w:hint="eastAsia"/>
          <w:sz w:val="24"/>
          <w:szCs w:val="24"/>
          <w:lang w:eastAsia="zh-CN"/>
        </w:rPr>
        <w:t>**信息</w:t>
      </w:r>
      <w:r>
        <w:rPr>
          <w:rFonts w:hint="eastAsia"/>
          <w:sz w:val="24"/>
          <w:szCs w:val="24"/>
        </w:rPr>
        <w:t>开发测试单位将对用户测试过程、结果详细记录，及时跟踪调试所出现的问题。</w:t>
      </w:r>
    </w:p>
    <w:p>
      <w:pPr>
        <w:spacing w:line="360" w:lineRule="auto"/>
      </w:pPr>
    </w:p>
    <w:p>
      <w:pPr>
        <w:pStyle w:val="4"/>
        <w:numPr>
          <w:ilvl w:val="2"/>
          <w:numId w:val="3"/>
        </w:numPr>
        <w:spacing w:before="0" w:after="0" w:line="360" w:lineRule="auto"/>
        <w:ind w:left="0" w:leftChars="0" w:firstLine="402" w:firstLineChars="0"/>
      </w:pPr>
      <w:bookmarkStart w:id="469" w:name="_Toc17788"/>
      <w:r>
        <w:rPr>
          <w:rFonts w:hint="eastAsia"/>
        </w:rPr>
        <w:t>测试质量保证要求响应</w:t>
      </w:r>
      <w:bookmarkEnd w:id="469"/>
    </w:p>
    <w:p>
      <w:pPr>
        <w:pStyle w:val="5"/>
        <w:numPr>
          <w:ilvl w:val="3"/>
          <w:numId w:val="3"/>
        </w:numPr>
        <w:spacing w:before="0" w:after="0" w:line="360" w:lineRule="auto"/>
        <w:ind w:left="0" w:leftChars="0" w:firstLine="402" w:firstLineChars="0"/>
      </w:pPr>
      <w:bookmarkStart w:id="470" w:name="_Toc20079"/>
      <w:r>
        <w:rPr>
          <w:rFonts w:hint="eastAsia"/>
        </w:rPr>
        <w:t>白盒测试</w:t>
      </w:r>
      <w:bookmarkEnd w:id="470"/>
    </w:p>
    <w:p>
      <w:pPr>
        <w:spacing w:line="360" w:lineRule="auto"/>
        <w:ind w:firstLine="480" w:firstLineChars="200"/>
        <w:rPr>
          <w:sz w:val="24"/>
          <w:szCs w:val="24"/>
        </w:rPr>
      </w:pPr>
      <w:r>
        <w:rPr>
          <w:rFonts w:hint="eastAsia"/>
          <w:sz w:val="24"/>
          <w:szCs w:val="24"/>
        </w:rPr>
        <w:t>白盒测试是将程序或测试对象看作一个透明的盒子，也就是完全了解程序结构和处理过程，这种方法按照程序内部逻辑测试程序，检验程序中每条通路是否按预定要求正确工作。白盒测试又称结构测试、逻辑驱动测试或基于程序本身的测试，也可称为程序员测试，主要应用于结构化开发环境。</w:t>
      </w:r>
    </w:p>
    <w:p>
      <w:pPr>
        <w:spacing w:line="360" w:lineRule="auto"/>
        <w:ind w:firstLine="480" w:firstLineChars="200"/>
      </w:pPr>
      <w:r>
        <w:rPr>
          <w:rFonts w:hint="eastAsia"/>
          <w:sz w:val="24"/>
          <w:szCs w:val="24"/>
        </w:rPr>
        <w:t>该类型测试</w:t>
      </w:r>
      <w:r>
        <w:rPr>
          <w:sz w:val="24"/>
          <w:szCs w:val="24"/>
        </w:rPr>
        <w:t>是</w:t>
      </w:r>
      <w:r>
        <w:rPr>
          <w:rFonts w:hint="eastAsia"/>
          <w:sz w:val="24"/>
          <w:szCs w:val="24"/>
        </w:rPr>
        <w:t>对</w:t>
      </w:r>
      <w:r>
        <w:rPr>
          <w:sz w:val="24"/>
          <w:szCs w:val="24"/>
        </w:rPr>
        <w:t>程序内部的结构</w:t>
      </w:r>
      <w:r>
        <w:rPr>
          <w:rFonts w:hint="eastAsia"/>
          <w:sz w:val="24"/>
          <w:szCs w:val="24"/>
        </w:rPr>
        <w:t>的测试</w:t>
      </w:r>
      <w:r>
        <w:rPr>
          <w:sz w:val="24"/>
          <w:szCs w:val="24"/>
        </w:rPr>
        <w:t>，</w:t>
      </w:r>
      <w:r>
        <w:rPr>
          <w:rFonts w:hint="eastAsia"/>
          <w:sz w:val="24"/>
          <w:szCs w:val="24"/>
        </w:rPr>
        <w:t>用以</w:t>
      </w:r>
      <w:r>
        <w:rPr>
          <w:sz w:val="24"/>
          <w:szCs w:val="24"/>
        </w:rPr>
        <w:t>检测</w:t>
      </w:r>
      <w:r>
        <w:rPr>
          <w:rFonts w:hint="eastAsia"/>
          <w:sz w:val="24"/>
          <w:szCs w:val="24"/>
        </w:rPr>
        <w:t>程序</w:t>
      </w:r>
      <w:r>
        <w:rPr>
          <w:sz w:val="24"/>
          <w:szCs w:val="24"/>
        </w:rPr>
        <w:t>内部动作是否按照设计规格说明书的规定正常进行，检验程序中的每条通路是否都能按预定要求正确工作。测试人员依据程序内部逻辑结构相关信息，设计或选择测试用例，对程序所有逻辑路径进行测试，通过在不同点检查程序的状态，确定实际的状态是否与预期的状态一致。</w:t>
      </w:r>
    </w:p>
    <w:p>
      <w:pPr>
        <w:pStyle w:val="5"/>
        <w:numPr>
          <w:ilvl w:val="3"/>
          <w:numId w:val="3"/>
        </w:numPr>
        <w:spacing w:before="0" w:after="0" w:line="360" w:lineRule="auto"/>
        <w:ind w:left="0" w:leftChars="0" w:firstLine="402" w:firstLineChars="0"/>
      </w:pPr>
      <w:bookmarkStart w:id="471" w:name="_Toc23572"/>
      <w:r>
        <w:rPr>
          <w:rFonts w:hint="eastAsia"/>
        </w:rPr>
        <w:t>黑盒测试</w:t>
      </w:r>
      <w:bookmarkEnd w:id="471"/>
    </w:p>
    <w:p>
      <w:pPr>
        <w:spacing w:line="360" w:lineRule="auto"/>
        <w:ind w:firstLine="480" w:firstLineChars="200"/>
        <w:rPr>
          <w:sz w:val="24"/>
          <w:szCs w:val="24"/>
        </w:rPr>
      </w:pPr>
      <w:r>
        <w:rPr>
          <w:rFonts w:hint="eastAsia"/>
          <w:sz w:val="24"/>
          <w:szCs w:val="24"/>
        </w:rPr>
        <w:t>黑盒测试是对产品的各项功能进行验证，在不考虑程序内部结构和内部特性的情况下，在程序接口进行测试，只检查程序功能是否按照需求规格说明书的规定正常使用，程序是否能适当地接收输入数据而产生正确的输出信息。黑盒测试又称功能测试、数据驱动测试或基于规格说明的测试，也可称为用户测试，主要应用于快速应用开发环境。黑盒测试主要试图发现以下问题：</w:t>
      </w:r>
    </w:p>
    <w:p>
      <w:pPr>
        <w:spacing w:line="360" w:lineRule="auto"/>
        <w:ind w:firstLine="480" w:firstLineChars="200"/>
        <w:rPr>
          <w:sz w:val="24"/>
          <w:szCs w:val="24"/>
        </w:rPr>
      </w:pPr>
      <w:r>
        <w:rPr>
          <w:rFonts w:hint="eastAsia"/>
          <w:sz w:val="24"/>
          <w:szCs w:val="24"/>
        </w:rPr>
        <w:t>一、功能不正确或遗漏；</w:t>
      </w:r>
    </w:p>
    <w:p>
      <w:pPr>
        <w:spacing w:line="360" w:lineRule="auto"/>
        <w:ind w:firstLine="480" w:firstLineChars="200"/>
        <w:rPr>
          <w:sz w:val="24"/>
          <w:szCs w:val="24"/>
        </w:rPr>
      </w:pPr>
      <w:r>
        <w:rPr>
          <w:rFonts w:hint="eastAsia"/>
          <w:sz w:val="24"/>
          <w:szCs w:val="24"/>
        </w:rPr>
        <w:t>二、界面错误；</w:t>
      </w:r>
    </w:p>
    <w:p>
      <w:pPr>
        <w:spacing w:line="360" w:lineRule="auto"/>
        <w:ind w:firstLine="480" w:firstLineChars="200"/>
        <w:rPr>
          <w:sz w:val="24"/>
          <w:szCs w:val="24"/>
        </w:rPr>
      </w:pPr>
      <w:r>
        <w:rPr>
          <w:rFonts w:hint="eastAsia"/>
          <w:sz w:val="24"/>
          <w:szCs w:val="24"/>
        </w:rPr>
        <w:t>三、数据库访问错误；</w:t>
      </w:r>
    </w:p>
    <w:p>
      <w:pPr>
        <w:spacing w:line="360" w:lineRule="auto"/>
        <w:ind w:firstLine="480" w:firstLineChars="200"/>
        <w:rPr>
          <w:sz w:val="24"/>
          <w:szCs w:val="24"/>
        </w:rPr>
      </w:pPr>
      <w:r>
        <w:rPr>
          <w:rFonts w:hint="eastAsia"/>
          <w:sz w:val="24"/>
          <w:szCs w:val="24"/>
        </w:rPr>
        <w:t>四、性能错误；</w:t>
      </w:r>
    </w:p>
    <w:p>
      <w:pPr>
        <w:spacing w:line="360" w:lineRule="auto"/>
        <w:ind w:firstLine="480" w:firstLineChars="200"/>
        <w:rPr>
          <w:sz w:val="24"/>
          <w:szCs w:val="24"/>
        </w:rPr>
      </w:pPr>
      <w:r>
        <w:rPr>
          <w:rFonts w:hint="eastAsia"/>
          <w:sz w:val="24"/>
          <w:szCs w:val="24"/>
        </w:rPr>
        <w:t>五、初始化和终止错误。</w:t>
      </w:r>
    </w:p>
    <w:p>
      <w:pPr>
        <w:spacing w:line="360" w:lineRule="auto"/>
        <w:ind w:firstLine="480" w:firstLineChars="200"/>
      </w:pPr>
      <w:r>
        <w:rPr>
          <w:rFonts w:hint="eastAsia"/>
          <w:sz w:val="24"/>
          <w:szCs w:val="24"/>
        </w:rPr>
        <w:t>本项目后期测试阶段（集成测试、确认测试、用户测试环境系统测试、实际环境测试）都将以黑盒测试为主要测试技术，使用相应的测试用例设计方法，执行测试过程。对《需求规格说明书》、《概要设计说明书》中所描述的业务功能模块执行集成组装测试。黑盒测试技术主要有等价类划分法、边界值分析法、错误推测法、因果图法、判定表驱动法、正交试验法、场景法等测试用例设计方法。</w:t>
      </w:r>
      <w:r>
        <w:rPr>
          <w:rFonts w:hint="eastAsia"/>
          <w:sz w:val="24"/>
          <w:szCs w:val="24"/>
          <w:lang w:eastAsia="zh-CN"/>
        </w:rPr>
        <w:t>**信息</w:t>
      </w:r>
      <w:r>
        <w:rPr>
          <w:rFonts w:hint="eastAsia"/>
          <w:sz w:val="24"/>
          <w:szCs w:val="24"/>
        </w:rPr>
        <w:t>开发单位、测试单位将针对招标方“测试用例应覆盖所有测试点、所有已知的用户使用场景”的要求，根据实际用户使用情况，合理选择适当的测试用例设计方法，执行测试过程。</w:t>
      </w:r>
    </w:p>
    <w:p>
      <w:pPr>
        <w:pStyle w:val="4"/>
        <w:numPr>
          <w:ilvl w:val="2"/>
          <w:numId w:val="3"/>
        </w:numPr>
        <w:spacing w:before="0" w:after="0" w:line="360" w:lineRule="auto"/>
        <w:ind w:left="0" w:leftChars="0" w:firstLine="402" w:firstLineChars="0"/>
      </w:pPr>
      <w:bookmarkStart w:id="472" w:name="_Toc4054"/>
      <w:r>
        <w:rPr>
          <w:rFonts w:hint="eastAsia"/>
        </w:rPr>
        <w:t>测试类型要求响应</w:t>
      </w:r>
      <w:bookmarkEnd w:id="472"/>
    </w:p>
    <w:p>
      <w:pPr>
        <w:pStyle w:val="5"/>
        <w:numPr>
          <w:ilvl w:val="3"/>
          <w:numId w:val="3"/>
        </w:numPr>
        <w:spacing w:before="0" w:after="0" w:line="360" w:lineRule="auto"/>
        <w:ind w:left="0" w:leftChars="0" w:firstLine="402" w:firstLineChars="0"/>
      </w:pPr>
      <w:bookmarkStart w:id="473" w:name="_Toc7150"/>
      <w:r>
        <w:rPr>
          <w:rFonts w:hint="eastAsia"/>
        </w:rPr>
        <w:t>功能测试要求</w:t>
      </w:r>
      <w:bookmarkEnd w:id="473"/>
    </w:p>
    <w:p>
      <w:pPr>
        <w:spacing w:line="360" w:lineRule="auto"/>
        <w:ind w:firstLine="480" w:firstLineChars="200"/>
        <w:rPr>
          <w:sz w:val="24"/>
          <w:szCs w:val="24"/>
        </w:rPr>
      </w:pPr>
      <w:r>
        <w:rPr>
          <w:rFonts w:hint="eastAsia"/>
          <w:sz w:val="24"/>
          <w:szCs w:val="24"/>
        </w:rPr>
        <w:t>系统的可用性测试主要针对功能性需求而言。本项目主要功能</w:t>
      </w:r>
      <w:r>
        <w:rPr>
          <w:sz w:val="24"/>
          <w:szCs w:val="24"/>
        </w:rPr>
        <w:t>包括</w:t>
      </w:r>
      <w:r>
        <w:rPr>
          <w:rFonts w:hint="eastAsia"/>
          <w:sz w:val="24"/>
          <w:szCs w:val="24"/>
        </w:rPr>
        <w:t>开具、冲红、领购、推送（补推送）、下载、打印、查询、上报基础功能承载渠道功能等方面。</w:t>
      </w:r>
    </w:p>
    <w:p>
      <w:pPr>
        <w:spacing w:line="360" w:lineRule="auto"/>
        <w:ind w:firstLine="480" w:firstLineChars="200"/>
      </w:pPr>
      <w:r>
        <w:rPr>
          <w:rFonts w:hint="eastAsia"/>
          <w:sz w:val="24"/>
          <w:szCs w:val="24"/>
          <w:lang w:eastAsia="zh-CN"/>
        </w:rPr>
        <w:t>**信息</w:t>
      </w:r>
      <w:r>
        <w:rPr>
          <w:rFonts w:hint="eastAsia"/>
          <w:sz w:val="24"/>
          <w:szCs w:val="24"/>
        </w:rPr>
        <w:t>测试单位将针对上述各功能模块采用不同的测试用例设计方法进行测试设计并执行。</w:t>
      </w:r>
    </w:p>
    <w:p>
      <w:pPr>
        <w:pStyle w:val="5"/>
        <w:numPr>
          <w:ilvl w:val="3"/>
          <w:numId w:val="3"/>
        </w:numPr>
        <w:spacing w:before="0" w:after="0" w:line="360" w:lineRule="auto"/>
        <w:ind w:left="0" w:leftChars="0" w:firstLine="402" w:firstLineChars="0"/>
      </w:pPr>
      <w:bookmarkStart w:id="474" w:name="_Toc2363"/>
      <w:r>
        <w:rPr>
          <w:rFonts w:hint="eastAsia"/>
        </w:rPr>
        <w:t>性能测试要求</w:t>
      </w:r>
      <w:bookmarkEnd w:id="474"/>
    </w:p>
    <w:p>
      <w:pPr>
        <w:spacing w:line="360" w:lineRule="auto"/>
        <w:ind w:firstLine="480" w:firstLineChars="200"/>
      </w:pPr>
      <w:r>
        <w:rPr>
          <w:rFonts w:hint="eastAsia"/>
          <w:sz w:val="24"/>
          <w:szCs w:val="24"/>
        </w:rPr>
        <w:t>本项目性能测试中将重点关注业务的执行响应时间、在线用户数、业务吞吐量、存储容量、网络带宽等指标是否满足近期和远期的用户需求。交易响应时间定义为完成目标系统中的交互或批量处理所需的响应时间，如果交易涉及与其它系统之间交互，响应时间应包括系统之间交互的时间，服务器资源占用情况主要包括处理器资源，存储器资源，磁盘资源等的使用率，是否存在性能瓶颈</w:t>
      </w:r>
      <w:r>
        <w:rPr>
          <w:rFonts w:hint="eastAsia"/>
        </w:rPr>
        <w:t>。</w:t>
      </w:r>
    </w:p>
    <w:p>
      <w:pPr>
        <w:pStyle w:val="4"/>
        <w:numPr>
          <w:ilvl w:val="2"/>
          <w:numId w:val="3"/>
        </w:numPr>
        <w:spacing w:before="0" w:after="0" w:line="360" w:lineRule="auto"/>
        <w:ind w:left="0" w:leftChars="0" w:firstLine="402" w:firstLineChars="0"/>
      </w:pPr>
      <w:bookmarkStart w:id="475" w:name="_Toc13699"/>
      <w:r>
        <w:rPr>
          <w:rFonts w:hint="eastAsia"/>
        </w:rPr>
        <w:t>测试质量保证要求响应</w:t>
      </w:r>
      <w:bookmarkEnd w:id="475"/>
    </w:p>
    <w:p>
      <w:pPr>
        <w:spacing w:line="360" w:lineRule="auto"/>
        <w:ind w:firstLine="480" w:firstLineChars="200"/>
        <w:rPr>
          <w:sz w:val="24"/>
          <w:szCs w:val="24"/>
        </w:rPr>
      </w:pPr>
      <w:r>
        <w:rPr>
          <w:rFonts w:hint="eastAsia"/>
          <w:sz w:val="24"/>
          <w:szCs w:val="24"/>
        </w:rPr>
        <w:t>测试过程为产品质量作保证，而作为软件工程的重要一环，测试过程本身的质量也需要通过严格的规范来保证。</w:t>
      </w:r>
      <w:r>
        <w:rPr>
          <w:sz w:val="24"/>
          <w:szCs w:val="24"/>
        </w:rPr>
        <w:t>为确保</w:t>
      </w:r>
      <w:r>
        <w:rPr>
          <w:rFonts w:hint="eastAsia"/>
          <w:sz w:val="24"/>
          <w:szCs w:val="24"/>
        </w:rPr>
        <w:t>本</w:t>
      </w:r>
      <w:r>
        <w:rPr>
          <w:sz w:val="24"/>
          <w:szCs w:val="24"/>
        </w:rPr>
        <w:t>项目测试结果公平、公正、客观，在整个实施过程中</w:t>
      </w:r>
      <w:r>
        <w:rPr>
          <w:rFonts w:hint="eastAsia"/>
          <w:sz w:val="24"/>
          <w:szCs w:val="24"/>
        </w:rPr>
        <w:t>将</w:t>
      </w:r>
      <w:r>
        <w:rPr>
          <w:sz w:val="24"/>
          <w:szCs w:val="24"/>
        </w:rPr>
        <w:t>加强</w:t>
      </w:r>
      <w:r>
        <w:rPr>
          <w:rFonts w:hint="eastAsia"/>
          <w:sz w:val="24"/>
          <w:szCs w:val="24"/>
        </w:rPr>
        <w:t>测试</w:t>
      </w:r>
      <w:r>
        <w:rPr>
          <w:sz w:val="24"/>
          <w:szCs w:val="24"/>
        </w:rPr>
        <w:t>过程质量管理</w:t>
      </w:r>
      <w:r>
        <w:rPr>
          <w:rFonts w:hint="eastAsia"/>
          <w:sz w:val="24"/>
          <w:szCs w:val="24"/>
        </w:rPr>
        <w:t>，避免造成测试计划不充分，测试方法有误或测试过程偏离，测试的不成功将直接导致交付软件潜藏有缺陷，一旦爆发会带来很大的商业风险。</w:t>
      </w:r>
    </w:p>
    <w:p>
      <w:pPr>
        <w:spacing w:line="360" w:lineRule="auto"/>
        <w:ind w:firstLine="480" w:firstLineChars="200"/>
      </w:pPr>
      <w:r>
        <w:rPr>
          <w:rFonts w:hint="eastAsia"/>
          <w:sz w:val="24"/>
          <w:szCs w:val="24"/>
          <w:lang w:eastAsia="zh-CN"/>
        </w:rPr>
        <w:t>**信息</w:t>
      </w:r>
      <w:r>
        <w:rPr>
          <w:rFonts w:hint="eastAsia"/>
          <w:sz w:val="24"/>
          <w:szCs w:val="24"/>
        </w:rPr>
        <w:t>测试单位将采用“持续改进过程”的策略来保证测试工作质量。通过组织制度保证、测试质量量化等方面来开展工作，制定测试过程的组织结构、标准、规范、方法、指南等来指导执行，使测试过程透明化，使其质量有可预见性，通过对过程的持续改进达到对测试结果的有效控制。</w:t>
      </w:r>
    </w:p>
    <w:p>
      <w:pPr>
        <w:pStyle w:val="4"/>
        <w:numPr>
          <w:ilvl w:val="2"/>
          <w:numId w:val="3"/>
        </w:numPr>
        <w:spacing w:before="0" w:after="0" w:line="360" w:lineRule="auto"/>
        <w:ind w:left="0" w:leftChars="0" w:firstLine="402" w:firstLineChars="0"/>
      </w:pPr>
      <w:bookmarkStart w:id="476" w:name="_Toc6478"/>
      <w:r>
        <w:rPr>
          <w:rFonts w:hint="eastAsia"/>
        </w:rPr>
        <w:t>测试准备</w:t>
      </w:r>
      <w:bookmarkEnd w:id="476"/>
    </w:p>
    <w:p>
      <w:pPr>
        <w:spacing w:line="360" w:lineRule="auto"/>
        <w:ind w:firstLine="480" w:firstLineChars="200"/>
      </w:pPr>
      <w:r>
        <w:rPr>
          <w:rFonts w:hint="eastAsia"/>
          <w:sz w:val="24"/>
          <w:szCs w:val="24"/>
        </w:rPr>
        <w:t>测试准备部分将对测试需求分析、测试计划、测试组织、测试方案、测试环境、测试工具、测试用例、测试数据等方面的内容展开说明。</w:t>
      </w:r>
    </w:p>
    <w:p>
      <w:pPr>
        <w:pStyle w:val="5"/>
        <w:numPr>
          <w:ilvl w:val="3"/>
          <w:numId w:val="3"/>
        </w:numPr>
        <w:spacing w:before="0" w:after="0" w:line="360" w:lineRule="auto"/>
        <w:ind w:left="0" w:leftChars="0" w:firstLine="402" w:firstLineChars="0"/>
      </w:pPr>
      <w:bookmarkStart w:id="477" w:name="_Toc9338"/>
      <w:r>
        <w:rPr>
          <w:rFonts w:hint="eastAsia"/>
        </w:rPr>
        <w:t>测试需求分析</w:t>
      </w:r>
      <w:bookmarkEnd w:id="477"/>
    </w:p>
    <w:p>
      <w:pPr>
        <w:spacing w:line="360" w:lineRule="auto"/>
        <w:ind w:firstLine="480" w:firstLineChars="200"/>
      </w:pPr>
      <w:r>
        <w:rPr>
          <w:rFonts w:hint="eastAsia"/>
          <w:sz w:val="24"/>
          <w:szCs w:val="24"/>
        </w:rPr>
        <w:t>为确保本项目的测试能够较好的满足招标方的各方面的要求，对</w:t>
      </w:r>
      <w:r>
        <w:rPr>
          <w:rFonts w:hint="eastAsia"/>
          <w:sz w:val="24"/>
          <w:szCs w:val="24"/>
          <w:lang w:eastAsia="zh-CN"/>
        </w:rPr>
        <w:t>xx交通</w:t>
      </w:r>
      <w:r>
        <w:rPr>
          <w:rFonts w:hint="eastAsia"/>
          <w:sz w:val="24"/>
          <w:szCs w:val="24"/>
        </w:rPr>
        <w:t>增值税发票管理系统就业务需求包括功能场景、相关系统接口、系统管理维护、系统日志管理、系统扩展性、系统界面、系统部署；非功能方面包括性能、易用、可靠、稳定、可维护展开总体的测试需求分析。</w:t>
      </w:r>
    </w:p>
    <w:p>
      <w:pPr>
        <w:pStyle w:val="5"/>
        <w:numPr>
          <w:ilvl w:val="3"/>
          <w:numId w:val="3"/>
        </w:numPr>
        <w:spacing w:before="0" w:after="0" w:line="360" w:lineRule="auto"/>
        <w:ind w:left="0" w:leftChars="0" w:firstLine="402" w:firstLineChars="0"/>
      </w:pPr>
      <w:bookmarkStart w:id="478" w:name="_Toc19969"/>
      <w:r>
        <w:rPr>
          <w:rFonts w:hint="eastAsia"/>
        </w:rPr>
        <w:t>系统管理维护需求分析</w:t>
      </w:r>
      <w:bookmarkEnd w:id="478"/>
    </w:p>
    <w:p>
      <w:pPr>
        <w:spacing w:line="360" w:lineRule="auto"/>
        <w:rPr>
          <w:sz w:val="24"/>
          <w:szCs w:val="24"/>
        </w:rPr>
      </w:pPr>
      <w:r>
        <w:rPr>
          <w:rFonts w:hint="eastAsia"/>
          <w:sz w:val="24"/>
          <w:szCs w:val="24"/>
        </w:rPr>
        <w:t>一、系统操作是否简单、易用</w:t>
      </w:r>
    </w:p>
    <w:p>
      <w:pPr>
        <w:spacing w:line="360" w:lineRule="auto"/>
        <w:rPr>
          <w:sz w:val="24"/>
          <w:szCs w:val="24"/>
        </w:rPr>
      </w:pPr>
      <w:r>
        <w:rPr>
          <w:rFonts w:hint="eastAsia"/>
          <w:sz w:val="24"/>
          <w:szCs w:val="24"/>
        </w:rPr>
        <w:t>（一）系统是否提供了帮助功能；</w:t>
      </w:r>
    </w:p>
    <w:p>
      <w:pPr>
        <w:spacing w:line="360" w:lineRule="auto"/>
        <w:rPr>
          <w:sz w:val="24"/>
          <w:szCs w:val="24"/>
        </w:rPr>
      </w:pPr>
      <w:r>
        <w:rPr>
          <w:rFonts w:hint="eastAsia"/>
          <w:sz w:val="24"/>
          <w:szCs w:val="24"/>
        </w:rPr>
        <w:t>（二）是否无须做出具体的培训即可上手使用。</w:t>
      </w:r>
    </w:p>
    <w:p>
      <w:pPr>
        <w:spacing w:line="360" w:lineRule="auto"/>
        <w:rPr>
          <w:sz w:val="24"/>
          <w:szCs w:val="24"/>
        </w:rPr>
      </w:pPr>
      <w:r>
        <w:rPr>
          <w:rFonts w:hint="eastAsia"/>
          <w:sz w:val="24"/>
          <w:szCs w:val="24"/>
        </w:rPr>
        <w:t>二、是否提供错误操作纠错功能</w:t>
      </w:r>
    </w:p>
    <w:p>
      <w:pPr>
        <w:spacing w:line="360" w:lineRule="auto"/>
      </w:pPr>
      <w:r>
        <w:rPr>
          <w:rFonts w:hint="eastAsia"/>
          <w:sz w:val="24"/>
          <w:szCs w:val="24"/>
        </w:rPr>
        <w:t>三、是否能对异常情况进行信息提取、组织和数据关联；</w:t>
      </w:r>
    </w:p>
    <w:p>
      <w:pPr>
        <w:pStyle w:val="5"/>
        <w:numPr>
          <w:ilvl w:val="3"/>
          <w:numId w:val="3"/>
        </w:numPr>
        <w:spacing w:before="0" w:after="0" w:line="360" w:lineRule="auto"/>
        <w:ind w:left="0" w:leftChars="0" w:firstLine="402" w:firstLineChars="0"/>
      </w:pPr>
      <w:bookmarkStart w:id="479" w:name="_Toc25656"/>
      <w:r>
        <w:rPr>
          <w:rFonts w:hint="eastAsia"/>
        </w:rPr>
        <w:t>系统日志管理需求分析</w:t>
      </w:r>
      <w:bookmarkEnd w:id="479"/>
    </w:p>
    <w:p>
      <w:pPr>
        <w:spacing w:line="360" w:lineRule="auto"/>
        <w:rPr>
          <w:sz w:val="24"/>
          <w:szCs w:val="24"/>
        </w:rPr>
      </w:pPr>
      <w:r>
        <w:rPr>
          <w:rFonts w:hint="eastAsia"/>
          <w:sz w:val="24"/>
          <w:szCs w:val="24"/>
        </w:rPr>
        <w:t>一、系统是否提供完善日志记录功能；</w:t>
      </w:r>
    </w:p>
    <w:p>
      <w:pPr>
        <w:spacing w:line="360" w:lineRule="auto"/>
        <w:rPr>
          <w:sz w:val="24"/>
          <w:szCs w:val="24"/>
        </w:rPr>
      </w:pPr>
      <w:r>
        <w:rPr>
          <w:rFonts w:hint="eastAsia"/>
          <w:sz w:val="24"/>
          <w:szCs w:val="24"/>
        </w:rPr>
        <w:t>二、系统是否记录业务操作日志；</w:t>
      </w:r>
    </w:p>
    <w:p>
      <w:pPr>
        <w:spacing w:line="360" w:lineRule="auto"/>
        <w:rPr>
          <w:sz w:val="24"/>
          <w:szCs w:val="24"/>
        </w:rPr>
      </w:pPr>
      <w:r>
        <w:rPr>
          <w:rFonts w:hint="eastAsia"/>
          <w:sz w:val="24"/>
          <w:szCs w:val="24"/>
        </w:rPr>
        <w:t>（一）是否有详细的产生生产数据业务操作日志</w:t>
      </w:r>
    </w:p>
    <w:p>
      <w:pPr>
        <w:spacing w:line="360" w:lineRule="auto"/>
        <w:rPr>
          <w:sz w:val="24"/>
          <w:szCs w:val="24"/>
        </w:rPr>
      </w:pPr>
      <w:r>
        <w:rPr>
          <w:rFonts w:hint="eastAsia"/>
          <w:sz w:val="24"/>
          <w:szCs w:val="24"/>
        </w:rPr>
        <w:t>（二）是否记录下操作的具体内容、操作人员以及操作时间</w:t>
      </w:r>
      <w:r>
        <w:rPr>
          <w:rFonts w:hint="eastAsia"/>
          <w:sz w:val="24"/>
          <w:szCs w:val="24"/>
        </w:rPr>
        <w:tab/>
      </w:r>
      <w:r>
        <w:rPr>
          <w:rFonts w:hint="eastAsia"/>
          <w:sz w:val="24"/>
          <w:szCs w:val="24"/>
        </w:rPr>
        <w:tab/>
      </w:r>
    </w:p>
    <w:p>
      <w:pPr>
        <w:spacing w:line="360" w:lineRule="auto"/>
        <w:rPr>
          <w:sz w:val="24"/>
          <w:szCs w:val="24"/>
        </w:rPr>
      </w:pPr>
      <w:r>
        <w:rPr>
          <w:rFonts w:hint="eastAsia"/>
          <w:sz w:val="24"/>
          <w:szCs w:val="24"/>
        </w:rPr>
        <w:t>三、是否记录用户登录日志；</w:t>
      </w:r>
    </w:p>
    <w:p>
      <w:pPr>
        <w:spacing w:line="360" w:lineRule="auto"/>
        <w:rPr>
          <w:sz w:val="24"/>
          <w:szCs w:val="24"/>
        </w:rPr>
      </w:pPr>
      <w:r>
        <w:rPr>
          <w:rFonts w:hint="eastAsia"/>
          <w:sz w:val="24"/>
          <w:szCs w:val="24"/>
        </w:rPr>
        <w:t>（一）登录日志是否有查询和维护功能</w:t>
      </w:r>
    </w:p>
    <w:p>
      <w:pPr>
        <w:spacing w:line="360" w:lineRule="auto"/>
        <w:rPr>
          <w:sz w:val="24"/>
          <w:szCs w:val="24"/>
        </w:rPr>
      </w:pPr>
      <w:r>
        <w:rPr>
          <w:rFonts w:hint="eastAsia"/>
          <w:sz w:val="24"/>
          <w:szCs w:val="24"/>
        </w:rPr>
        <w:t>四、是否提供内部查询审计日志；</w:t>
      </w:r>
      <w:r>
        <w:rPr>
          <w:rFonts w:hint="eastAsia"/>
          <w:sz w:val="24"/>
          <w:szCs w:val="24"/>
        </w:rPr>
        <w:tab/>
      </w:r>
      <w:r>
        <w:rPr>
          <w:rFonts w:hint="eastAsia"/>
          <w:sz w:val="24"/>
          <w:szCs w:val="24"/>
        </w:rPr>
        <w:tab/>
      </w:r>
    </w:p>
    <w:p>
      <w:pPr>
        <w:spacing w:line="360" w:lineRule="auto"/>
      </w:pPr>
      <w:r>
        <w:rPr>
          <w:rFonts w:hint="eastAsia"/>
          <w:sz w:val="24"/>
          <w:szCs w:val="24"/>
        </w:rPr>
        <w:t>五、是否有数据交互审计报告；</w:t>
      </w:r>
    </w:p>
    <w:p>
      <w:pPr>
        <w:pStyle w:val="5"/>
        <w:numPr>
          <w:ilvl w:val="3"/>
          <w:numId w:val="3"/>
        </w:numPr>
        <w:spacing w:before="0" w:after="0" w:line="360" w:lineRule="auto"/>
        <w:ind w:left="0" w:leftChars="0" w:firstLine="402" w:firstLineChars="0"/>
      </w:pPr>
      <w:bookmarkStart w:id="480" w:name="_Toc19809"/>
      <w:r>
        <w:rPr>
          <w:rFonts w:hint="eastAsia"/>
        </w:rPr>
        <w:t>系统扩展性需求分析</w:t>
      </w:r>
      <w:bookmarkEnd w:id="480"/>
    </w:p>
    <w:p>
      <w:pPr>
        <w:spacing w:line="360" w:lineRule="auto"/>
        <w:rPr>
          <w:sz w:val="24"/>
          <w:szCs w:val="24"/>
        </w:rPr>
      </w:pPr>
      <w:r>
        <w:rPr>
          <w:rFonts w:hint="eastAsia"/>
          <w:sz w:val="24"/>
          <w:szCs w:val="24"/>
        </w:rPr>
        <w:t>一、是否能够支撑新增业务功能；</w:t>
      </w:r>
    </w:p>
    <w:p>
      <w:pPr>
        <w:spacing w:line="360" w:lineRule="auto"/>
        <w:rPr>
          <w:sz w:val="24"/>
          <w:szCs w:val="24"/>
        </w:rPr>
      </w:pPr>
      <w:r>
        <w:rPr>
          <w:rFonts w:hint="eastAsia"/>
          <w:sz w:val="24"/>
          <w:szCs w:val="24"/>
        </w:rPr>
        <w:t>（一）是否支持新增业务功能的定制与调整</w:t>
      </w:r>
    </w:p>
    <w:p>
      <w:pPr>
        <w:spacing w:line="360" w:lineRule="auto"/>
        <w:rPr>
          <w:sz w:val="24"/>
          <w:szCs w:val="24"/>
        </w:rPr>
      </w:pPr>
      <w:r>
        <w:rPr>
          <w:rFonts w:hint="eastAsia"/>
          <w:sz w:val="24"/>
          <w:szCs w:val="24"/>
        </w:rPr>
        <w:t>二、是否能够支撑现有业务功能改变；</w:t>
      </w:r>
    </w:p>
    <w:p>
      <w:pPr>
        <w:spacing w:line="360" w:lineRule="auto"/>
      </w:pPr>
      <w:r>
        <w:rPr>
          <w:rFonts w:hint="eastAsia"/>
          <w:sz w:val="24"/>
          <w:szCs w:val="24"/>
        </w:rPr>
        <w:t>（一）是否支持现有业务功能改变的定制与调整</w:t>
      </w:r>
    </w:p>
    <w:p>
      <w:pPr>
        <w:pStyle w:val="5"/>
        <w:numPr>
          <w:ilvl w:val="3"/>
          <w:numId w:val="3"/>
        </w:numPr>
        <w:spacing w:before="0" w:after="0" w:line="360" w:lineRule="auto"/>
        <w:ind w:left="0" w:leftChars="0" w:firstLine="402" w:firstLineChars="0"/>
      </w:pPr>
      <w:bookmarkStart w:id="481" w:name="_Toc8683"/>
      <w:r>
        <w:rPr>
          <w:rFonts w:hint="eastAsia"/>
        </w:rPr>
        <w:t>系统界面需求分析</w:t>
      </w:r>
      <w:bookmarkEnd w:id="481"/>
    </w:p>
    <w:p>
      <w:pPr>
        <w:spacing w:line="360" w:lineRule="auto"/>
        <w:rPr>
          <w:sz w:val="24"/>
          <w:szCs w:val="24"/>
        </w:rPr>
      </w:pPr>
      <w:r>
        <w:rPr>
          <w:rFonts w:hint="eastAsia"/>
          <w:sz w:val="24"/>
          <w:szCs w:val="24"/>
        </w:rPr>
        <w:t>一</w:t>
      </w:r>
      <w:r>
        <w:rPr>
          <w:sz w:val="24"/>
          <w:szCs w:val="24"/>
        </w:rPr>
        <w:t>、</w:t>
      </w:r>
      <w:r>
        <w:rPr>
          <w:rFonts w:hint="eastAsia"/>
          <w:sz w:val="24"/>
          <w:szCs w:val="24"/>
        </w:rPr>
        <w:t>界面设计是否简洁、流畅，符合用户习惯；</w:t>
      </w:r>
    </w:p>
    <w:p>
      <w:pPr>
        <w:spacing w:line="360" w:lineRule="auto"/>
        <w:rPr>
          <w:sz w:val="24"/>
          <w:szCs w:val="24"/>
        </w:rPr>
      </w:pPr>
      <w:r>
        <w:rPr>
          <w:rFonts w:hint="eastAsia"/>
          <w:sz w:val="24"/>
          <w:szCs w:val="24"/>
        </w:rPr>
        <w:t>二、界面跳转是否降到最少，是否无冗余的新开窗口；</w:t>
      </w:r>
    </w:p>
    <w:p>
      <w:pPr>
        <w:spacing w:line="360" w:lineRule="auto"/>
        <w:rPr>
          <w:sz w:val="24"/>
          <w:szCs w:val="24"/>
        </w:rPr>
      </w:pPr>
      <w:r>
        <w:rPr>
          <w:rFonts w:hint="eastAsia"/>
          <w:sz w:val="24"/>
          <w:szCs w:val="24"/>
        </w:rPr>
        <w:t xml:space="preserve">三、界面显示色调风格是否统一、字体大小是否能体现出层级； </w:t>
      </w:r>
    </w:p>
    <w:p>
      <w:pPr>
        <w:spacing w:line="360" w:lineRule="auto"/>
        <w:rPr>
          <w:sz w:val="24"/>
          <w:szCs w:val="24"/>
        </w:rPr>
      </w:pPr>
      <w:r>
        <w:rPr>
          <w:rFonts w:hint="eastAsia"/>
          <w:sz w:val="24"/>
          <w:szCs w:val="24"/>
        </w:rPr>
        <w:t>四、日期录入时系统是否能将‘.’、‘/’等分隔自动转换为‘－’；</w:t>
      </w:r>
    </w:p>
    <w:p>
      <w:pPr>
        <w:spacing w:line="360" w:lineRule="auto"/>
        <w:rPr>
          <w:sz w:val="24"/>
          <w:szCs w:val="24"/>
        </w:rPr>
      </w:pPr>
      <w:r>
        <w:rPr>
          <w:rFonts w:hint="eastAsia"/>
          <w:sz w:val="24"/>
          <w:szCs w:val="24"/>
        </w:rPr>
        <w:t>有链接可钻取项是否在颜色上有区分；</w:t>
      </w:r>
    </w:p>
    <w:p>
      <w:pPr>
        <w:spacing w:line="360" w:lineRule="auto"/>
        <w:rPr>
          <w:sz w:val="24"/>
          <w:szCs w:val="24"/>
        </w:rPr>
      </w:pPr>
      <w:r>
        <w:rPr>
          <w:rFonts w:hint="eastAsia"/>
          <w:sz w:val="24"/>
          <w:szCs w:val="24"/>
        </w:rPr>
        <w:t>五、按钮是否按图标形式展示，图表是否能直观表示出按钮功能含义；</w:t>
      </w:r>
    </w:p>
    <w:p>
      <w:pPr>
        <w:spacing w:line="360" w:lineRule="auto"/>
        <w:rPr>
          <w:sz w:val="24"/>
          <w:szCs w:val="24"/>
        </w:rPr>
      </w:pPr>
      <w:r>
        <w:rPr>
          <w:rFonts w:hint="eastAsia"/>
          <w:sz w:val="24"/>
          <w:szCs w:val="24"/>
        </w:rPr>
        <w:t>六、主界面是否分为上、左下和右下三个部分。</w:t>
      </w:r>
    </w:p>
    <w:p>
      <w:pPr>
        <w:pStyle w:val="5"/>
        <w:numPr>
          <w:ilvl w:val="3"/>
          <w:numId w:val="3"/>
        </w:numPr>
        <w:spacing w:before="0" w:after="0" w:line="360" w:lineRule="auto"/>
        <w:ind w:left="0" w:leftChars="0" w:firstLine="402" w:firstLineChars="0"/>
      </w:pPr>
      <w:bookmarkStart w:id="482" w:name="_Toc31211"/>
      <w:r>
        <w:rPr>
          <w:rFonts w:hint="eastAsia"/>
        </w:rPr>
        <w:t>测试计划</w:t>
      </w:r>
      <w:bookmarkEnd w:id="482"/>
    </w:p>
    <w:p>
      <w:pPr>
        <w:spacing w:line="360" w:lineRule="auto"/>
        <w:ind w:firstLine="480" w:firstLineChars="200"/>
        <w:rPr>
          <w:sz w:val="24"/>
          <w:szCs w:val="24"/>
        </w:rPr>
      </w:pPr>
      <w:r>
        <w:rPr>
          <w:sz w:val="24"/>
          <w:szCs w:val="24"/>
        </w:rPr>
        <w:t>本项目</w:t>
      </w:r>
      <w:r>
        <w:rPr>
          <w:rFonts w:hint="eastAsia"/>
          <w:sz w:val="24"/>
          <w:szCs w:val="24"/>
        </w:rPr>
        <w:t>测试周期与开发周期基本保持同步，从需求分析阶段开始介入评测，直至用户实际环境测试完成，贯穿项目生命周期的始终。以下分别就测试介入的各个阶段的测试周期</w:t>
      </w:r>
      <w:r>
        <w:rPr>
          <w:sz w:val="24"/>
          <w:szCs w:val="24"/>
        </w:rPr>
        <w:t>根据测试的内容和工作</w:t>
      </w:r>
      <w:r>
        <w:rPr>
          <w:rFonts w:hint="eastAsia"/>
          <w:sz w:val="24"/>
          <w:szCs w:val="24"/>
        </w:rPr>
        <w:t>周期</w:t>
      </w:r>
      <w:r>
        <w:rPr>
          <w:sz w:val="24"/>
          <w:szCs w:val="24"/>
        </w:rPr>
        <w:t>进行预估确定，</w:t>
      </w:r>
      <w:r>
        <w:rPr>
          <w:rFonts w:hint="eastAsia"/>
          <w:sz w:val="24"/>
          <w:szCs w:val="24"/>
        </w:rPr>
        <w:t>预估值</w:t>
      </w:r>
      <w:r>
        <w:rPr>
          <w:sz w:val="24"/>
          <w:szCs w:val="24"/>
        </w:rPr>
        <w:t>仅供参考</w:t>
      </w:r>
      <w:r>
        <w:rPr>
          <w:rFonts w:hint="eastAsia"/>
          <w:sz w:val="24"/>
          <w:szCs w:val="24"/>
        </w:rPr>
        <w:t>。由于在各阶段之间存在重叠交叉部分，</w:t>
      </w:r>
      <w:r>
        <w:rPr>
          <w:sz w:val="24"/>
          <w:szCs w:val="24"/>
        </w:rPr>
        <w:t>在具体项目实施时，可根据项目的</w:t>
      </w:r>
      <w:r>
        <w:rPr>
          <w:rFonts w:hint="eastAsia"/>
          <w:sz w:val="24"/>
          <w:szCs w:val="24"/>
        </w:rPr>
        <w:t>实际</w:t>
      </w:r>
      <w:r>
        <w:rPr>
          <w:sz w:val="24"/>
          <w:szCs w:val="24"/>
        </w:rPr>
        <w:t>开发进度和软件产品的质量</w:t>
      </w:r>
      <w:r>
        <w:rPr>
          <w:rFonts w:hint="eastAsia"/>
          <w:sz w:val="24"/>
          <w:szCs w:val="24"/>
        </w:rPr>
        <w:t>保障程度</w:t>
      </w:r>
      <w:r>
        <w:rPr>
          <w:sz w:val="24"/>
          <w:szCs w:val="24"/>
        </w:rPr>
        <w:t>进行适当调整</w:t>
      </w:r>
      <w:r>
        <w:rPr>
          <w:rFonts w:hint="eastAsia"/>
          <w:sz w:val="24"/>
          <w:szCs w:val="24"/>
        </w:rPr>
        <w:t>，并上报招标方批准确认</w:t>
      </w:r>
      <w:r>
        <w:rPr>
          <w:sz w:val="24"/>
          <w:szCs w:val="24"/>
        </w:rPr>
        <w:t>。</w:t>
      </w:r>
    </w:p>
    <w:p>
      <w:pPr>
        <w:spacing w:line="360" w:lineRule="auto"/>
        <w:ind w:firstLine="480" w:firstLineChars="200"/>
        <w:rPr>
          <w:sz w:val="24"/>
          <w:szCs w:val="24"/>
        </w:rPr>
      </w:pPr>
      <w:r>
        <w:rPr>
          <w:rFonts w:hint="eastAsia"/>
          <w:sz w:val="24"/>
          <w:szCs w:val="24"/>
        </w:rPr>
        <w:t>各测试阶段工作周期和工作安排见下表：</w:t>
      </w:r>
    </w:p>
    <w:tbl>
      <w:tblPr>
        <w:tblStyle w:val="34"/>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986"/>
        <w:gridCol w:w="1637"/>
        <w:gridCol w:w="1378"/>
        <w:gridCol w:w="1378"/>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tblHeader/>
        </w:trPr>
        <w:tc>
          <w:tcPr>
            <w:tcW w:w="2531" w:type="dxa"/>
            <w:gridSpan w:val="2"/>
            <w:shd w:val="clear" w:color="auto" w:fill="E0E0E0"/>
            <w:vAlign w:val="center"/>
          </w:tcPr>
          <w:p>
            <w:pPr>
              <w:spacing w:line="360" w:lineRule="auto"/>
            </w:pPr>
            <w:r>
              <w:t>测试阶段</w:t>
            </w:r>
            <w:r>
              <w:rPr>
                <w:rFonts w:hint="eastAsia"/>
              </w:rPr>
              <w:t>*</w:t>
            </w:r>
          </w:p>
        </w:tc>
        <w:tc>
          <w:tcPr>
            <w:tcW w:w="1637" w:type="dxa"/>
            <w:shd w:val="clear" w:color="auto" w:fill="E0E0E0"/>
            <w:vAlign w:val="center"/>
          </w:tcPr>
          <w:p>
            <w:pPr>
              <w:spacing w:line="360" w:lineRule="auto"/>
            </w:pPr>
            <w:r>
              <w:t>工作内容</w:t>
            </w:r>
          </w:p>
        </w:tc>
        <w:tc>
          <w:tcPr>
            <w:tcW w:w="1378" w:type="dxa"/>
            <w:shd w:val="clear" w:color="auto" w:fill="E0E0E0"/>
            <w:vAlign w:val="center"/>
          </w:tcPr>
          <w:p>
            <w:pPr>
              <w:spacing w:line="360" w:lineRule="auto"/>
            </w:pPr>
            <w:r>
              <w:rPr>
                <w:rFonts w:hint="eastAsia"/>
              </w:rPr>
              <w:t>测试方法</w:t>
            </w:r>
          </w:p>
        </w:tc>
        <w:tc>
          <w:tcPr>
            <w:tcW w:w="1378" w:type="dxa"/>
            <w:shd w:val="clear" w:color="auto" w:fill="E0E0E0"/>
            <w:vAlign w:val="center"/>
          </w:tcPr>
          <w:p>
            <w:pPr>
              <w:spacing w:line="360" w:lineRule="auto"/>
            </w:pPr>
            <w:r>
              <w:rPr>
                <w:rFonts w:hint="eastAsia"/>
              </w:rPr>
              <w:t>人员划分</w:t>
            </w:r>
          </w:p>
        </w:tc>
        <w:tc>
          <w:tcPr>
            <w:tcW w:w="1378" w:type="dxa"/>
            <w:shd w:val="clear" w:color="auto" w:fill="E0E0E0"/>
            <w:vAlign w:val="center"/>
          </w:tcPr>
          <w:p>
            <w:pPr>
              <w:spacing w:line="360" w:lineRule="auto"/>
            </w:pPr>
            <w:r>
              <w:rPr>
                <w:rFonts w:hint="eastAsia"/>
              </w:rPr>
              <w:t>持续时间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3" w:hRule="atLeast"/>
        </w:trPr>
        <w:tc>
          <w:tcPr>
            <w:tcW w:w="2531" w:type="dxa"/>
            <w:gridSpan w:val="2"/>
            <w:vAlign w:val="center"/>
          </w:tcPr>
          <w:p>
            <w:pPr>
              <w:spacing w:line="360" w:lineRule="auto"/>
            </w:pPr>
            <w:r>
              <w:rPr>
                <w:rFonts w:hint="eastAsia"/>
              </w:rPr>
              <w:t>需求分析评测</w:t>
            </w:r>
          </w:p>
        </w:tc>
        <w:tc>
          <w:tcPr>
            <w:tcW w:w="1637" w:type="dxa"/>
            <w:vAlign w:val="center"/>
          </w:tcPr>
          <w:p>
            <w:pPr>
              <w:spacing w:line="360" w:lineRule="auto"/>
            </w:pPr>
            <w:r>
              <w:rPr>
                <w:rFonts w:hint="eastAsia"/>
              </w:rPr>
              <w:t>对需求说明书内容进行内部审查，协助招标方完成需求规格说明书的评审确认。</w:t>
            </w:r>
          </w:p>
        </w:tc>
        <w:tc>
          <w:tcPr>
            <w:tcW w:w="1378" w:type="dxa"/>
            <w:vAlign w:val="center"/>
          </w:tcPr>
          <w:p>
            <w:pPr>
              <w:spacing w:line="360" w:lineRule="auto"/>
            </w:pPr>
            <w:r>
              <w:rPr>
                <w:rFonts w:hint="eastAsia"/>
              </w:rPr>
              <w:t>过程跟踪、内部评审</w:t>
            </w:r>
          </w:p>
        </w:tc>
        <w:tc>
          <w:tcPr>
            <w:tcW w:w="1378" w:type="dxa"/>
            <w:vAlign w:val="center"/>
          </w:tcPr>
          <w:p>
            <w:pPr>
              <w:spacing w:line="360" w:lineRule="auto"/>
            </w:pPr>
            <w:r>
              <w:rPr>
                <w:rFonts w:hint="eastAsia"/>
                <w:lang w:eastAsia="zh-CN"/>
              </w:rPr>
              <w:t>**信息</w:t>
            </w:r>
            <w:r>
              <w:rPr>
                <w:rFonts w:hint="eastAsia"/>
              </w:rPr>
              <w:t>测试单位、系统分析人员、设计人员</w:t>
            </w:r>
          </w:p>
        </w:tc>
        <w:tc>
          <w:tcPr>
            <w:tcW w:w="1378" w:type="dxa"/>
            <w:vAlign w:val="center"/>
          </w:tcPr>
          <w:p>
            <w:pPr>
              <w:spacing w:line="360" w:lineRule="auto"/>
            </w:pPr>
            <w:r>
              <w:t>2</w:t>
            </w:r>
            <w:r>
              <w:rPr>
                <w:rFonts w:hint="eastAsia"/>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3" w:hRule="atLeast"/>
        </w:trPr>
        <w:tc>
          <w:tcPr>
            <w:tcW w:w="2531" w:type="dxa"/>
            <w:gridSpan w:val="2"/>
            <w:vAlign w:val="center"/>
          </w:tcPr>
          <w:p>
            <w:pPr>
              <w:spacing w:line="360" w:lineRule="auto"/>
            </w:pPr>
            <w:r>
              <w:rPr>
                <w:rFonts w:hint="eastAsia"/>
              </w:rPr>
              <w:t>概要设计评测</w:t>
            </w:r>
          </w:p>
        </w:tc>
        <w:tc>
          <w:tcPr>
            <w:tcW w:w="1637" w:type="dxa"/>
            <w:vAlign w:val="center"/>
          </w:tcPr>
          <w:p>
            <w:pPr>
              <w:spacing w:line="360" w:lineRule="auto"/>
            </w:pPr>
            <w:r>
              <w:rPr>
                <w:rFonts w:hint="eastAsia"/>
              </w:rPr>
              <w:t>（1）概要设计过程跟踪。</w:t>
            </w:r>
          </w:p>
          <w:p>
            <w:pPr>
              <w:spacing w:line="360" w:lineRule="auto"/>
            </w:pPr>
            <w:r>
              <w:rPr>
                <w:rFonts w:hint="eastAsia"/>
              </w:rPr>
              <w:t>（2）内部审查，协助招标方完成说明书的评审确认。</w:t>
            </w:r>
          </w:p>
        </w:tc>
        <w:tc>
          <w:tcPr>
            <w:tcW w:w="1378" w:type="dxa"/>
            <w:vAlign w:val="center"/>
          </w:tcPr>
          <w:p>
            <w:pPr>
              <w:spacing w:line="360" w:lineRule="auto"/>
            </w:pPr>
            <w:r>
              <w:rPr>
                <w:rFonts w:hint="eastAsia"/>
              </w:rPr>
              <w:t>过程跟踪、内部评审</w:t>
            </w:r>
          </w:p>
        </w:tc>
        <w:tc>
          <w:tcPr>
            <w:tcW w:w="1378" w:type="dxa"/>
            <w:vAlign w:val="center"/>
          </w:tcPr>
          <w:p>
            <w:pPr>
              <w:spacing w:line="360" w:lineRule="auto"/>
            </w:pPr>
            <w:r>
              <w:rPr>
                <w:rFonts w:hint="eastAsia"/>
                <w:lang w:eastAsia="zh-CN"/>
              </w:rPr>
              <w:t>**信息</w:t>
            </w:r>
            <w:r>
              <w:rPr>
                <w:rFonts w:hint="eastAsia"/>
              </w:rPr>
              <w:t>测试单位、系统分析人员、设计人员</w:t>
            </w:r>
          </w:p>
        </w:tc>
        <w:tc>
          <w:tcPr>
            <w:tcW w:w="1378" w:type="dxa"/>
            <w:vAlign w:val="center"/>
          </w:tcPr>
          <w:p>
            <w:pPr>
              <w:spacing w:line="360" w:lineRule="auto"/>
            </w:pPr>
            <w:r>
              <w:rPr>
                <w:rFonts w:hint="eastAsia"/>
              </w:rPr>
              <w:t>1天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3" w:hRule="atLeast"/>
        </w:trPr>
        <w:tc>
          <w:tcPr>
            <w:tcW w:w="2531" w:type="dxa"/>
            <w:gridSpan w:val="2"/>
            <w:vAlign w:val="center"/>
          </w:tcPr>
          <w:p>
            <w:pPr>
              <w:spacing w:line="360" w:lineRule="auto"/>
            </w:pPr>
            <w:r>
              <w:rPr>
                <w:rFonts w:hint="eastAsia"/>
              </w:rPr>
              <w:t>详细设计评测</w:t>
            </w:r>
          </w:p>
        </w:tc>
        <w:tc>
          <w:tcPr>
            <w:tcW w:w="1637" w:type="dxa"/>
            <w:vAlign w:val="center"/>
          </w:tcPr>
          <w:p>
            <w:pPr>
              <w:spacing w:line="360" w:lineRule="auto"/>
            </w:pPr>
            <w:r>
              <w:rPr>
                <w:rFonts w:hint="eastAsia"/>
              </w:rPr>
              <w:t>（</w:t>
            </w:r>
            <w:r>
              <w:t>1</w:t>
            </w:r>
            <w:r>
              <w:rPr>
                <w:rFonts w:hint="eastAsia"/>
              </w:rPr>
              <w:t>）详细设计过程跟踪。</w:t>
            </w:r>
          </w:p>
          <w:p>
            <w:pPr>
              <w:spacing w:line="360" w:lineRule="auto"/>
            </w:pPr>
            <w:r>
              <w:rPr>
                <w:rFonts w:hint="eastAsia"/>
              </w:rPr>
              <w:t>（</w:t>
            </w:r>
            <w:r>
              <w:t>2</w:t>
            </w:r>
            <w:r>
              <w:rPr>
                <w:rFonts w:hint="eastAsia"/>
              </w:rPr>
              <w:t>）内容进行内部审查，协助招标方完成说明书的评审确认。</w:t>
            </w:r>
          </w:p>
        </w:tc>
        <w:tc>
          <w:tcPr>
            <w:tcW w:w="1378" w:type="dxa"/>
            <w:vAlign w:val="center"/>
          </w:tcPr>
          <w:p>
            <w:pPr>
              <w:spacing w:line="360" w:lineRule="auto"/>
            </w:pPr>
            <w:r>
              <w:rPr>
                <w:rFonts w:hint="eastAsia"/>
              </w:rPr>
              <w:t>过程跟踪、内部评审</w:t>
            </w:r>
          </w:p>
        </w:tc>
        <w:tc>
          <w:tcPr>
            <w:tcW w:w="1378" w:type="dxa"/>
            <w:vAlign w:val="center"/>
          </w:tcPr>
          <w:p>
            <w:pPr>
              <w:spacing w:line="360" w:lineRule="auto"/>
            </w:pPr>
            <w:r>
              <w:rPr>
                <w:rFonts w:hint="eastAsia"/>
                <w:lang w:eastAsia="zh-CN"/>
              </w:rPr>
              <w:t>**信息</w:t>
            </w:r>
            <w:r>
              <w:rPr>
                <w:rFonts w:hint="eastAsia"/>
              </w:rPr>
              <w:t>测试单位，系统分析人员、系统设计人员、数据库设计人员</w:t>
            </w:r>
          </w:p>
        </w:tc>
        <w:tc>
          <w:tcPr>
            <w:tcW w:w="1378" w:type="dxa"/>
            <w:vAlign w:val="center"/>
          </w:tcPr>
          <w:p>
            <w:pPr>
              <w:spacing w:line="360" w:lineRule="auto"/>
            </w:pPr>
            <w:r>
              <w:t>2</w:t>
            </w:r>
            <w:r>
              <w:rPr>
                <w:rFonts w:hint="eastAsia"/>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3" w:hRule="atLeast"/>
        </w:trPr>
        <w:tc>
          <w:tcPr>
            <w:tcW w:w="2531" w:type="dxa"/>
            <w:gridSpan w:val="2"/>
            <w:vAlign w:val="center"/>
          </w:tcPr>
          <w:p>
            <w:pPr>
              <w:spacing w:line="360" w:lineRule="auto"/>
            </w:pPr>
            <w:r>
              <w:rPr>
                <w:rFonts w:hint="eastAsia"/>
              </w:rPr>
              <w:t>源代码审查</w:t>
            </w:r>
          </w:p>
        </w:tc>
        <w:tc>
          <w:tcPr>
            <w:tcW w:w="1637" w:type="dxa"/>
            <w:vAlign w:val="center"/>
          </w:tcPr>
          <w:p>
            <w:pPr>
              <w:spacing w:line="360" w:lineRule="auto"/>
            </w:pPr>
            <w:r>
              <w:rPr>
                <w:rFonts w:hint="eastAsia"/>
              </w:rPr>
              <w:t>（</w:t>
            </w:r>
            <w:r>
              <w:t>1</w:t>
            </w:r>
            <w:r>
              <w:rPr>
                <w:rFonts w:hint="eastAsia"/>
              </w:rPr>
              <w:t>）制定编码标准和实现规范。</w:t>
            </w:r>
          </w:p>
          <w:p>
            <w:pPr>
              <w:spacing w:line="360" w:lineRule="auto"/>
            </w:pPr>
            <w:r>
              <w:rPr>
                <w:rFonts w:hint="eastAsia"/>
              </w:rPr>
              <w:t>（</w:t>
            </w:r>
            <w:r>
              <w:t>2</w:t>
            </w:r>
            <w:r>
              <w:rPr>
                <w:rFonts w:hint="eastAsia"/>
              </w:rPr>
              <w:t>）依据编码标准与实现规范进行源代码审查。</w:t>
            </w:r>
          </w:p>
        </w:tc>
        <w:tc>
          <w:tcPr>
            <w:tcW w:w="1378" w:type="dxa"/>
            <w:vAlign w:val="center"/>
          </w:tcPr>
          <w:p>
            <w:pPr>
              <w:spacing w:line="360" w:lineRule="auto"/>
            </w:pPr>
            <w:r>
              <w:rPr>
                <w:rFonts w:hint="eastAsia"/>
              </w:rPr>
              <w:t>静态测试方法</w:t>
            </w:r>
          </w:p>
        </w:tc>
        <w:tc>
          <w:tcPr>
            <w:tcW w:w="1378" w:type="dxa"/>
            <w:vAlign w:val="center"/>
          </w:tcPr>
          <w:p>
            <w:pPr>
              <w:spacing w:line="360" w:lineRule="auto"/>
            </w:pPr>
            <w:r>
              <w:rPr>
                <w:rFonts w:hint="eastAsia"/>
                <w:lang w:eastAsia="zh-CN"/>
              </w:rPr>
              <w:t>**信息</w:t>
            </w:r>
            <w:r>
              <w:rPr>
                <w:rFonts w:hint="eastAsia"/>
              </w:rPr>
              <w:t>开发单位、测试单位</w:t>
            </w:r>
          </w:p>
        </w:tc>
        <w:tc>
          <w:tcPr>
            <w:tcW w:w="1378" w:type="dxa"/>
            <w:vAlign w:val="center"/>
          </w:tcPr>
          <w:p>
            <w:pPr>
              <w:spacing w:line="360" w:lineRule="auto"/>
            </w:pPr>
            <w:r>
              <w:t>2</w:t>
            </w:r>
            <w:r>
              <w:rPr>
                <w:rFonts w:hint="eastAsia"/>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3" w:hRule="atLeast"/>
        </w:trPr>
        <w:tc>
          <w:tcPr>
            <w:tcW w:w="1545" w:type="dxa"/>
            <w:vMerge w:val="restart"/>
            <w:shd w:val="clear" w:color="auto" w:fill="auto"/>
            <w:vAlign w:val="center"/>
          </w:tcPr>
          <w:p>
            <w:pPr>
              <w:spacing w:line="360" w:lineRule="auto"/>
            </w:pPr>
            <w:r>
              <w:rPr>
                <w:rFonts w:hint="eastAsia"/>
              </w:rPr>
              <w:t>实验室环境测试</w:t>
            </w:r>
          </w:p>
        </w:tc>
        <w:tc>
          <w:tcPr>
            <w:tcW w:w="986" w:type="dxa"/>
            <w:shd w:val="clear" w:color="auto" w:fill="auto"/>
            <w:vAlign w:val="center"/>
          </w:tcPr>
          <w:p>
            <w:pPr>
              <w:spacing w:line="360" w:lineRule="auto"/>
            </w:pPr>
            <w:r>
              <w:rPr>
                <w:rFonts w:hint="eastAsia"/>
              </w:rPr>
              <w:t>系统测试</w:t>
            </w:r>
          </w:p>
        </w:tc>
        <w:tc>
          <w:tcPr>
            <w:tcW w:w="1637" w:type="dxa"/>
            <w:vAlign w:val="center"/>
          </w:tcPr>
          <w:p>
            <w:pPr>
              <w:spacing w:line="360" w:lineRule="auto"/>
            </w:pPr>
            <w:r>
              <w:rPr>
                <w:rFonts w:hint="eastAsia"/>
              </w:rPr>
              <w:t>依据设计说明书对模块进行组装测试。</w:t>
            </w:r>
          </w:p>
        </w:tc>
        <w:tc>
          <w:tcPr>
            <w:tcW w:w="1378" w:type="dxa"/>
            <w:shd w:val="clear" w:color="auto" w:fill="auto"/>
            <w:vAlign w:val="center"/>
          </w:tcPr>
          <w:p>
            <w:pPr>
              <w:spacing w:line="360" w:lineRule="auto"/>
            </w:pPr>
            <w:r>
              <w:rPr>
                <w:rFonts w:hint="eastAsia"/>
              </w:rPr>
              <w:t>功能测试</w:t>
            </w:r>
          </w:p>
        </w:tc>
        <w:tc>
          <w:tcPr>
            <w:tcW w:w="1378" w:type="dxa"/>
            <w:shd w:val="clear" w:color="auto" w:fill="auto"/>
            <w:vAlign w:val="center"/>
          </w:tcPr>
          <w:p>
            <w:pPr>
              <w:spacing w:line="360" w:lineRule="auto"/>
            </w:pPr>
            <w:r>
              <w:rPr>
                <w:rFonts w:hint="eastAsia"/>
                <w:lang w:eastAsia="zh-CN"/>
              </w:rPr>
              <w:t>**信息</w:t>
            </w:r>
            <w:r>
              <w:rPr>
                <w:rFonts w:hint="eastAsia"/>
              </w:rPr>
              <w:t>开发单位、测试单位</w:t>
            </w:r>
          </w:p>
        </w:tc>
        <w:tc>
          <w:tcPr>
            <w:tcW w:w="1378" w:type="dxa"/>
            <w:shd w:val="clear" w:color="auto" w:fill="auto"/>
            <w:vAlign w:val="center"/>
          </w:tcPr>
          <w:p>
            <w:pPr>
              <w:spacing w:line="360" w:lineRule="auto"/>
            </w:pPr>
            <w:r>
              <w:t>3</w:t>
            </w:r>
            <w:r>
              <w:rPr>
                <w:rFonts w:hint="eastAsia"/>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3" w:hRule="atLeast"/>
        </w:trPr>
        <w:tc>
          <w:tcPr>
            <w:tcW w:w="1545" w:type="dxa"/>
            <w:vMerge w:val="continue"/>
            <w:shd w:val="clear" w:color="auto" w:fill="auto"/>
            <w:vAlign w:val="center"/>
          </w:tcPr>
          <w:p>
            <w:pPr>
              <w:spacing w:line="360" w:lineRule="auto"/>
            </w:pPr>
          </w:p>
        </w:tc>
        <w:tc>
          <w:tcPr>
            <w:tcW w:w="986" w:type="dxa"/>
            <w:shd w:val="clear" w:color="auto" w:fill="auto"/>
            <w:vAlign w:val="center"/>
          </w:tcPr>
          <w:p>
            <w:pPr>
              <w:spacing w:line="360" w:lineRule="auto"/>
            </w:pPr>
            <w:r>
              <w:rPr>
                <w:rFonts w:hint="eastAsia"/>
              </w:rPr>
              <w:t>功能测试</w:t>
            </w:r>
          </w:p>
        </w:tc>
        <w:tc>
          <w:tcPr>
            <w:tcW w:w="1637" w:type="dxa"/>
            <w:vAlign w:val="center"/>
          </w:tcPr>
          <w:p>
            <w:pPr>
              <w:spacing w:line="360" w:lineRule="auto"/>
            </w:pPr>
            <w:r>
              <w:rPr>
                <w:rFonts w:hint="eastAsia"/>
              </w:rPr>
              <w:t>与计算机硬件、外设、某些支持软件、数据和人员等系统因素结合在一起，采用黑盒场景法对系统进行验证软件功能需求的测试工作并出具测试报告。</w:t>
            </w:r>
          </w:p>
        </w:tc>
        <w:tc>
          <w:tcPr>
            <w:tcW w:w="1378" w:type="dxa"/>
            <w:shd w:val="clear" w:color="auto" w:fill="auto"/>
            <w:vAlign w:val="center"/>
          </w:tcPr>
          <w:p>
            <w:pPr>
              <w:spacing w:line="360" w:lineRule="auto"/>
            </w:pPr>
            <w:r>
              <w:rPr>
                <w:rFonts w:hint="eastAsia"/>
              </w:rPr>
              <w:t>功能测试</w:t>
            </w:r>
          </w:p>
        </w:tc>
        <w:tc>
          <w:tcPr>
            <w:tcW w:w="1378" w:type="dxa"/>
            <w:shd w:val="clear" w:color="auto" w:fill="auto"/>
            <w:vAlign w:val="center"/>
          </w:tcPr>
          <w:p>
            <w:pPr>
              <w:spacing w:line="360" w:lineRule="auto"/>
            </w:pPr>
            <w:r>
              <w:rPr>
                <w:rFonts w:hint="eastAsia"/>
                <w:lang w:eastAsia="zh-CN"/>
              </w:rPr>
              <w:t>**信息</w:t>
            </w:r>
            <w:r>
              <w:rPr>
                <w:rFonts w:hint="eastAsia"/>
              </w:rPr>
              <w:t>开发单位、测试单位</w:t>
            </w:r>
          </w:p>
        </w:tc>
        <w:tc>
          <w:tcPr>
            <w:tcW w:w="1378" w:type="dxa"/>
            <w:shd w:val="clear" w:color="auto" w:fill="auto"/>
            <w:vAlign w:val="center"/>
          </w:tcPr>
          <w:p>
            <w:pPr>
              <w:spacing w:line="360" w:lineRule="auto"/>
            </w:pPr>
            <w:r>
              <w:t>10</w:t>
            </w:r>
            <w:r>
              <w:rPr>
                <w:rFonts w:hint="eastAsia"/>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3" w:hRule="atLeast"/>
        </w:trPr>
        <w:tc>
          <w:tcPr>
            <w:tcW w:w="1545" w:type="dxa"/>
            <w:vMerge w:val="continue"/>
            <w:shd w:val="clear" w:color="auto" w:fill="auto"/>
            <w:textDirection w:val="tbRlV"/>
            <w:vAlign w:val="center"/>
          </w:tcPr>
          <w:p>
            <w:pPr>
              <w:spacing w:line="360" w:lineRule="auto"/>
            </w:pPr>
          </w:p>
        </w:tc>
        <w:tc>
          <w:tcPr>
            <w:tcW w:w="986" w:type="dxa"/>
            <w:shd w:val="clear" w:color="auto" w:fill="auto"/>
            <w:vAlign w:val="center"/>
          </w:tcPr>
          <w:p>
            <w:pPr>
              <w:spacing w:line="360" w:lineRule="auto"/>
            </w:pPr>
            <w:r>
              <w:rPr>
                <w:rFonts w:hint="eastAsia"/>
              </w:rPr>
              <w:t>回归测试</w:t>
            </w:r>
          </w:p>
        </w:tc>
        <w:tc>
          <w:tcPr>
            <w:tcW w:w="1637" w:type="dxa"/>
            <w:vAlign w:val="center"/>
          </w:tcPr>
          <w:p>
            <w:pPr>
              <w:spacing w:line="360" w:lineRule="auto"/>
            </w:pPr>
            <w:r>
              <w:rPr>
                <w:rFonts w:hint="eastAsia"/>
              </w:rPr>
              <w:t>开发单位完成对被测版本的修正后，再次提交测试申请。本项目测试单位将完成此版本的回归测试，并再次提交测试报告。直至此版本无错误。</w:t>
            </w:r>
          </w:p>
        </w:tc>
        <w:tc>
          <w:tcPr>
            <w:tcW w:w="1378" w:type="dxa"/>
            <w:shd w:val="clear" w:color="auto" w:fill="auto"/>
            <w:vAlign w:val="center"/>
          </w:tcPr>
          <w:p>
            <w:pPr>
              <w:spacing w:line="360" w:lineRule="auto"/>
            </w:pPr>
            <w:r>
              <w:rPr>
                <w:rFonts w:hint="eastAsia"/>
              </w:rPr>
              <w:t>功能测试</w:t>
            </w:r>
          </w:p>
        </w:tc>
        <w:tc>
          <w:tcPr>
            <w:tcW w:w="1378" w:type="dxa"/>
            <w:shd w:val="clear" w:color="auto" w:fill="auto"/>
            <w:vAlign w:val="center"/>
          </w:tcPr>
          <w:p>
            <w:pPr>
              <w:spacing w:line="360" w:lineRule="auto"/>
            </w:pPr>
            <w:r>
              <w:rPr>
                <w:rFonts w:hint="eastAsia"/>
                <w:lang w:eastAsia="zh-CN"/>
              </w:rPr>
              <w:t>**信息</w:t>
            </w:r>
            <w:r>
              <w:rPr>
                <w:rFonts w:hint="eastAsia"/>
              </w:rPr>
              <w:t>开发单位、测试单位</w:t>
            </w:r>
          </w:p>
        </w:tc>
        <w:tc>
          <w:tcPr>
            <w:tcW w:w="1378" w:type="dxa"/>
            <w:shd w:val="clear" w:color="auto" w:fill="auto"/>
            <w:vAlign w:val="center"/>
          </w:tcPr>
          <w:p>
            <w:pPr>
              <w:spacing w:line="360" w:lineRule="auto"/>
            </w:pPr>
            <w:r>
              <w:t>5</w:t>
            </w:r>
            <w:r>
              <w:rPr>
                <w:rFonts w:hint="eastAsia"/>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3" w:hRule="atLeast"/>
        </w:trPr>
        <w:tc>
          <w:tcPr>
            <w:tcW w:w="1545" w:type="dxa"/>
            <w:vMerge w:val="continue"/>
            <w:shd w:val="clear" w:color="auto" w:fill="auto"/>
            <w:textDirection w:val="tbRlV"/>
            <w:vAlign w:val="center"/>
          </w:tcPr>
          <w:p>
            <w:pPr>
              <w:spacing w:line="360" w:lineRule="auto"/>
            </w:pPr>
          </w:p>
        </w:tc>
        <w:tc>
          <w:tcPr>
            <w:tcW w:w="986" w:type="dxa"/>
            <w:shd w:val="clear" w:color="auto" w:fill="auto"/>
            <w:vAlign w:val="center"/>
          </w:tcPr>
          <w:p>
            <w:pPr>
              <w:spacing w:line="360" w:lineRule="auto"/>
            </w:pPr>
            <w:r>
              <w:rPr>
                <w:rFonts w:hint="eastAsia"/>
              </w:rPr>
              <w:t>性能测试</w:t>
            </w:r>
          </w:p>
        </w:tc>
        <w:tc>
          <w:tcPr>
            <w:tcW w:w="1637" w:type="dxa"/>
            <w:vAlign w:val="center"/>
          </w:tcPr>
          <w:p>
            <w:pPr>
              <w:spacing w:line="360" w:lineRule="auto"/>
            </w:pPr>
            <w:r>
              <w:rPr>
                <w:rFonts w:hint="eastAsia"/>
              </w:rPr>
              <w:t>凡大数据量、批处理业务均进行脚本录制、场景设计、测试执行并出具测试报告。</w:t>
            </w:r>
          </w:p>
        </w:tc>
        <w:tc>
          <w:tcPr>
            <w:tcW w:w="1378" w:type="dxa"/>
            <w:shd w:val="clear" w:color="auto" w:fill="auto"/>
            <w:vAlign w:val="center"/>
          </w:tcPr>
          <w:p>
            <w:pPr>
              <w:spacing w:line="360" w:lineRule="auto"/>
            </w:pPr>
            <w:r>
              <w:rPr>
                <w:rFonts w:hint="eastAsia"/>
              </w:rPr>
              <w:t>性能测试</w:t>
            </w:r>
          </w:p>
        </w:tc>
        <w:tc>
          <w:tcPr>
            <w:tcW w:w="1378" w:type="dxa"/>
            <w:shd w:val="clear" w:color="auto" w:fill="auto"/>
            <w:vAlign w:val="center"/>
          </w:tcPr>
          <w:p>
            <w:pPr>
              <w:spacing w:line="360" w:lineRule="auto"/>
            </w:pPr>
            <w:r>
              <w:rPr>
                <w:rFonts w:hint="eastAsia"/>
                <w:lang w:eastAsia="zh-CN"/>
              </w:rPr>
              <w:t>**信息</w:t>
            </w:r>
            <w:r>
              <w:rPr>
                <w:rFonts w:hint="eastAsia"/>
              </w:rPr>
              <w:t>开发单位、测试单位</w:t>
            </w:r>
          </w:p>
        </w:tc>
        <w:tc>
          <w:tcPr>
            <w:tcW w:w="1378" w:type="dxa"/>
            <w:shd w:val="clear" w:color="auto" w:fill="auto"/>
            <w:vAlign w:val="center"/>
          </w:tcPr>
          <w:p>
            <w:pPr>
              <w:spacing w:line="360" w:lineRule="auto"/>
            </w:pPr>
            <w:r>
              <w:t>5</w:t>
            </w:r>
            <w:r>
              <w:rPr>
                <w:rFonts w:hint="eastAsia"/>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3" w:hRule="atLeast"/>
        </w:trPr>
        <w:tc>
          <w:tcPr>
            <w:tcW w:w="2531" w:type="dxa"/>
            <w:gridSpan w:val="2"/>
            <w:shd w:val="clear" w:color="auto" w:fill="auto"/>
            <w:vAlign w:val="center"/>
          </w:tcPr>
          <w:p>
            <w:pPr>
              <w:spacing w:line="360" w:lineRule="auto"/>
            </w:pPr>
            <w:r>
              <w:rPr>
                <w:rFonts w:hint="eastAsia"/>
              </w:rPr>
              <w:t>实际环境测试</w:t>
            </w:r>
          </w:p>
        </w:tc>
        <w:tc>
          <w:tcPr>
            <w:tcW w:w="1637" w:type="dxa"/>
            <w:vAlign w:val="center"/>
          </w:tcPr>
          <w:p>
            <w:pPr>
              <w:spacing w:line="360" w:lineRule="auto"/>
            </w:pPr>
            <w:r>
              <w:rPr>
                <w:rFonts w:hint="eastAsia"/>
              </w:rPr>
              <w:t>在实际环境中对系统功能性、可靠性、健壮性、可用性、易用性、维护性、扩展性、伸缩性、移植性、安全性、压力、灾备等方面测试，并进行最终验收测试。</w:t>
            </w:r>
          </w:p>
        </w:tc>
        <w:tc>
          <w:tcPr>
            <w:tcW w:w="1378" w:type="dxa"/>
            <w:vAlign w:val="center"/>
          </w:tcPr>
          <w:p>
            <w:pPr>
              <w:spacing w:line="360" w:lineRule="auto"/>
            </w:pPr>
            <w:r>
              <w:rPr>
                <w:rFonts w:hint="eastAsia"/>
              </w:rPr>
              <w:t>在实际环境中采用上述各测试方法执行测试。</w:t>
            </w:r>
          </w:p>
        </w:tc>
        <w:tc>
          <w:tcPr>
            <w:tcW w:w="1378" w:type="dxa"/>
            <w:vAlign w:val="center"/>
          </w:tcPr>
          <w:p>
            <w:pPr>
              <w:spacing w:line="360" w:lineRule="auto"/>
            </w:pPr>
            <w:r>
              <w:rPr>
                <w:rFonts w:hint="eastAsia"/>
                <w:lang w:eastAsia="zh-CN"/>
              </w:rPr>
              <w:t>**信息</w:t>
            </w:r>
            <w:r>
              <w:rPr>
                <w:rFonts w:hint="eastAsia"/>
              </w:rPr>
              <w:t>测试单位</w:t>
            </w:r>
          </w:p>
        </w:tc>
        <w:tc>
          <w:tcPr>
            <w:tcW w:w="1378" w:type="dxa"/>
            <w:vAlign w:val="center"/>
          </w:tcPr>
          <w:p>
            <w:pPr>
              <w:spacing w:line="360" w:lineRule="auto"/>
            </w:pPr>
            <w:r>
              <w:rPr>
                <w:rFonts w:hint="eastAsia"/>
              </w:rPr>
              <w:t>5天</w:t>
            </w:r>
          </w:p>
        </w:tc>
      </w:tr>
    </w:tbl>
    <w:p>
      <w:pPr>
        <w:spacing w:line="360" w:lineRule="auto"/>
      </w:pPr>
    </w:p>
    <w:p>
      <w:pPr>
        <w:pStyle w:val="5"/>
        <w:numPr>
          <w:ilvl w:val="3"/>
          <w:numId w:val="3"/>
        </w:numPr>
        <w:spacing w:before="0" w:after="0" w:line="360" w:lineRule="auto"/>
        <w:ind w:left="0" w:leftChars="0" w:firstLine="402" w:firstLineChars="0"/>
      </w:pPr>
      <w:bookmarkStart w:id="483" w:name="_Toc8192"/>
      <w:r>
        <w:rPr>
          <w:rFonts w:hint="eastAsia"/>
        </w:rPr>
        <w:t>测试组织</w:t>
      </w:r>
      <w:bookmarkEnd w:id="483"/>
    </w:p>
    <w:p>
      <w:pPr>
        <w:spacing w:line="360" w:lineRule="auto"/>
        <w:ind w:firstLine="480" w:firstLineChars="200"/>
        <w:rPr>
          <w:sz w:val="24"/>
          <w:szCs w:val="24"/>
        </w:rPr>
      </w:pPr>
      <w:r>
        <w:rPr>
          <w:rFonts w:hint="eastAsia"/>
          <w:sz w:val="24"/>
          <w:szCs w:val="24"/>
        </w:rPr>
        <w:t>根据系统规模及招标方的测试要求，本项目测试将成立专门的测试单位，由高级测试经理和15名以上专业的、有经验的软件测试工程师构成。拟设立测试设计、测试执行、测试分析等角色，角色之间不具有明显边界，与测试工程师可以为一对一、一对多或多对多关系。</w:t>
      </w:r>
    </w:p>
    <w:p>
      <w:pPr>
        <w:spacing w:line="360" w:lineRule="auto"/>
        <w:ind w:firstLine="480" w:firstLineChars="200"/>
        <w:rPr>
          <w:sz w:val="24"/>
          <w:szCs w:val="24"/>
        </w:rPr>
      </w:pPr>
      <w:r>
        <w:rPr>
          <w:rFonts w:hint="eastAsia"/>
          <w:sz w:val="24"/>
          <w:szCs w:val="24"/>
        </w:rPr>
        <w:t>高级测试经理由具有丰富质量管理经验的专家和管理人员担当，负责项目测试方案的制定、测试进度的把握、测试过程的跟踪及与项目干系人交互。</w:t>
      </w:r>
    </w:p>
    <w:p>
      <w:pPr>
        <w:spacing w:line="360" w:lineRule="auto"/>
        <w:ind w:firstLine="480" w:firstLineChars="200"/>
        <w:rPr>
          <w:sz w:val="24"/>
          <w:szCs w:val="24"/>
        </w:rPr>
      </w:pPr>
      <w:r>
        <w:rPr>
          <w:rFonts w:hint="eastAsia"/>
          <w:sz w:val="24"/>
          <w:szCs w:val="24"/>
        </w:rPr>
        <w:t>测试工程师负责制定测试计划、搭建测试环境、编写测试方案和设计、进行适当的测试开发，根据项目需求规格说明书编写和执行测试用例，在测试过程中填写测试缺陷报告，定期通过测试缺陷报告库中数据反映的信息总结和分析测试进展状况，并及时向测试经理以及其他相关人员进行汇报。</w:t>
      </w:r>
    </w:p>
    <w:p>
      <w:pPr>
        <w:spacing w:line="360" w:lineRule="auto"/>
        <w:ind w:firstLine="480" w:firstLineChars="200"/>
        <w:rPr>
          <w:sz w:val="24"/>
          <w:szCs w:val="24"/>
        </w:rPr>
      </w:pPr>
      <w:r>
        <w:rPr>
          <w:rFonts w:hint="eastAsia"/>
          <w:sz w:val="24"/>
          <w:szCs w:val="24"/>
        </w:rPr>
        <w:t>测试单位负责系统全面的测试工作，在测试特定阶段需要有招标方业务人员和本方项目开发人员参与测试，与测试单位共同完成易用性、可维护性等方面的测试。</w:t>
      </w:r>
    </w:p>
    <w:p>
      <w:pPr>
        <w:spacing w:line="360" w:lineRule="auto"/>
        <w:ind w:firstLine="480" w:firstLineChars="200"/>
        <w:rPr>
          <w:sz w:val="24"/>
          <w:szCs w:val="24"/>
        </w:rPr>
      </w:pPr>
      <w:r>
        <w:rPr>
          <w:rFonts w:hint="eastAsia"/>
          <w:sz w:val="24"/>
          <w:szCs w:val="24"/>
        </w:rPr>
        <w:t>实施项目测试大致需要人员安排如下：</w:t>
      </w:r>
    </w:p>
    <w:p>
      <w:pPr>
        <w:spacing w:line="360" w:lineRule="auto"/>
        <w:ind w:firstLine="480" w:firstLineChars="200"/>
        <w:rPr>
          <w:sz w:val="24"/>
          <w:szCs w:val="24"/>
        </w:rPr>
      </w:pPr>
      <w:r>
        <w:rPr>
          <w:rFonts w:hint="eastAsia"/>
          <w:sz w:val="24"/>
          <w:szCs w:val="24"/>
        </w:rPr>
        <w:t>高级测试经理：1名</w:t>
      </w:r>
    </w:p>
    <w:p>
      <w:pPr>
        <w:spacing w:line="360" w:lineRule="auto"/>
        <w:ind w:firstLine="480" w:firstLineChars="200"/>
        <w:rPr>
          <w:sz w:val="24"/>
          <w:szCs w:val="24"/>
        </w:rPr>
      </w:pPr>
      <w:r>
        <w:rPr>
          <w:rFonts w:hint="eastAsia"/>
          <w:sz w:val="24"/>
          <w:szCs w:val="24"/>
        </w:rPr>
        <w:t>功能测试工程师：</w:t>
      </w:r>
      <w:r>
        <w:rPr>
          <w:sz w:val="24"/>
          <w:szCs w:val="24"/>
        </w:rPr>
        <w:t>5</w:t>
      </w:r>
      <w:r>
        <w:rPr>
          <w:rFonts w:hint="eastAsia"/>
          <w:sz w:val="24"/>
          <w:szCs w:val="24"/>
        </w:rPr>
        <w:t>名</w:t>
      </w:r>
    </w:p>
    <w:p>
      <w:pPr>
        <w:spacing w:line="360" w:lineRule="auto"/>
        <w:ind w:firstLine="480" w:firstLineChars="200"/>
        <w:rPr>
          <w:sz w:val="24"/>
          <w:szCs w:val="24"/>
        </w:rPr>
      </w:pPr>
      <w:r>
        <w:rPr>
          <w:rFonts w:hint="eastAsia"/>
          <w:sz w:val="24"/>
          <w:szCs w:val="24"/>
        </w:rPr>
        <w:t>非功能测试工程师（含性能测试、压力测试、安全性测试、容灾测试、可靠性测试、可用性测试等非功能因素）：</w:t>
      </w:r>
      <w:r>
        <w:rPr>
          <w:sz w:val="24"/>
          <w:szCs w:val="24"/>
        </w:rPr>
        <w:t>2</w:t>
      </w:r>
      <w:r>
        <w:rPr>
          <w:rFonts w:hint="eastAsia"/>
          <w:sz w:val="24"/>
          <w:szCs w:val="24"/>
        </w:rPr>
        <w:t>名</w:t>
      </w:r>
    </w:p>
    <w:p>
      <w:pPr>
        <w:spacing w:line="360" w:lineRule="auto"/>
        <w:ind w:firstLine="480" w:firstLineChars="200"/>
        <w:rPr>
          <w:sz w:val="24"/>
          <w:szCs w:val="24"/>
        </w:rPr>
      </w:pPr>
      <w:r>
        <w:rPr>
          <w:rFonts w:hint="eastAsia"/>
          <w:sz w:val="24"/>
          <w:szCs w:val="24"/>
        </w:rPr>
        <w:t>共计：</w:t>
      </w:r>
      <w:r>
        <w:rPr>
          <w:sz w:val="24"/>
          <w:szCs w:val="24"/>
        </w:rPr>
        <w:t>8</w:t>
      </w:r>
      <w:r>
        <w:rPr>
          <w:rFonts w:hint="eastAsia"/>
          <w:sz w:val="24"/>
          <w:szCs w:val="24"/>
        </w:rPr>
        <w:t>名</w:t>
      </w:r>
    </w:p>
    <w:p>
      <w:pPr>
        <w:spacing w:line="360" w:lineRule="auto"/>
        <w:ind w:firstLine="480" w:firstLineChars="200"/>
        <w:rPr>
          <w:sz w:val="24"/>
          <w:szCs w:val="24"/>
        </w:rPr>
      </w:pPr>
      <w:r>
        <w:rPr>
          <w:rFonts w:hint="eastAsia"/>
          <w:sz w:val="24"/>
          <w:szCs w:val="24"/>
        </w:rPr>
        <w:t>测试角色划分见下表：</w:t>
      </w:r>
    </w:p>
    <w:tbl>
      <w:tblPr>
        <w:tblStyle w:val="34"/>
        <w:tblW w:w="82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3425"/>
        <w:gridCol w:w="3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blHeader/>
          <w:jc w:val="center"/>
        </w:trPr>
        <w:tc>
          <w:tcPr>
            <w:tcW w:w="1419" w:type="dxa"/>
            <w:shd w:val="clear" w:color="auto" w:fill="E0E0E0"/>
            <w:vAlign w:val="center"/>
          </w:tcPr>
          <w:p>
            <w:pPr>
              <w:spacing w:line="360" w:lineRule="auto"/>
            </w:pPr>
            <w:r>
              <w:rPr>
                <w:rFonts w:hint="eastAsia"/>
              </w:rPr>
              <w:t>角色</w:t>
            </w:r>
          </w:p>
        </w:tc>
        <w:tc>
          <w:tcPr>
            <w:tcW w:w="3425" w:type="dxa"/>
            <w:shd w:val="clear" w:color="auto" w:fill="E0E0E0"/>
            <w:vAlign w:val="center"/>
          </w:tcPr>
          <w:p>
            <w:pPr>
              <w:spacing w:line="360" w:lineRule="auto"/>
            </w:pPr>
            <w:r>
              <w:rPr>
                <w:rFonts w:hint="eastAsia"/>
              </w:rPr>
              <w:t>职责</w:t>
            </w:r>
          </w:p>
        </w:tc>
        <w:tc>
          <w:tcPr>
            <w:tcW w:w="3426" w:type="dxa"/>
            <w:shd w:val="clear" w:color="auto" w:fill="E0E0E0"/>
            <w:vAlign w:val="center"/>
          </w:tcPr>
          <w:p>
            <w:pPr>
              <w:spacing w:line="360" w:lineRule="auto"/>
            </w:pPr>
            <w:r>
              <w:rPr>
                <w:rFonts w:hint="eastAsia"/>
              </w:rPr>
              <w:t>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jc w:val="center"/>
        </w:trPr>
        <w:tc>
          <w:tcPr>
            <w:tcW w:w="1419" w:type="dxa"/>
            <w:vAlign w:val="center"/>
          </w:tcPr>
          <w:p>
            <w:pPr>
              <w:spacing w:line="360" w:lineRule="auto"/>
            </w:pPr>
            <w:r>
              <w:rPr>
                <w:rFonts w:hint="eastAsia"/>
              </w:rPr>
              <w:t>测试经理</w:t>
            </w:r>
          </w:p>
        </w:tc>
        <w:tc>
          <w:tcPr>
            <w:tcW w:w="3425" w:type="dxa"/>
            <w:vAlign w:val="center"/>
          </w:tcPr>
          <w:p>
            <w:pPr>
              <w:spacing w:line="360" w:lineRule="auto"/>
            </w:pPr>
            <w:r>
              <w:rPr>
                <w:rFonts w:hint="eastAsia"/>
              </w:rPr>
              <w:t>1．与用户等项目干系人交互，确保测试的外部环境。</w:t>
            </w:r>
          </w:p>
          <w:p>
            <w:pPr>
              <w:spacing w:line="360" w:lineRule="auto"/>
            </w:pPr>
            <w:r>
              <w:rPr>
                <w:rFonts w:hint="eastAsia"/>
              </w:rPr>
              <w:t>2．制定测试计划。</w:t>
            </w:r>
          </w:p>
          <w:p>
            <w:pPr>
              <w:spacing w:line="360" w:lineRule="auto"/>
            </w:pPr>
            <w:r>
              <w:rPr>
                <w:rFonts w:hint="eastAsia"/>
              </w:rPr>
              <w:t>3．监控测试进度。</w:t>
            </w:r>
          </w:p>
          <w:p>
            <w:pPr>
              <w:spacing w:line="360" w:lineRule="auto"/>
            </w:pPr>
            <w:r>
              <w:rPr>
                <w:rFonts w:hint="eastAsia"/>
              </w:rPr>
              <w:t>4．发现和处理测试中的风险。</w:t>
            </w:r>
          </w:p>
        </w:tc>
        <w:tc>
          <w:tcPr>
            <w:tcW w:w="3426" w:type="dxa"/>
            <w:vAlign w:val="center"/>
          </w:tcPr>
          <w:p>
            <w:pPr>
              <w:spacing w:line="360" w:lineRule="auto"/>
            </w:pPr>
            <w:r>
              <w:rPr>
                <w:rFonts w:hint="eastAsia"/>
              </w:rPr>
              <w:t>1．计划执行和监控能力。</w:t>
            </w:r>
          </w:p>
          <w:p>
            <w:pPr>
              <w:spacing w:line="360" w:lineRule="auto"/>
            </w:pPr>
            <w:r>
              <w:rPr>
                <w:rFonts w:hint="eastAsia"/>
              </w:rPr>
              <w:t>2．风险意识和能力。</w:t>
            </w:r>
          </w:p>
          <w:p>
            <w:pPr>
              <w:spacing w:line="360" w:lineRule="auto"/>
            </w:pPr>
            <w:r>
              <w:rPr>
                <w:rFonts w:hint="eastAsia"/>
              </w:rPr>
              <w:t>3．外交能力和灵活变通能力。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jc w:val="center"/>
        </w:trPr>
        <w:tc>
          <w:tcPr>
            <w:tcW w:w="1419" w:type="dxa"/>
            <w:vAlign w:val="center"/>
          </w:tcPr>
          <w:p>
            <w:pPr>
              <w:spacing w:line="360" w:lineRule="auto"/>
            </w:pPr>
            <w:r>
              <w:rPr>
                <w:rFonts w:hint="eastAsia"/>
              </w:rPr>
              <w:t>测试设计</w:t>
            </w:r>
          </w:p>
        </w:tc>
        <w:tc>
          <w:tcPr>
            <w:tcW w:w="3425" w:type="dxa"/>
            <w:vAlign w:val="center"/>
          </w:tcPr>
          <w:p>
            <w:pPr>
              <w:spacing w:line="360" w:lineRule="auto"/>
            </w:pPr>
            <w:r>
              <w:rPr>
                <w:rFonts w:hint="eastAsia"/>
              </w:rPr>
              <w:t>1．定义测试规划。</w:t>
            </w:r>
          </w:p>
          <w:p>
            <w:pPr>
              <w:spacing w:line="360" w:lineRule="auto"/>
            </w:pPr>
            <w:r>
              <w:rPr>
                <w:rFonts w:hint="eastAsia"/>
              </w:rPr>
              <w:t>2．识别用户需求。</w:t>
            </w:r>
          </w:p>
          <w:p>
            <w:pPr>
              <w:spacing w:line="360" w:lineRule="auto"/>
            </w:pPr>
            <w:r>
              <w:rPr>
                <w:rFonts w:hint="eastAsia"/>
              </w:rPr>
              <w:t>3．建立测试场景。</w:t>
            </w:r>
          </w:p>
        </w:tc>
        <w:tc>
          <w:tcPr>
            <w:tcW w:w="3426" w:type="dxa"/>
            <w:vAlign w:val="center"/>
          </w:tcPr>
          <w:p>
            <w:pPr>
              <w:spacing w:line="360" w:lineRule="auto"/>
            </w:pPr>
            <w:r>
              <w:rPr>
                <w:rFonts w:hint="eastAsia"/>
              </w:rPr>
              <w:t>1．业务把握能力。</w:t>
            </w:r>
          </w:p>
          <w:p>
            <w:pPr>
              <w:spacing w:line="360" w:lineRule="auto"/>
            </w:pPr>
            <w:r>
              <w:rPr>
                <w:rFonts w:hint="eastAsia"/>
              </w:rPr>
              <w:t>2．需求分析和识别能力。</w:t>
            </w:r>
          </w:p>
          <w:p>
            <w:pPr>
              <w:spacing w:line="360" w:lineRule="auto"/>
            </w:pPr>
            <w:r>
              <w:rPr>
                <w:rFonts w:hint="eastAsia"/>
              </w:rPr>
              <w:t>3．具有一定的编码能力。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jc w:val="center"/>
        </w:trPr>
        <w:tc>
          <w:tcPr>
            <w:tcW w:w="1419" w:type="dxa"/>
            <w:vAlign w:val="center"/>
          </w:tcPr>
          <w:p>
            <w:pPr>
              <w:spacing w:line="360" w:lineRule="auto"/>
            </w:pPr>
            <w:r>
              <w:rPr>
                <w:rFonts w:hint="eastAsia"/>
              </w:rPr>
              <w:t>测试执行</w:t>
            </w:r>
          </w:p>
        </w:tc>
        <w:tc>
          <w:tcPr>
            <w:tcW w:w="3425" w:type="dxa"/>
            <w:vAlign w:val="center"/>
          </w:tcPr>
          <w:p>
            <w:pPr>
              <w:spacing w:line="360" w:lineRule="auto"/>
            </w:pPr>
            <w:r>
              <w:rPr>
                <w:rFonts w:hint="eastAsia"/>
              </w:rPr>
              <w:t>1．部署测试环境。</w:t>
            </w:r>
          </w:p>
          <w:p>
            <w:pPr>
              <w:spacing w:line="360" w:lineRule="auto"/>
            </w:pPr>
            <w:r>
              <w:rPr>
                <w:rFonts w:hint="eastAsia"/>
              </w:rPr>
              <w:t>2．执行测试用例、脚本与场景。</w:t>
            </w:r>
          </w:p>
          <w:p>
            <w:pPr>
              <w:spacing w:line="360" w:lineRule="auto"/>
            </w:pPr>
            <w:r>
              <w:rPr>
                <w:rFonts w:hint="eastAsia"/>
              </w:rPr>
              <w:t>3．根据要求记录测试结果、性能指标等。</w:t>
            </w:r>
          </w:p>
        </w:tc>
        <w:tc>
          <w:tcPr>
            <w:tcW w:w="3426" w:type="dxa"/>
            <w:vAlign w:val="center"/>
          </w:tcPr>
          <w:p>
            <w:pPr>
              <w:spacing w:line="360" w:lineRule="auto"/>
            </w:pPr>
            <w:r>
              <w:rPr>
                <w:rFonts w:hint="eastAsia"/>
              </w:rPr>
              <w:t>1．业务把握能力。</w:t>
            </w:r>
          </w:p>
          <w:p>
            <w:pPr>
              <w:spacing w:line="360" w:lineRule="auto"/>
            </w:pPr>
            <w:r>
              <w:rPr>
                <w:rFonts w:hint="eastAsia"/>
              </w:rPr>
              <w:t>2．搭建测试环境的能力。</w:t>
            </w:r>
          </w:p>
          <w:p>
            <w:pPr>
              <w:spacing w:line="360" w:lineRule="auto"/>
            </w:pPr>
            <w:r>
              <w:rPr>
                <w:rFonts w:hint="eastAsia"/>
              </w:rPr>
              <w:t>3．测试工具使用、执行的能力。</w:t>
            </w:r>
          </w:p>
          <w:p>
            <w:pPr>
              <w:spacing w:line="360" w:lineRule="auto"/>
            </w:pPr>
            <w:r>
              <w:rPr>
                <w:rFonts w:hint="eastAsia"/>
              </w:rPr>
              <w:t>4．测试结果及性能指标获取、记录的能力。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jc w:val="center"/>
        </w:trPr>
        <w:tc>
          <w:tcPr>
            <w:tcW w:w="1419" w:type="dxa"/>
            <w:vAlign w:val="center"/>
          </w:tcPr>
          <w:p>
            <w:pPr>
              <w:spacing w:line="360" w:lineRule="auto"/>
            </w:pPr>
            <w:r>
              <w:rPr>
                <w:rFonts w:hint="eastAsia"/>
              </w:rPr>
              <w:t>测试分析</w:t>
            </w:r>
          </w:p>
        </w:tc>
        <w:tc>
          <w:tcPr>
            <w:tcW w:w="3425" w:type="dxa"/>
            <w:vAlign w:val="center"/>
          </w:tcPr>
          <w:p>
            <w:pPr>
              <w:spacing w:line="360" w:lineRule="auto"/>
            </w:pPr>
            <w:r>
              <w:rPr>
                <w:rFonts w:hint="eastAsia"/>
              </w:rPr>
              <w:t>根据测试结果、性能指标数值进行分析，摘出系统缺陷并找出系统性能瓶颈，或是给出系统优化建议。</w:t>
            </w:r>
          </w:p>
        </w:tc>
        <w:tc>
          <w:tcPr>
            <w:tcW w:w="3426" w:type="dxa"/>
            <w:vAlign w:val="center"/>
          </w:tcPr>
          <w:p>
            <w:pPr>
              <w:spacing w:line="360" w:lineRule="auto"/>
            </w:pPr>
            <w:r>
              <w:rPr>
                <w:rFonts w:hint="eastAsia"/>
              </w:rPr>
              <w:t>1．掌握功能、性能测试方法、工具的使用。</w:t>
            </w:r>
          </w:p>
          <w:p>
            <w:pPr>
              <w:spacing w:line="360" w:lineRule="auto"/>
            </w:pPr>
            <w:r>
              <w:rPr>
                <w:rFonts w:hint="eastAsia"/>
              </w:rPr>
              <w:t>2．掌握功能、性能分析方法。</w:t>
            </w:r>
          </w:p>
          <w:p>
            <w:pPr>
              <w:spacing w:line="360" w:lineRule="auto"/>
            </w:pPr>
            <w:r>
              <w:rPr>
                <w:rFonts w:hint="eastAsia"/>
              </w:rPr>
              <w:t>3．具有一定的编码能力。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jc w:val="center"/>
        </w:trPr>
        <w:tc>
          <w:tcPr>
            <w:tcW w:w="1419" w:type="dxa"/>
            <w:vAlign w:val="center"/>
          </w:tcPr>
          <w:p>
            <w:pPr>
              <w:spacing w:line="360" w:lineRule="auto"/>
            </w:pPr>
            <w:r>
              <w:rPr>
                <w:rFonts w:hint="eastAsia"/>
              </w:rPr>
              <w:t>系统支持</w:t>
            </w:r>
          </w:p>
        </w:tc>
        <w:tc>
          <w:tcPr>
            <w:tcW w:w="3425" w:type="dxa"/>
            <w:vAlign w:val="center"/>
          </w:tcPr>
          <w:p>
            <w:pPr>
              <w:spacing w:line="360" w:lineRule="auto"/>
            </w:pPr>
            <w:r>
              <w:rPr>
                <w:rFonts w:hint="eastAsia"/>
              </w:rPr>
              <w:t>协助解决测试工程师无法解决的系统问题。</w:t>
            </w:r>
          </w:p>
        </w:tc>
        <w:tc>
          <w:tcPr>
            <w:tcW w:w="3426" w:type="dxa"/>
            <w:vAlign w:val="center"/>
          </w:tcPr>
          <w:p>
            <w:pPr>
              <w:spacing w:line="360" w:lineRule="auto"/>
            </w:pPr>
            <w:r>
              <w:rPr>
                <w:rFonts w:hint="eastAsia"/>
              </w:rPr>
              <w:t>处理系统问题的能力和技能。最好由系统管理员担任。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jc w:val="center"/>
        </w:trPr>
        <w:tc>
          <w:tcPr>
            <w:tcW w:w="1419" w:type="dxa"/>
            <w:vAlign w:val="center"/>
          </w:tcPr>
          <w:p>
            <w:pPr>
              <w:spacing w:line="360" w:lineRule="auto"/>
            </w:pPr>
            <w:r>
              <w:rPr>
                <w:rFonts w:hint="eastAsia"/>
              </w:rPr>
              <w:t>网络支持</w:t>
            </w:r>
          </w:p>
        </w:tc>
        <w:tc>
          <w:tcPr>
            <w:tcW w:w="3425" w:type="dxa"/>
            <w:vAlign w:val="center"/>
          </w:tcPr>
          <w:p>
            <w:pPr>
              <w:spacing w:line="360" w:lineRule="auto"/>
            </w:pPr>
            <w:r>
              <w:rPr>
                <w:rFonts w:hint="eastAsia"/>
              </w:rPr>
              <w:t>1．协助测试工程师解决网络方面的问题。</w:t>
            </w:r>
          </w:p>
          <w:p>
            <w:pPr>
              <w:spacing w:line="360" w:lineRule="auto"/>
            </w:pPr>
            <w:r>
              <w:rPr>
                <w:rFonts w:hint="eastAsia"/>
              </w:rPr>
              <w:t>2．提供网络分析支持。</w:t>
            </w:r>
          </w:p>
        </w:tc>
        <w:tc>
          <w:tcPr>
            <w:tcW w:w="3426" w:type="dxa"/>
            <w:vAlign w:val="center"/>
          </w:tcPr>
          <w:p>
            <w:pPr>
              <w:spacing w:line="360" w:lineRule="auto"/>
            </w:pPr>
            <w:r>
              <w:rPr>
                <w:rFonts w:hint="eastAsia"/>
              </w:rPr>
              <w:t>处理网络方面问题的能力和技能。最好由网络管理员担任。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jc w:val="center"/>
        </w:trPr>
        <w:tc>
          <w:tcPr>
            <w:tcW w:w="1419" w:type="dxa"/>
            <w:vAlign w:val="center"/>
          </w:tcPr>
          <w:p>
            <w:pPr>
              <w:spacing w:line="360" w:lineRule="auto"/>
            </w:pPr>
            <w:r>
              <w:rPr>
                <w:rFonts w:hint="eastAsia"/>
              </w:rPr>
              <w:t>数据库支持</w:t>
            </w:r>
          </w:p>
        </w:tc>
        <w:tc>
          <w:tcPr>
            <w:tcW w:w="3425" w:type="dxa"/>
            <w:vAlign w:val="center"/>
          </w:tcPr>
          <w:p>
            <w:pPr>
              <w:spacing w:line="360" w:lineRule="auto"/>
            </w:pPr>
            <w:r>
              <w:rPr>
                <w:rFonts w:hint="eastAsia"/>
              </w:rPr>
              <w:t>1．协助测试工程师解决数据库方面的问题。</w:t>
            </w:r>
          </w:p>
          <w:p>
            <w:pPr>
              <w:spacing w:line="360" w:lineRule="auto"/>
            </w:pPr>
            <w:r>
              <w:rPr>
                <w:rFonts w:hint="eastAsia"/>
              </w:rPr>
              <w:t>2．提供数据库分析支持。</w:t>
            </w:r>
          </w:p>
        </w:tc>
        <w:tc>
          <w:tcPr>
            <w:tcW w:w="3426" w:type="dxa"/>
            <w:vAlign w:val="center"/>
          </w:tcPr>
          <w:p>
            <w:pPr>
              <w:spacing w:line="360" w:lineRule="auto"/>
            </w:pPr>
            <w:r>
              <w:rPr>
                <w:rFonts w:hint="eastAsia"/>
              </w:rPr>
              <w:t>处理数据库方面的能力和技能。最好由数据库管理员担任。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jc w:val="center"/>
        </w:trPr>
        <w:tc>
          <w:tcPr>
            <w:tcW w:w="1419" w:type="dxa"/>
            <w:vAlign w:val="center"/>
          </w:tcPr>
          <w:p>
            <w:pPr>
              <w:spacing w:line="360" w:lineRule="auto"/>
            </w:pPr>
            <w:r>
              <w:rPr>
                <w:rFonts w:hint="eastAsia"/>
              </w:rPr>
              <w:t>质量保障组</w:t>
            </w:r>
          </w:p>
        </w:tc>
        <w:tc>
          <w:tcPr>
            <w:tcW w:w="3425" w:type="dxa"/>
            <w:vAlign w:val="center"/>
          </w:tcPr>
          <w:p>
            <w:pPr>
              <w:spacing w:line="360" w:lineRule="auto"/>
            </w:pPr>
            <w:r>
              <w:rPr>
                <w:rFonts w:hint="eastAsia"/>
              </w:rPr>
              <w:t>1．编制质量保证计划，由项目经理审核；</w:t>
            </w:r>
          </w:p>
          <w:p>
            <w:pPr>
              <w:spacing w:line="360" w:lineRule="auto"/>
            </w:pPr>
            <w:r>
              <w:rPr>
                <w:rFonts w:hint="eastAsia"/>
              </w:rPr>
              <w:t>2．确保项目遵守工作说明书中描述的工作范围要求；</w:t>
            </w:r>
          </w:p>
          <w:p>
            <w:pPr>
              <w:spacing w:line="360" w:lineRule="auto"/>
            </w:pPr>
            <w:r>
              <w:rPr>
                <w:rFonts w:hint="eastAsia"/>
              </w:rPr>
              <w:t>3．确保项目交付的内容符合用户验收标准；</w:t>
            </w:r>
          </w:p>
          <w:p>
            <w:pPr>
              <w:spacing w:line="360" w:lineRule="auto"/>
            </w:pPr>
            <w:r>
              <w:rPr>
                <w:rFonts w:hint="eastAsia"/>
              </w:rPr>
              <w:t>4．负责提出项目的进度和问题报告，为项目管理提供质量信息；</w:t>
            </w:r>
          </w:p>
          <w:p>
            <w:pPr>
              <w:spacing w:line="360" w:lineRule="auto"/>
            </w:pPr>
            <w:r>
              <w:rPr>
                <w:rFonts w:hint="eastAsia"/>
              </w:rPr>
              <w:t>5．分析项目计划可能有的任何潜在的问题（如资源限制，项目交迭，风险等），跟进已产生问题的解决。</w:t>
            </w:r>
          </w:p>
        </w:tc>
        <w:tc>
          <w:tcPr>
            <w:tcW w:w="3426" w:type="dxa"/>
            <w:vAlign w:val="center"/>
          </w:tcPr>
          <w:p>
            <w:pPr>
              <w:spacing w:line="360" w:lineRule="auto"/>
            </w:pPr>
            <w:r>
              <w:rPr>
                <w:rFonts w:hint="eastAsia"/>
              </w:rPr>
              <w:t>质量保障经理、质量保证员各1人，负责对整个项目开发测试过程中的质量进行掌控。需要具有丰富的质量保证工作经验。</w:t>
            </w:r>
          </w:p>
        </w:tc>
      </w:tr>
    </w:tbl>
    <w:p>
      <w:pPr>
        <w:spacing w:line="360" w:lineRule="auto"/>
      </w:pPr>
    </w:p>
    <w:p>
      <w:pPr>
        <w:pStyle w:val="5"/>
        <w:numPr>
          <w:ilvl w:val="3"/>
          <w:numId w:val="3"/>
        </w:numPr>
        <w:spacing w:before="0" w:after="0" w:line="360" w:lineRule="auto"/>
        <w:ind w:left="0" w:leftChars="0" w:firstLine="402" w:firstLineChars="0"/>
      </w:pPr>
      <w:bookmarkStart w:id="484" w:name="_Toc22200"/>
      <w:r>
        <w:rPr>
          <w:rFonts w:hint="eastAsia"/>
        </w:rPr>
        <w:t>测试环境</w:t>
      </w:r>
      <w:bookmarkEnd w:id="484"/>
    </w:p>
    <w:p>
      <w:pPr>
        <w:spacing w:line="360" w:lineRule="auto"/>
        <w:ind w:firstLine="480" w:firstLineChars="200"/>
        <w:rPr>
          <w:sz w:val="24"/>
          <w:szCs w:val="24"/>
        </w:rPr>
      </w:pPr>
      <w:r>
        <w:rPr>
          <w:rFonts w:hint="eastAsia"/>
          <w:sz w:val="24"/>
          <w:szCs w:val="24"/>
        </w:rPr>
        <w:t>测试环境是指为了完成软件测试工作所必需的计算机硬件、软件、网络设备、历史数据的总称，是测试实施的一个重要阶段，其适合与否会严重影响测试结果的真实性和正确性。测试环境包括硬件环境和软件环境，硬件环境指测试必需的服务器、客户端、网络连接设备，以及打印机/扫描仪等辅助硬件设备所构成的环境；软件环境指被测软件运行时的操作系统、数据库及其他应用软件构成的环境。在实际测试中，软件环境又可分为主测试环境和辅测试环境。主测试环境是测试软件功能、安全可靠性、性能、易用性等大多数指标的主要环境。</w:t>
      </w:r>
    </w:p>
    <w:p>
      <w:pPr>
        <w:spacing w:line="360" w:lineRule="auto"/>
        <w:ind w:firstLine="480" w:firstLineChars="200"/>
        <w:rPr>
          <w:sz w:val="24"/>
          <w:szCs w:val="24"/>
        </w:rPr>
      </w:pPr>
      <w:r>
        <w:rPr>
          <w:rFonts w:hint="eastAsia"/>
          <w:sz w:val="24"/>
          <w:szCs w:val="24"/>
          <w:lang w:eastAsia="zh-CN"/>
        </w:rPr>
        <w:t>**信息</w:t>
      </w:r>
      <w:r>
        <w:rPr>
          <w:rFonts w:hint="eastAsia"/>
          <w:sz w:val="24"/>
          <w:szCs w:val="24"/>
        </w:rPr>
        <w:t>测试单位将以下列原则配置主测试环境：</w:t>
      </w:r>
    </w:p>
    <w:p>
      <w:pPr>
        <w:spacing w:line="360" w:lineRule="auto"/>
        <w:ind w:firstLine="480" w:firstLineChars="200"/>
        <w:rPr>
          <w:sz w:val="24"/>
          <w:szCs w:val="24"/>
        </w:rPr>
      </w:pPr>
      <w:r>
        <w:rPr>
          <w:rFonts w:hint="eastAsia"/>
          <w:sz w:val="24"/>
          <w:szCs w:val="24"/>
        </w:rPr>
        <w:t>一、符合软件运行的最低要求，测试环境必须保证系统正常运行。</w:t>
      </w:r>
    </w:p>
    <w:p>
      <w:pPr>
        <w:spacing w:line="360" w:lineRule="auto"/>
        <w:ind w:firstLine="480" w:firstLineChars="200"/>
        <w:rPr>
          <w:sz w:val="24"/>
          <w:szCs w:val="24"/>
        </w:rPr>
      </w:pPr>
      <w:r>
        <w:rPr>
          <w:rFonts w:hint="eastAsia"/>
          <w:sz w:val="24"/>
          <w:szCs w:val="24"/>
        </w:rPr>
        <w:t>二、选用比较普及的操作系统和软件平台。</w:t>
      </w:r>
    </w:p>
    <w:p>
      <w:pPr>
        <w:spacing w:line="360" w:lineRule="auto"/>
        <w:ind w:firstLine="480" w:firstLineChars="200"/>
        <w:rPr>
          <w:sz w:val="24"/>
          <w:szCs w:val="24"/>
        </w:rPr>
      </w:pPr>
      <w:r>
        <w:rPr>
          <w:rFonts w:hint="eastAsia"/>
          <w:sz w:val="24"/>
          <w:szCs w:val="24"/>
        </w:rPr>
        <w:t>三、无毒的环境。利用有效的正版杀毒软件检测软件环境，保证测试环境中无病毒木马。</w:t>
      </w:r>
    </w:p>
    <w:p>
      <w:pPr>
        <w:spacing w:line="360" w:lineRule="auto"/>
        <w:ind w:firstLine="480" w:firstLineChars="200"/>
        <w:rPr>
          <w:sz w:val="24"/>
          <w:szCs w:val="24"/>
        </w:rPr>
      </w:pPr>
      <w:r>
        <w:rPr>
          <w:rFonts w:hint="eastAsia"/>
          <w:sz w:val="24"/>
          <w:szCs w:val="24"/>
        </w:rPr>
        <w:t>为了满足不同的测试需求或特殊测试项目，</w:t>
      </w:r>
      <w:r>
        <w:rPr>
          <w:rFonts w:hint="eastAsia"/>
          <w:sz w:val="24"/>
          <w:szCs w:val="24"/>
          <w:lang w:eastAsia="zh-CN"/>
        </w:rPr>
        <w:t>**信息</w:t>
      </w:r>
      <w:r>
        <w:rPr>
          <w:rFonts w:hint="eastAsia"/>
          <w:sz w:val="24"/>
          <w:szCs w:val="24"/>
        </w:rPr>
        <w:t>测试单位还将为本次测试配置辅测试环境：</w:t>
      </w:r>
    </w:p>
    <w:p>
      <w:pPr>
        <w:spacing w:line="360" w:lineRule="auto"/>
        <w:ind w:firstLine="480" w:firstLineChars="200"/>
        <w:rPr>
          <w:sz w:val="24"/>
          <w:szCs w:val="24"/>
        </w:rPr>
      </w:pPr>
      <w:r>
        <w:rPr>
          <w:rFonts w:hint="eastAsia"/>
          <w:sz w:val="24"/>
          <w:szCs w:val="24"/>
        </w:rPr>
        <w:t>一、兼容性测试：在满足软件运行要求的范围内，选择一些典型的操作系统和常用应用软件对其安装卸载和主要功能进行验证。</w:t>
      </w:r>
    </w:p>
    <w:p>
      <w:pPr>
        <w:spacing w:line="360" w:lineRule="auto"/>
        <w:ind w:firstLine="480" w:firstLineChars="200"/>
        <w:rPr>
          <w:sz w:val="24"/>
          <w:szCs w:val="24"/>
        </w:rPr>
      </w:pPr>
      <w:r>
        <w:rPr>
          <w:rFonts w:hint="eastAsia"/>
          <w:sz w:val="24"/>
          <w:szCs w:val="24"/>
        </w:rPr>
        <w:t>二、模拟真实环境测试：在环境中预装常用应用软件，考察系统在真实环境中的表现。</w:t>
      </w:r>
    </w:p>
    <w:p>
      <w:pPr>
        <w:spacing w:line="360" w:lineRule="auto"/>
        <w:ind w:firstLine="480" w:firstLineChars="200"/>
        <w:rPr>
          <w:sz w:val="24"/>
          <w:szCs w:val="24"/>
        </w:rPr>
      </w:pPr>
      <w:r>
        <w:rPr>
          <w:rFonts w:hint="eastAsia"/>
          <w:sz w:val="24"/>
          <w:szCs w:val="24"/>
        </w:rPr>
        <w:t>三、构造相对简单、独立的测试环境。除了操作系统，测试机上只安装运行和测试必需的软件，以免不相关的软件影响测试实施。</w:t>
      </w:r>
    </w:p>
    <w:p>
      <w:pPr>
        <w:spacing w:line="360" w:lineRule="auto"/>
        <w:ind w:firstLine="480" w:firstLineChars="200"/>
        <w:rPr>
          <w:sz w:val="24"/>
          <w:szCs w:val="24"/>
        </w:rPr>
      </w:pPr>
      <w:r>
        <w:rPr>
          <w:rFonts w:hint="eastAsia"/>
          <w:sz w:val="24"/>
          <w:szCs w:val="24"/>
        </w:rPr>
        <w:t>经过良好规划和管理的测试环境，可以尽可能的减少环境的变动对测试工作的不利影响，并可以对测试工作的效率和质量的提高产生积极的作用，因此</w:t>
      </w:r>
      <w:r>
        <w:rPr>
          <w:rFonts w:hint="eastAsia"/>
          <w:sz w:val="24"/>
          <w:szCs w:val="24"/>
          <w:lang w:eastAsia="zh-CN"/>
        </w:rPr>
        <w:t>**信息</w:t>
      </w:r>
      <w:r>
        <w:rPr>
          <w:rFonts w:hint="eastAsia"/>
          <w:sz w:val="24"/>
          <w:szCs w:val="24"/>
        </w:rPr>
        <w:t>测试单位将严格按照招标方招标文件要求搭建实验室测试环境以及用户测试环境。</w:t>
      </w:r>
    </w:p>
    <w:p>
      <w:pPr>
        <w:pStyle w:val="5"/>
        <w:numPr>
          <w:ilvl w:val="3"/>
          <w:numId w:val="3"/>
        </w:numPr>
        <w:spacing w:before="0" w:after="0" w:line="360" w:lineRule="auto"/>
        <w:ind w:left="0" w:leftChars="0" w:firstLine="402" w:firstLineChars="0"/>
      </w:pPr>
      <w:bookmarkStart w:id="485" w:name="_Toc24090"/>
      <w:r>
        <w:rPr>
          <w:rFonts w:hint="eastAsia"/>
        </w:rPr>
        <w:t>测试工具</w:t>
      </w:r>
      <w:bookmarkEnd w:id="485"/>
    </w:p>
    <w:p>
      <w:pPr>
        <w:spacing w:line="360" w:lineRule="auto"/>
        <w:ind w:firstLine="480" w:firstLineChars="200"/>
        <w:rPr>
          <w:sz w:val="24"/>
          <w:szCs w:val="24"/>
        </w:rPr>
      </w:pPr>
      <w:r>
        <w:rPr>
          <w:rFonts w:hint="eastAsia"/>
          <w:sz w:val="24"/>
          <w:szCs w:val="24"/>
        </w:rPr>
        <w:t>同软件开发一样，测试也会产生大量的信息，也会执行无数的计算机任务，并且需要工作人员的协调和沟通。测试工具可以减轻测试产品、测试执行、一般信息处理及人员沟通等方面的负担。随着软件测试的地位逐步提高，测试的重要性逐步显现，测试工具的应用已经成为了普遍的趋势。在测试过程中使用测试工具主要可以达到以下几个目的：提高测试效率与质量；减少测试过程中的重复劳动；实现测试自动化。</w:t>
      </w:r>
    </w:p>
    <w:p>
      <w:pPr>
        <w:spacing w:line="360" w:lineRule="auto"/>
        <w:ind w:firstLine="480" w:firstLineChars="200"/>
        <w:rPr>
          <w:sz w:val="24"/>
          <w:szCs w:val="24"/>
        </w:rPr>
      </w:pPr>
      <w:r>
        <w:rPr>
          <w:rFonts w:hint="eastAsia"/>
          <w:sz w:val="24"/>
          <w:szCs w:val="24"/>
        </w:rPr>
        <w:t>本项目逻辑驱动测试、功能测试及大部分非功能测试主要采用人工测试方式，由测试工程师负责编写测试用例并记录测试执行过程、结果，手动生成报告文件呈交至招标方。在逻辑驱动测试中实施动态测试方法时，</w:t>
      </w:r>
      <w:r>
        <w:rPr>
          <w:rFonts w:hint="eastAsia"/>
          <w:sz w:val="24"/>
          <w:szCs w:val="24"/>
          <w:lang w:eastAsia="zh-CN"/>
        </w:rPr>
        <w:t>**信息</w:t>
      </w:r>
      <w:r>
        <w:rPr>
          <w:rFonts w:hint="eastAsia"/>
          <w:sz w:val="24"/>
          <w:szCs w:val="24"/>
        </w:rPr>
        <w:t>开发、测试单位将采用D</w:t>
      </w:r>
      <w:r>
        <w:rPr>
          <w:sz w:val="24"/>
          <w:szCs w:val="24"/>
        </w:rPr>
        <w:t>evPartner</w:t>
      </w:r>
      <w:r>
        <w:rPr>
          <w:rFonts w:hint="eastAsia"/>
          <w:sz w:val="24"/>
          <w:szCs w:val="24"/>
        </w:rPr>
        <w:t>、HTTPUnit、JUnit等系列工具对程序运行过程进行动态扫描。通过向代码生成的可执行文件中插入一些监测代码，用来统计程序运行时的数据。使用此类工具可以报告出各个程序模块在执行过程中耗用内存的大小，执行次数，百分比等有用信息，帮助开发、测试人员快速查找系统可能存在的内存、资源泄漏问题，以及部分潜在的程序逻辑错误。而对程序代码实施静态扫描时，则需要使用静态测试工具。通过工具直接对代码进行分析，不需要运行代码，也不需要对代码编译链接，生成可执行文件。静态测试工具一般是对代码进行语法扫描，找出不符合编码规范的地方，根据某种质量模型评价代码的质量，生成系统的调用关系图等。此类工具的代表有Telelogic公司的Logiscope软件等。</w:t>
      </w:r>
    </w:p>
    <w:p>
      <w:pPr>
        <w:spacing w:line="360" w:lineRule="auto"/>
        <w:ind w:firstLine="480" w:firstLineChars="200"/>
        <w:rPr>
          <w:sz w:val="24"/>
          <w:szCs w:val="24"/>
        </w:rPr>
      </w:pPr>
      <w:r>
        <w:rPr>
          <w:rFonts w:hint="eastAsia"/>
          <w:sz w:val="24"/>
          <w:szCs w:val="24"/>
        </w:rPr>
        <w:t>功能测试工具主要用于采用黑盒测试方法，其一般工作原理为利用脚本的录制(Record)/回放(Playback)，模拟用户的操作，然后将被测系统的输出记录下来同预先给定的标准结果比较。此类测试工具可以大大减轻功能测试的工作量，在迭代开发的过程中，能够很好地进行回归测试。</w:t>
      </w:r>
    </w:p>
    <w:p>
      <w:pPr>
        <w:spacing w:line="360" w:lineRule="auto"/>
        <w:ind w:firstLine="480" w:firstLineChars="200"/>
        <w:rPr>
          <w:sz w:val="24"/>
          <w:szCs w:val="24"/>
        </w:rPr>
      </w:pPr>
      <w:r>
        <w:rPr>
          <w:rFonts w:hint="eastAsia"/>
          <w:sz w:val="24"/>
          <w:szCs w:val="24"/>
        </w:rPr>
        <w:t>黑盒测试工具主要有HP公司的WinRunner、QTP、LoadRunner，Rational公司的TeamTest、Robot，Compuware公司的QACenter等。</w:t>
      </w:r>
      <w:r>
        <w:rPr>
          <w:rFonts w:hint="eastAsia"/>
          <w:sz w:val="24"/>
          <w:szCs w:val="24"/>
          <w:lang w:eastAsia="zh-CN"/>
        </w:rPr>
        <w:t>**信息</w:t>
      </w:r>
      <w:r>
        <w:rPr>
          <w:rFonts w:hint="eastAsia"/>
          <w:sz w:val="24"/>
          <w:szCs w:val="24"/>
        </w:rPr>
        <w:t>测试单位将在本项目中采用WinRunner、QTP等工具执行功能测试。</w:t>
      </w:r>
    </w:p>
    <w:p>
      <w:pPr>
        <w:spacing w:line="360" w:lineRule="auto"/>
        <w:ind w:firstLine="480" w:firstLineChars="200"/>
        <w:rPr>
          <w:sz w:val="24"/>
          <w:szCs w:val="24"/>
        </w:rPr>
      </w:pPr>
      <w:r>
        <w:rPr>
          <w:rFonts w:hint="eastAsia"/>
          <w:sz w:val="24"/>
          <w:szCs w:val="24"/>
        </w:rPr>
        <w:t>非功能测试中的性能测试、压力测试及可用性测试拟采用自动化性能测试工具LoadRunner来执行，由测试工程师编写测试脚本，设计测试场景，自动化测试工具执行测试，并生成统计结果，由报告人员整理报送。</w:t>
      </w:r>
    </w:p>
    <w:p>
      <w:pPr>
        <w:spacing w:line="360" w:lineRule="auto"/>
        <w:ind w:firstLine="480" w:firstLineChars="200"/>
        <w:rPr>
          <w:sz w:val="24"/>
          <w:szCs w:val="24"/>
        </w:rPr>
      </w:pPr>
      <w:r>
        <w:rPr>
          <w:rFonts w:hint="eastAsia"/>
          <w:sz w:val="24"/>
          <w:szCs w:val="24"/>
        </w:rPr>
        <w:t>非功能测试中的安全测试与评估拟采用静态代码检测工具</w:t>
      </w:r>
      <w:r>
        <w:rPr>
          <w:sz w:val="24"/>
          <w:szCs w:val="24"/>
        </w:rPr>
        <w:t>Fortify</w:t>
      </w:r>
      <w:r>
        <w:rPr>
          <w:rFonts w:hint="eastAsia"/>
          <w:sz w:val="24"/>
          <w:szCs w:val="24"/>
        </w:rPr>
        <w:t xml:space="preserve"> </w:t>
      </w:r>
      <w:r>
        <w:rPr>
          <w:sz w:val="24"/>
          <w:szCs w:val="24"/>
        </w:rPr>
        <w:t>Source Code Analysis Suite</w:t>
      </w:r>
      <w:r>
        <w:rPr>
          <w:rFonts w:hint="eastAsia"/>
          <w:sz w:val="24"/>
          <w:szCs w:val="24"/>
        </w:rPr>
        <w:t>来执行，漏洞扫描器AppScan等工具来执行。静态、动态检测后生成统计结果，由报告人员整理报送。</w:t>
      </w:r>
    </w:p>
    <w:p>
      <w:pPr>
        <w:spacing w:line="360" w:lineRule="auto"/>
        <w:ind w:firstLine="480" w:firstLineChars="200"/>
        <w:rPr>
          <w:sz w:val="24"/>
          <w:szCs w:val="24"/>
        </w:rPr>
      </w:pPr>
      <w:r>
        <w:rPr>
          <w:rFonts w:hint="eastAsia"/>
          <w:sz w:val="24"/>
          <w:szCs w:val="24"/>
        </w:rPr>
        <w:t>为了便于管理测试过程，总结测试文档知识库，跟踪缺陷处理状态，</w:t>
      </w:r>
      <w:r>
        <w:rPr>
          <w:rFonts w:hint="eastAsia"/>
          <w:sz w:val="24"/>
          <w:szCs w:val="24"/>
          <w:lang w:eastAsia="zh-CN"/>
        </w:rPr>
        <w:t>**信息</w:t>
      </w:r>
      <w:r>
        <w:rPr>
          <w:rFonts w:hint="eastAsia"/>
          <w:sz w:val="24"/>
          <w:szCs w:val="24"/>
        </w:rPr>
        <w:t>测试单位还将在测试中使用测试管理工具，对测试计划、测试用例、测试实施进行管理，并且测试管理工具还包括对缺陷的跟踪管理。</w:t>
      </w:r>
    </w:p>
    <w:p>
      <w:pPr>
        <w:spacing w:line="360" w:lineRule="auto"/>
        <w:ind w:firstLine="480" w:firstLineChars="200"/>
        <w:rPr>
          <w:sz w:val="24"/>
          <w:szCs w:val="24"/>
        </w:rPr>
      </w:pPr>
      <w:r>
        <w:rPr>
          <w:rFonts w:hint="eastAsia"/>
          <w:sz w:val="24"/>
          <w:szCs w:val="24"/>
        </w:rPr>
        <w:t>测试管理工具的代表有MI公司的TestDirector，Rational公司的Test Manager、Compureware公司的TrackRecord等软件。我们将在实际中使用由</w:t>
      </w:r>
      <w:r>
        <w:rPr>
          <w:rFonts w:hint="eastAsia"/>
          <w:sz w:val="24"/>
          <w:szCs w:val="24"/>
          <w:lang w:eastAsia="zh-CN"/>
        </w:rPr>
        <w:t>**信息</w:t>
      </w:r>
      <w:r>
        <w:rPr>
          <w:rFonts w:hint="eastAsia"/>
          <w:sz w:val="24"/>
          <w:szCs w:val="24"/>
        </w:rPr>
        <w:t>自主研发的用例评审系统、缺陷管理系统，用来执行测试文档管理与评审，</w:t>
      </w:r>
      <w:r>
        <w:rPr>
          <w:sz w:val="24"/>
          <w:szCs w:val="24"/>
        </w:rPr>
        <w:t>规范项目中</w:t>
      </w:r>
      <w:r>
        <w:rPr>
          <w:rFonts w:hint="eastAsia"/>
          <w:sz w:val="24"/>
          <w:szCs w:val="24"/>
        </w:rPr>
        <w:t>测试人员发现缺陷，开发人员修正缺陷,测试人员验证修正的</w:t>
      </w:r>
      <w:r>
        <w:rPr>
          <w:sz w:val="24"/>
          <w:szCs w:val="24"/>
        </w:rPr>
        <w:t>处理流程</w:t>
      </w:r>
      <w:r>
        <w:rPr>
          <w:rFonts w:hint="eastAsia"/>
          <w:sz w:val="24"/>
          <w:szCs w:val="24"/>
        </w:rPr>
        <w:t>，并能根据不同要求提供对缺陷龄期，发生阶段、缺陷密度曲线等内容的统计报表供测试过程评估与持续进行产品质量改进。</w:t>
      </w:r>
    </w:p>
    <w:p>
      <w:pPr>
        <w:spacing w:line="360" w:lineRule="auto"/>
        <w:ind w:firstLine="480" w:firstLineChars="200"/>
        <w:rPr>
          <w:sz w:val="24"/>
          <w:szCs w:val="24"/>
        </w:rPr>
      </w:pPr>
      <w:r>
        <w:rPr>
          <w:rFonts w:hint="eastAsia"/>
          <w:sz w:val="24"/>
          <w:szCs w:val="24"/>
        </w:rPr>
        <w:t>以下对上述主要测试工具列表简介。</w:t>
      </w:r>
    </w:p>
    <w:tbl>
      <w:tblPr>
        <w:tblStyle w:val="34"/>
        <w:tblW w:w="85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836"/>
        <w:gridCol w:w="2133"/>
        <w:gridCol w:w="3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blHeader/>
          <w:jc w:val="center"/>
        </w:trPr>
        <w:tc>
          <w:tcPr>
            <w:tcW w:w="684" w:type="dxa"/>
            <w:shd w:val="clear" w:color="auto" w:fill="E0E0E0"/>
            <w:vAlign w:val="center"/>
          </w:tcPr>
          <w:p>
            <w:pPr>
              <w:spacing w:line="360" w:lineRule="auto"/>
            </w:pPr>
            <w:r>
              <w:t>序号</w:t>
            </w:r>
          </w:p>
        </w:tc>
        <w:tc>
          <w:tcPr>
            <w:tcW w:w="1836" w:type="dxa"/>
            <w:shd w:val="clear" w:color="auto" w:fill="E0E0E0"/>
            <w:vAlign w:val="center"/>
          </w:tcPr>
          <w:p>
            <w:pPr>
              <w:spacing w:line="360" w:lineRule="auto"/>
            </w:pPr>
            <w:r>
              <w:t>工具名称</w:t>
            </w:r>
          </w:p>
        </w:tc>
        <w:tc>
          <w:tcPr>
            <w:tcW w:w="2133" w:type="dxa"/>
            <w:shd w:val="clear" w:color="auto" w:fill="E0E0E0"/>
            <w:vAlign w:val="center"/>
          </w:tcPr>
          <w:p>
            <w:pPr>
              <w:spacing w:line="360" w:lineRule="auto"/>
            </w:pPr>
            <w:r>
              <w:rPr>
                <w:rFonts w:hint="eastAsia"/>
              </w:rPr>
              <w:t>说明</w:t>
            </w:r>
          </w:p>
        </w:tc>
        <w:tc>
          <w:tcPr>
            <w:tcW w:w="3905" w:type="dxa"/>
            <w:shd w:val="clear" w:color="auto" w:fill="E0E0E0"/>
            <w:vAlign w:val="center"/>
          </w:tcPr>
          <w:p>
            <w:pPr>
              <w:spacing w:line="360" w:lineRule="auto"/>
            </w:pPr>
            <w:r>
              <w:t>本次项目用途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jc w:val="center"/>
        </w:trPr>
        <w:tc>
          <w:tcPr>
            <w:tcW w:w="684" w:type="dxa"/>
            <w:vAlign w:val="center"/>
          </w:tcPr>
          <w:p>
            <w:pPr>
              <w:spacing w:line="360" w:lineRule="auto"/>
            </w:pPr>
            <w:r>
              <w:t>1</w:t>
            </w:r>
          </w:p>
        </w:tc>
        <w:tc>
          <w:tcPr>
            <w:tcW w:w="1836" w:type="dxa"/>
            <w:vAlign w:val="center"/>
          </w:tcPr>
          <w:p>
            <w:pPr>
              <w:spacing w:line="360" w:lineRule="auto"/>
            </w:pPr>
            <w:r>
              <w:t>LoadRunner</w:t>
            </w:r>
          </w:p>
        </w:tc>
        <w:tc>
          <w:tcPr>
            <w:tcW w:w="2133" w:type="dxa"/>
            <w:vAlign w:val="center"/>
          </w:tcPr>
          <w:p>
            <w:pPr>
              <w:spacing w:line="360" w:lineRule="auto"/>
            </w:pPr>
            <w:r>
              <w:t>负载压力测试工具</w:t>
            </w:r>
          </w:p>
        </w:tc>
        <w:tc>
          <w:tcPr>
            <w:tcW w:w="3905" w:type="dxa"/>
            <w:vAlign w:val="center"/>
          </w:tcPr>
          <w:p>
            <w:pPr>
              <w:spacing w:line="360" w:lineRule="auto"/>
            </w:pPr>
            <w:r>
              <w:t>执行性能</w:t>
            </w:r>
            <w:r>
              <w:rPr>
                <w:rFonts w:hint="eastAsia"/>
              </w:rPr>
              <w:t>压力</w:t>
            </w:r>
            <w:r>
              <w:t>测试：在预定环境和负载下的响应速度，特别是在大负载、大并发量情况下的响应速度。</w:t>
            </w:r>
          </w:p>
          <w:p>
            <w:pPr>
              <w:spacing w:line="360" w:lineRule="auto"/>
            </w:pPr>
            <w:r>
              <w:rPr>
                <w:rFonts w:hint="eastAsia"/>
              </w:rPr>
              <w:t>执行可靠性测试：作为自动化工具模拟实际场景执行7*24小时长时间测试。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2" w:hRule="atLeast"/>
          <w:jc w:val="center"/>
        </w:trPr>
        <w:tc>
          <w:tcPr>
            <w:tcW w:w="684" w:type="dxa"/>
            <w:vAlign w:val="center"/>
          </w:tcPr>
          <w:p>
            <w:pPr>
              <w:spacing w:line="360" w:lineRule="auto"/>
            </w:pPr>
            <w:r>
              <w:rPr>
                <w:rFonts w:hint="eastAsia"/>
              </w:rPr>
              <w:t>2</w:t>
            </w:r>
          </w:p>
        </w:tc>
        <w:tc>
          <w:tcPr>
            <w:tcW w:w="1836" w:type="dxa"/>
            <w:vAlign w:val="center"/>
          </w:tcPr>
          <w:p>
            <w:pPr>
              <w:spacing w:line="360" w:lineRule="auto"/>
            </w:pPr>
            <w:r>
              <w:rPr>
                <w:rFonts w:hint="eastAsia"/>
              </w:rPr>
              <w:t xml:space="preserve">Fortify </w:t>
            </w:r>
            <w:r>
              <w:t>Source Code Analysis Suite</w:t>
            </w:r>
          </w:p>
        </w:tc>
        <w:tc>
          <w:tcPr>
            <w:tcW w:w="2133" w:type="dxa"/>
            <w:vAlign w:val="center"/>
          </w:tcPr>
          <w:p>
            <w:pPr>
              <w:spacing w:line="360" w:lineRule="auto"/>
            </w:pPr>
            <w:r>
              <w:rPr>
                <w:rFonts w:hint="eastAsia"/>
              </w:rPr>
              <w:t>静态代码安全检测工具</w:t>
            </w:r>
          </w:p>
        </w:tc>
        <w:tc>
          <w:tcPr>
            <w:tcW w:w="3905" w:type="dxa"/>
            <w:vAlign w:val="center"/>
          </w:tcPr>
          <w:p>
            <w:pPr>
              <w:spacing w:line="360" w:lineRule="auto"/>
            </w:pPr>
            <w:r>
              <w:rPr>
                <w:rFonts w:hint="eastAsia"/>
              </w:rPr>
              <w:t>执行安全测试与评估：通过扫描所测试程序的正文，产生相应的漏洞报告，提示使用者可能发生安全漏洞错误的类型、位置并提出改正的建议，帮助使用者改进软件质量。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2" w:hRule="atLeast"/>
          <w:jc w:val="center"/>
        </w:trPr>
        <w:tc>
          <w:tcPr>
            <w:tcW w:w="684" w:type="dxa"/>
            <w:vAlign w:val="center"/>
          </w:tcPr>
          <w:p>
            <w:pPr>
              <w:spacing w:line="360" w:lineRule="auto"/>
            </w:pPr>
            <w:r>
              <w:rPr>
                <w:rFonts w:hint="eastAsia"/>
              </w:rPr>
              <w:t>3</w:t>
            </w:r>
          </w:p>
        </w:tc>
        <w:tc>
          <w:tcPr>
            <w:tcW w:w="1836" w:type="dxa"/>
            <w:vAlign w:val="center"/>
          </w:tcPr>
          <w:p>
            <w:pPr>
              <w:spacing w:line="360" w:lineRule="auto"/>
            </w:pPr>
            <w:r>
              <w:rPr>
                <w:rFonts w:hint="eastAsia"/>
              </w:rPr>
              <w:t>AppScan</w:t>
            </w:r>
          </w:p>
        </w:tc>
        <w:tc>
          <w:tcPr>
            <w:tcW w:w="2133" w:type="dxa"/>
            <w:vAlign w:val="center"/>
          </w:tcPr>
          <w:p>
            <w:pPr>
              <w:spacing w:line="360" w:lineRule="auto"/>
            </w:pPr>
            <w:r>
              <w:rPr>
                <w:rFonts w:hint="eastAsia"/>
              </w:rPr>
              <w:t>静态代码安全检测工具，</w:t>
            </w:r>
            <w:r>
              <w:t>安全</w:t>
            </w:r>
            <w:r>
              <w:rPr>
                <w:rFonts w:hint="eastAsia"/>
              </w:rPr>
              <w:t>测试</w:t>
            </w:r>
            <w:r>
              <w:t>管理</w:t>
            </w:r>
            <w:r>
              <w:rPr>
                <w:rFonts w:hint="eastAsia"/>
              </w:rPr>
              <w:t>、</w:t>
            </w:r>
            <w:r>
              <w:t>报告</w:t>
            </w:r>
            <w:r>
              <w:rPr>
                <w:rFonts w:hint="eastAsia"/>
              </w:rPr>
              <w:t>、漏洞扫描</w:t>
            </w:r>
            <w:r>
              <w:t>工具</w:t>
            </w:r>
          </w:p>
        </w:tc>
        <w:tc>
          <w:tcPr>
            <w:tcW w:w="3905" w:type="dxa"/>
            <w:vAlign w:val="center"/>
          </w:tcPr>
          <w:p>
            <w:pPr>
              <w:spacing w:line="360" w:lineRule="auto"/>
            </w:pPr>
            <w:r>
              <w:rPr>
                <w:rFonts w:hint="eastAsia"/>
              </w:rPr>
              <w:t>执行安全测试与评估：</w:t>
            </w:r>
            <w:r>
              <w:t>可以</w:t>
            </w:r>
            <w:r>
              <w:rPr>
                <w:rFonts w:hint="eastAsia"/>
              </w:rPr>
              <w:t>根据漏洞模式</w:t>
            </w:r>
            <w:r>
              <w:t>识别且自动报告</w:t>
            </w:r>
            <w:r>
              <w:rPr>
                <w:rFonts w:hint="eastAsia"/>
              </w:rPr>
              <w:t>程序设计中的</w:t>
            </w:r>
            <w:r>
              <w:t>安全问题。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2" w:hRule="atLeast"/>
          <w:jc w:val="center"/>
        </w:trPr>
        <w:tc>
          <w:tcPr>
            <w:tcW w:w="684" w:type="dxa"/>
            <w:vAlign w:val="center"/>
          </w:tcPr>
          <w:p>
            <w:pPr>
              <w:spacing w:line="360" w:lineRule="auto"/>
            </w:pPr>
            <w:r>
              <w:rPr>
                <w:rFonts w:hint="eastAsia"/>
              </w:rPr>
              <w:t>4</w:t>
            </w:r>
          </w:p>
        </w:tc>
        <w:tc>
          <w:tcPr>
            <w:tcW w:w="1836" w:type="dxa"/>
            <w:vAlign w:val="center"/>
          </w:tcPr>
          <w:p>
            <w:pPr>
              <w:spacing w:line="360" w:lineRule="auto"/>
            </w:pPr>
            <w:r>
              <w:rPr>
                <w:rFonts w:hint="eastAsia"/>
              </w:rPr>
              <w:t>N</w:t>
            </w:r>
            <w:r>
              <w:t xml:space="preserve">mon </w:t>
            </w:r>
            <w:r>
              <w:rPr>
                <w:rFonts w:hint="eastAsia"/>
              </w:rPr>
              <w:t>A</w:t>
            </w:r>
            <w:r>
              <w:t>nalyser</w:t>
            </w:r>
            <w:r>
              <w:rPr>
                <w:rFonts w:hint="eastAsia"/>
              </w:rPr>
              <w:t>、SYSSTAT</w:t>
            </w:r>
          </w:p>
        </w:tc>
        <w:tc>
          <w:tcPr>
            <w:tcW w:w="2133" w:type="dxa"/>
            <w:vAlign w:val="center"/>
          </w:tcPr>
          <w:p>
            <w:pPr>
              <w:spacing w:line="360" w:lineRule="auto"/>
            </w:pPr>
            <w:r>
              <w:rPr>
                <w:rFonts w:hint="eastAsia"/>
              </w:rPr>
              <w:t>系统资源监控工具</w:t>
            </w:r>
          </w:p>
        </w:tc>
        <w:tc>
          <w:tcPr>
            <w:tcW w:w="3905" w:type="dxa"/>
            <w:vAlign w:val="center"/>
          </w:tcPr>
          <w:p>
            <w:pPr>
              <w:spacing w:line="360" w:lineRule="auto"/>
            </w:pPr>
            <w:r>
              <w:t xml:space="preserve">AIX </w:t>
            </w:r>
            <w:r>
              <w:rPr>
                <w:rFonts w:hint="eastAsia"/>
              </w:rPr>
              <w:t>、</w:t>
            </w:r>
            <w:r>
              <w:t>Linux</w:t>
            </w:r>
            <w:r>
              <w:rPr>
                <w:rFonts w:hint="eastAsia"/>
              </w:rPr>
              <w:t>平台</w:t>
            </w:r>
            <w:r>
              <w:t xml:space="preserve"> 性能</w:t>
            </w:r>
            <w:r>
              <w:rPr>
                <w:rFonts w:hint="eastAsia"/>
              </w:rPr>
              <w:t>监控</w:t>
            </w:r>
            <w:r>
              <w:t>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2" w:hRule="atLeast"/>
          <w:jc w:val="center"/>
        </w:trPr>
        <w:tc>
          <w:tcPr>
            <w:tcW w:w="684" w:type="dxa"/>
            <w:vAlign w:val="center"/>
          </w:tcPr>
          <w:p>
            <w:pPr>
              <w:spacing w:line="360" w:lineRule="auto"/>
            </w:pPr>
            <w:r>
              <w:rPr>
                <w:rFonts w:hint="eastAsia"/>
              </w:rPr>
              <w:t>5</w:t>
            </w:r>
          </w:p>
        </w:tc>
        <w:tc>
          <w:tcPr>
            <w:tcW w:w="1836" w:type="dxa"/>
            <w:vAlign w:val="center"/>
          </w:tcPr>
          <w:p>
            <w:pPr>
              <w:spacing w:line="360" w:lineRule="auto"/>
            </w:pPr>
            <w:r>
              <w:t>PerformaSure</w:t>
            </w:r>
          </w:p>
        </w:tc>
        <w:tc>
          <w:tcPr>
            <w:tcW w:w="2133" w:type="dxa"/>
            <w:vAlign w:val="center"/>
          </w:tcPr>
          <w:p>
            <w:pPr>
              <w:spacing w:line="360" w:lineRule="auto"/>
            </w:pPr>
            <w:r>
              <w:rPr>
                <w:rFonts w:hint="eastAsia"/>
              </w:rPr>
              <w:t>性能诊断工具</w:t>
            </w:r>
          </w:p>
        </w:tc>
        <w:tc>
          <w:tcPr>
            <w:tcW w:w="3905" w:type="dxa"/>
            <w:vAlign w:val="center"/>
          </w:tcPr>
          <w:p>
            <w:pPr>
              <w:spacing w:line="360" w:lineRule="auto"/>
            </w:pPr>
            <w:r>
              <w:rPr>
                <w:rFonts w:hint="eastAsia"/>
              </w:rPr>
              <w:t>J2EE应用性能诊断工具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2" w:hRule="atLeast"/>
          <w:jc w:val="center"/>
        </w:trPr>
        <w:tc>
          <w:tcPr>
            <w:tcW w:w="684" w:type="dxa"/>
            <w:vAlign w:val="center"/>
          </w:tcPr>
          <w:p>
            <w:pPr>
              <w:spacing w:line="360" w:lineRule="auto"/>
            </w:pPr>
            <w:r>
              <w:rPr>
                <w:rFonts w:hint="eastAsia"/>
              </w:rPr>
              <w:t>6</w:t>
            </w:r>
          </w:p>
        </w:tc>
        <w:tc>
          <w:tcPr>
            <w:tcW w:w="1836" w:type="dxa"/>
          </w:tcPr>
          <w:p>
            <w:pPr>
              <w:spacing w:line="360" w:lineRule="auto"/>
            </w:pPr>
            <w:r>
              <w:rPr>
                <w:rFonts w:hint="eastAsia"/>
              </w:rPr>
              <w:t>Network Vantage</w:t>
            </w:r>
          </w:p>
        </w:tc>
        <w:tc>
          <w:tcPr>
            <w:tcW w:w="2133" w:type="dxa"/>
            <w:vAlign w:val="center"/>
          </w:tcPr>
          <w:p>
            <w:pPr>
              <w:spacing w:line="360" w:lineRule="auto"/>
            </w:pPr>
            <w:r>
              <w:rPr>
                <w:rFonts w:hint="eastAsia"/>
              </w:rPr>
              <w:t>故障诊断工具</w:t>
            </w:r>
          </w:p>
        </w:tc>
        <w:tc>
          <w:tcPr>
            <w:tcW w:w="3905" w:type="dxa"/>
            <w:vAlign w:val="center"/>
          </w:tcPr>
          <w:p>
            <w:pPr>
              <w:spacing w:line="360" w:lineRule="auto"/>
            </w:pPr>
            <w:r>
              <w:rPr>
                <w:rFonts w:hint="eastAsia"/>
              </w:rPr>
              <w:t>网络数据诊断、分析工具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2" w:hRule="atLeast"/>
          <w:jc w:val="center"/>
        </w:trPr>
        <w:tc>
          <w:tcPr>
            <w:tcW w:w="684" w:type="dxa"/>
            <w:vAlign w:val="center"/>
          </w:tcPr>
          <w:p>
            <w:pPr>
              <w:spacing w:line="360" w:lineRule="auto"/>
            </w:pPr>
            <w:r>
              <w:rPr>
                <w:rFonts w:hint="eastAsia"/>
              </w:rPr>
              <w:t>7</w:t>
            </w:r>
          </w:p>
        </w:tc>
        <w:tc>
          <w:tcPr>
            <w:tcW w:w="1836" w:type="dxa"/>
            <w:vAlign w:val="center"/>
          </w:tcPr>
          <w:p>
            <w:pPr>
              <w:spacing w:line="360" w:lineRule="auto"/>
            </w:pPr>
            <w:r>
              <w:rPr>
                <w:rFonts w:hint="eastAsia"/>
              </w:rPr>
              <w:t>WinRunner</w:t>
            </w:r>
          </w:p>
        </w:tc>
        <w:tc>
          <w:tcPr>
            <w:tcW w:w="2133" w:type="dxa"/>
            <w:vAlign w:val="center"/>
          </w:tcPr>
          <w:p>
            <w:pPr>
              <w:spacing w:line="360" w:lineRule="auto"/>
            </w:pPr>
            <w:r>
              <w:rPr>
                <w:rFonts w:hint="eastAsia"/>
              </w:rPr>
              <w:t>通过构建系统功能测试框架，编写自动化测试脚本，模拟用户操作，执行系统测试案例，帮助验证系统功能是否符合需求。</w:t>
            </w:r>
          </w:p>
        </w:tc>
        <w:tc>
          <w:tcPr>
            <w:tcW w:w="3905" w:type="dxa"/>
            <w:vAlign w:val="center"/>
          </w:tcPr>
          <w:p>
            <w:pPr>
              <w:spacing w:line="360" w:lineRule="auto"/>
            </w:pPr>
            <w:r>
              <w:rPr>
                <w:rFonts w:hint="eastAsia"/>
              </w:rPr>
              <w:t>在涉及到大规模回归测试时，可以采用此类自动化工具完成。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2" w:hRule="atLeast"/>
          <w:jc w:val="center"/>
        </w:trPr>
        <w:tc>
          <w:tcPr>
            <w:tcW w:w="684" w:type="dxa"/>
            <w:vAlign w:val="center"/>
          </w:tcPr>
          <w:p>
            <w:pPr>
              <w:spacing w:line="360" w:lineRule="auto"/>
            </w:pPr>
            <w:r>
              <w:rPr>
                <w:rFonts w:hint="eastAsia"/>
              </w:rPr>
              <w:t>8</w:t>
            </w:r>
          </w:p>
        </w:tc>
        <w:tc>
          <w:tcPr>
            <w:tcW w:w="1836" w:type="dxa"/>
            <w:vAlign w:val="center"/>
          </w:tcPr>
          <w:p>
            <w:pPr>
              <w:spacing w:line="360" w:lineRule="auto"/>
            </w:pPr>
            <w:r>
              <w:rPr>
                <w:rFonts w:hint="eastAsia"/>
              </w:rPr>
              <w:t>QTP</w:t>
            </w:r>
          </w:p>
        </w:tc>
        <w:tc>
          <w:tcPr>
            <w:tcW w:w="2133" w:type="dxa"/>
            <w:vAlign w:val="center"/>
          </w:tcPr>
          <w:p>
            <w:pPr>
              <w:spacing w:line="360" w:lineRule="auto"/>
            </w:pPr>
            <w:r>
              <w:rPr>
                <w:rFonts w:hint="eastAsia"/>
              </w:rPr>
              <w:t>通过构建系统功能测试框架，编写自动化测试脚本，模拟用户操作，执行系统测试案例，帮助验证系统功能是否符合需求。</w:t>
            </w:r>
          </w:p>
        </w:tc>
        <w:tc>
          <w:tcPr>
            <w:tcW w:w="3905" w:type="dxa"/>
            <w:vAlign w:val="center"/>
          </w:tcPr>
          <w:p>
            <w:pPr>
              <w:spacing w:line="360" w:lineRule="auto"/>
            </w:pPr>
            <w:r>
              <w:rPr>
                <w:rFonts w:hint="eastAsia"/>
              </w:rPr>
              <w:t>在涉及到大规模回归测试时，可以采用此类自动化工具完成。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2" w:hRule="atLeast"/>
          <w:jc w:val="center"/>
        </w:trPr>
        <w:tc>
          <w:tcPr>
            <w:tcW w:w="684" w:type="dxa"/>
            <w:vAlign w:val="center"/>
          </w:tcPr>
          <w:p>
            <w:pPr>
              <w:spacing w:line="360" w:lineRule="auto"/>
            </w:pPr>
            <w:r>
              <w:rPr>
                <w:rFonts w:hint="eastAsia"/>
              </w:rPr>
              <w:t>9</w:t>
            </w:r>
          </w:p>
        </w:tc>
        <w:tc>
          <w:tcPr>
            <w:tcW w:w="1836" w:type="dxa"/>
            <w:vAlign w:val="center"/>
          </w:tcPr>
          <w:p>
            <w:pPr>
              <w:spacing w:line="360" w:lineRule="auto"/>
            </w:pPr>
            <w:r>
              <w:rPr>
                <w:rFonts w:hint="eastAsia"/>
              </w:rPr>
              <w:t>JUnit</w:t>
            </w:r>
          </w:p>
        </w:tc>
        <w:tc>
          <w:tcPr>
            <w:tcW w:w="2133" w:type="dxa"/>
            <w:vAlign w:val="center"/>
          </w:tcPr>
          <w:p>
            <w:pPr>
              <w:spacing w:line="360" w:lineRule="auto"/>
            </w:pPr>
            <w:r>
              <w:rPr>
                <w:rFonts w:hint="eastAsia"/>
              </w:rPr>
              <w:t>单元测试工具</w:t>
            </w:r>
          </w:p>
        </w:tc>
        <w:tc>
          <w:tcPr>
            <w:tcW w:w="3905" w:type="dxa"/>
            <w:vAlign w:val="center"/>
          </w:tcPr>
          <w:p>
            <w:pPr>
              <w:spacing w:line="360" w:lineRule="auto"/>
            </w:pPr>
            <w:r>
              <w:t>回归测试框架</w:t>
            </w:r>
            <w:r>
              <w:rPr>
                <w:rFonts w:hint="eastAsia"/>
              </w:rPr>
              <w:t>，</w:t>
            </w:r>
            <w:r>
              <w:t>供Java开发人员</w:t>
            </w:r>
            <w:r>
              <w:rPr>
                <w:rFonts w:hint="eastAsia"/>
              </w:rPr>
              <w:t>执行</w:t>
            </w:r>
            <w:r>
              <w:t>单元测试之用</w:t>
            </w:r>
            <w:r>
              <w:rPr>
                <w:rFonts w:hint="eastAsia"/>
              </w:rPr>
              <w:t>，属于</w:t>
            </w:r>
            <w:r>
              <w:t>白盒测试</w:t>
            </w:r>
            <w:r>
              <w:rPr>
                <w:rFonts w:hint="eastAsia"/>
              </w:rPr>
              <w:t>范畴</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2" w:hRule="atLeast"/>
          <w:jc w:val="center"/>
        </w:trPr>
        <w:tc>
          <w:tcPr>
            <w:tcW w:w="684" w:type="dxa"/>
            <w:vAlign w:val="center"/>
          </w:tcPr>
          <w:p>
            <w:pPr>
              <w:spacing w:line="360" w:lineRule="auto"/>
            </w:pPr>
            <w:r>
              <w:rPr>
                <w:rFonts w:hint="eastAsia"/>
              </w:rPr>
              <w:t>10</w:t>
            </w:r>
          </w:p>
        </w:tc>
        <w:tc>
          <w:tcPr>
            <w:tcW w:w="1836" w:type="dxa"/>
            <w:vAlign w:val="center"/>
          </w:tcPr>
          <w:p>
            <w:pPr>
              <w:spacing w:line="360" w:lineRule="auto"/>
            </w:pPr>
            <w:r>
              <w:rPr>
                <w:rFonts w:hint="eastAsia"/>
              </w:rPr>
              <w:t>DevPartner</w:t>
            </w:r>
          </w:p>
        </w:tc>
        <w:tc>
          <w:tcPr>
            <w:tcW w:w="2133" w:type="dxa"/>
            <w:vAlign w:val="center"/>
          </w:tcPr>
          <w:p>
            <w:pPr>
              <w:spacing w:line="360" w:lineRule="auto"/>
            </w:pPr>
            <w:r>
              <w:rPr>
                <w:rFonts w:hint="eastAsia"/>
              </w:rPr>
              <w:t>单元测试工具</w:t>
            </w:r>
          </w:p>
        </w:tc>
        <w:tc>
          <w:tcPr>
            <w:tcW w:w="3905" w:type="dxa"/>
            <w:vAlign w:val="center"/>
          </w:tcPr>
          <w:p>
            <w:pPr>
              <w:spacing w:line="360" w:lineRule="auto"/>
            </w:pPr>
            <w:r>
              <w:rPr>
                <w:rFonts w:hint="eastAsia"/>
              </w:rPr>
              <w:t>静态、动态分析代码，覆盖基本数据流程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2" w:hRule="atLeast"/>
          <w:jc w:val="center"/>
        </w:trPr>
        <w:tc>
          <w:tcPr>
            <w:tcW w:w="684" w:type="dxa"/>
            <w:vAlign w:val="center"/>
          </w:tcPr>
          <w:p>
            <w:pPr>
              <w:spacing w:line="360" w:lineRule="auto"/>
            </w:pPr>
            <w:r>
              <w:rPr>
                <w:rFonts w:hint="eastAsia"/>
              </w:rPr>
              <w:t>11</w:t>
            </w:r>
          </w:p>
        </w:tc>
        <w:tc>
          <w:tcPr>
            <w:tcW w:w="1836" w:type="dxa"/>
            <w:vAlign w:val="center"/>
          </w:tcPr>
          <w:p>
            <w:pPr>
              <w:spacing w:line="360" w:lineRule="auto"/>
            </w:pPr>
            <w:r>
              <w:rPr>
                <w:rFonts w:hint="eastAsia"/>
              </w:rPr>
              <w:t>HTTPUnit</w:t>
            </w:r>
          </w:p>
        </w:tc>
        <w:tc>
          <w:tcPr>
            <w:tcW w:w="2133" w:type="dxa"/>
            <w:vAlign w:val="center"/>
          </w:tcPr>
          <w:p>
            <w:pPr>
              <w:spacing w:line="360" w:lineRule="auto"/>
            </w:pPr>
            <w:r>
              <w:rPr>
                <w:rFonts w:hint="eastAsia"/>
              </w:rPr>
              <w:t>单元测试工具</w:t>
            </w:r>
          </w:p>
        </w:tc>
        <w:tc>
          <w:tcPr>
            <w:tcW w:w="3905" w:type="dxa"/>
            <w:vAlign w:val="center"/>
          </w:tcPr>
          <w:p>
            <w:pPr>
              <w:spacing w:line="360" w:lineRule="auto"/>
            </w:pPr>
            <w:r>
              <w:rPr>
                <w:rFonts w:hint="eastAsia"/>
              </w:rPr>
              <w:t>测试辅助工具，协助进行HTTP请求响应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2" w:hRule="atLeast"/>
          <w:jc w:val="center"/>
        </w:trPr>
        <w:tc>
          <w:tcPr>
            <w:tcW w:w="684" w:type="dxa"/>
            <w:vAlign w:val="center"/>
          </w:tcPr>
          <w:p>
            <w:pPr>
              <w:spacing w:line="360" w:lineRule="auto"/>
            </w:pPr>
            <w:r>
              <w:rPr>
                <w:rFonts w:hint="eastAsia"/>
              </w:rPr>
              <w:t>12</w:t>
            </w:r>
          </w:p>
        </w:tc>
        <w:tc>
          <w:tcPr>
            <w:tcW w:w="1836" w:type="dxa"/>
            <w:vAlign w:val="center"/>
          </w:tcPr>
          <w:p>
            <w:pPr>
              <w:spacing w:line="360" w:lineRule="auto"/>
            </w:pPr>
            <w:r>
              <w:rPr>
                <w:rFonts w:hint="eastAsia"/>
                <w:lang w:eastAsia="zh-CN"/>
              </w:rPr>
              <w:t>**信息</w:t>
            </w:r>
            <w:r>
              <w:rPr>
                <w:rFonts w:hint="eastAsia"/>
              </w:rPr>
              <w:t>软件缺陷管理系统</w:t>
            </w:r>
          </w:p>
        </w:tc>
        <w:tc>
          <w:tcPr>
            <w:tcW w:w="2133" w:type="dxa"/>
            <w:vAlign w:val="center"/>
          </w:tcPr>
          <w:p>
            <w:pPr>
              <w:spacing w:line="360" w:lineRule="auto"/>
            </w:pPr>
            <w:r>
              <w:rPr>
                <w:rFonts w:hint="eastAsia"/>
              </w:rPr>
              <w:t>缺陷处理管理工具</w:t>
            </w:r>
          </w:p>
        </w:tc>
        <w:tc>
          <w:tcPr>
            <w:tcW w:w="3905" w:type="dxa"/>
            <w:vAlign w:val="center"/>
          </w:tcPr>
          <w:p>
            <w:pPr>
              <w:spacing w:line="360" w:lineRule="auto"/>
            </w:pPr>
            <w:r>
              <w:rPr>
                <w:rFonts w:hint="eastAsia"/>
              </w:rPr>
              <w:t>自研产品，可以与被测系统无缝连接。提供缺陷状态跟踪与处理功能，提供质量报表。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2" w:hRule="atLeast"/>
          <w:jc w:val="center"/>
        </w:trPr>
        <w:tc>
          <w:tcPr>
            <w:tcW w:w="684" w:type="dxa"/>
            <w:vAlign w:val="center"/>
          </w:tcPr>
          <w:p>
            <w:pPr>
              <w:spacing w:line="360" w:lineRule="auto"/>
            </w:pPr>
            <w:r>
              <w:rPr>
                <w:rFonts w:hint="eastAsia"/>
              </w:rPr>
              <w:t>13</w:t>
            </w:r>
          </w:p>
        </w:tc>
        <w:tc>
          <w:tcPr>
            <w:tcW w:w="1836" w:type="dxa"/>
            <w:vAlign w:val="center"/>
          </w:tcPr>
          <w:p>
            <w:pPr>
              <w:spacing w:line="360" w:lineRule="auto"/>
            </w:pPr>
            <w:r>
              <w:rPr>
                <w:rFonts w:hint="eastAsia"/>
                <w:lang w:eastAsia="zh-CN"/>
              </w:rPr>
              <w:t>**信息</w:t>
            </w:r>
            <w:r>
              <w:rPr>
                <w:rFonts w:hint="eastAsia"/>
              </w:rPr>
              <w:t>评审管理系统</w:t>
            </w:r>
          </w:p>
        </w:tc>
        <w:tc>
          <w:tcPr>
            <w:tcW w:w="2133" w:type="dxa"/>
            <w:vAlign w:val="center"/>
          </w:tcPr>
          <w:p>
            <w:pPr>
              <w:spacing w:line="360" w:lineRule="auto"/>
            </w:pPr>
            <w:r>
              <w:rPr>
                <w:rFonts w:hint="eastAsia"/>
              </w:rPr>
              <w:t>测试过程管理工具</w:t>
            </w:r>
          </w:p>
        </w:tc>
        <w:tc>
          <w:tcPr>
            <w:tcW w:w="3905" w:type="dxa"/>
            <w:vAlign w:val="center"/>
          </w:tcPr>
          <w:p>
            <w:pPr>
              <w:spacing w:line="360" w:lineRule="auto"/>
            </w:pPr>
            <w:r>
              <w:rPr>
                <w:rFonts w:hint="eastAsia"/>
              </w:rPr>
              <w:t>自研产品，可以实现按需定制测试计划、测试用例评审过程。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558" w:type="dxa"/>
            <w:gridSpan w:val="4"/>
            <w:vAlign w:val="center"/>
          </w:tcPr>
          <w:p>
            <w:pPr>
              <w:spacing w:line="360" w:lineRule="auto"/>
            </w:pPr>
            <w:r>
              <w:t>注：如果还需要其他测试工具，可根据测试情况进行调整和追加。</w:t>
            </w:r>
          </w:p>
        </w:tc>
      </w:tr>
    </w:tbl>
    <w:p>
      <w:pPr>
        <w:spacing w:line="360" w:lineRule="auto"/>
      </w:pPr>
    </w:p>
    <w:p>
      <w:pPr>
        <w:spacing w:line="360" w:lineRule="auto"/>
        <w:ind w:firstLine="315" w:firstLineChars="150"/>
      </w:pPr>
    </w:p>
    <w:p>
      <w:pPr>
        <w:pStyle w:val="5"/>
        <w:numPr>
          <w:ilvl w:val="3"/>
          <w:numId w:val="3"/>
        </w:numPr>
        <w:spacing w:before="0" w:after="0" w:line="360" w:lineRule="auto"/>
        <w:ind w:left="0" w:leftChars="0" w:firstLine="402" w:firstLineChars="0"/>
      </w:pPr>
      <w:bookmarkStart w:id="486" w:name="_Toc4611"/>
      <w:r>
        <w:rPr>
          <w:rFonts w:hint="eastAsia"/>
        </w:rPr>
        <w:t>性能测试</w:t>
      </w:r>
      <w:bookmarkEnd w:id="486"/>
    </w:p>
    <w:p>
      <w:pPr>
        <w:pStyle w:val="5"/>
        <w:numPr>
          <w:ilvl w:val="3"/>
          <w:numId w:val="3"/>
        </w:numPr>
        <w:spacing w:before="0" w:after="0" w:line="360" w:lineRule="auto"/>
        <w:ind w:left="0" w:leftChars="0" w:firstLine="402" w:firstLineChars="0"/>
      </w:pPr>
      <w:bookmarkStart w:id="487" w:name="_Toc29197"/>
      <w:r>
        <w:rPr>
          <w:rFonts w:hint="eastAsia"/>
        </w:rPr>
        <w:t>基本</w:t>
      </w:r>
      <w:r>
        <w:t>要求</w:t>
      </w:r>
      <w:bookmarkEnd w:id="487"/>
    </w:p>
    <w:p>
      <w:pPr>
        <w:spacing w:line="360" w:lineRule="auto"/>
        <w:ind w:firstLine="480" w:firstLineChars="200"/>
        <w:rPr>
          <w:sz w:val="24"/>
          <w:szCs w:val="24"/>
        </w:rPr>
      </w:pPr>
      <w:r>
        <w:rPr>
          <w:rFonts w:hint="eastAsia"/>
          <w:sz w:val="24"/>
          <w:szCs w:val="24"/>
        </w:rPr>
        <w:t>本项目性能测试在系统具有一定的稳定性，功能基本满足需求的前提下即可开始。人员安排方面需要有以下一些角色：性能测试经理，测试设计开发人员，测试执行人员，性能分析人员及若干系统、网络、数据库支持人员。</w:t>
      </w:r>
    </w:p>
    <w:p>
      <w:pPr>
        <w:spacing w:line="360" w:lineRule="auto"/>
        <w:ind w:firstLine="480" w:firstLineChars="200"/>
        <w:rPr>
          <w:sz w:val="24"/>
          <w:szCs w:val="24"/>
        </w:rPr>
      </w:pPr>
      <w:r>
        <w:rPr>
          <w:rFonts w:hint="eastAsia"/>
          <w:sz w:val="24"/>
          <w:szCs w:val="24"/>
        </w:rPr>
        <w:t>本项目性能测试中将重点关注业务的执行响应时间、在线用户数、业务吞吐量、存储容量、网络带宽等指标是否满足近期和远期的用户需求。交易响应时间定义为完成目标系统中的交互或批量处理所需的响应时间，如果交易涉及与其它系统之间交互，响应时间应包括系统之间交互的时间，服务器资源占用情况主要包括处理器资源，存储器资源，磁盘资源等的使用率，是否存在性能瓶颈。</w:t>
      </w:r>
    </w:p>
    <w:p>
      <w:pPr>
        <w:pStyle w:val="6"/>
        <w:numPr>
          <w:ilvl w:val="4"/>
          <w:numId w:val="3"/>
        </w:numPr>
        <w:spacing w:before="0" w:after="0" w:line="360" w:lineRule="auto"/>
        <w:ind w:left="0" w:leftChars="0" w:firstLine="402" w:firstLineChars="0"/>
      </w:pPr>
      <w:bookmarkStart w:id="488" w:name="_Toc4300"/>
      <w:r>
        <w:rPr>
          <w:rFonts w:hint="eastAsia"/>
        </w:rPr>
        <w:t>测试工具及测试方法</w:t>
      </w:r>
      <w:bookmarkEnd w:id="488"/>
    </w:p>
    <w:p>
      <w:pPr>
        <w:spacing w:line="360" w:lineRule="auto"/>
        <w:ind w:firstLine="480" w:firstLineChars="200"/>
        <w:rPr>
          <w:sz w:val="24"/>
          <w:szCs w:val="24"/>
        </w:rPr>
      </w:pPr>
      <w:r>
        <w:rPr>
          <w:rFonts w:hint="eastAsia"/>
          <w:sz w:val="24"/>
          <w:szCs w:val="24"/>
        </w:rPr>
        <w:t>（一）测试</w:t>
      </w:r>
      <w:r>
        <w:rPr>
          <w:sz w:val="24"/>
          <w:szCs w:val="24"/>
        </w:rPr>
        <w:t>工具</w:t>
      </w:r>
    </w:p>
    <w:p>
      <w:pPr>
        <w:spacing w:line="360" w:lineRule="auto"/>
        <w:ind w:firstLine="480" w:firstLineChars="200"/>
        <w:rPr>
          <w:sz w:val="24"/>
          <w:szCs w:val="24"/>
        </w:rPr>
      </w:pPr>
      <w:r>
        <w:rPr>
          <w:rFonts w:hint="eastAsia"/>
          <w:sz w:val="24"/>
          <w:szCs w:val="24"/>
        </w:rPr>
        <w:t>依据招标方要求，本项目性能测试工作将通过选用自动化的测试工具LoadRunner来模拟多种正常、峰值以及异常负载条件，对</w:t>
      </w:r>
      <w:r>
        <w:rPr>
          <w:rFonts w:hint="eastAsia"/>
          <w:sz w:val="24"/>
          <w:szCs w:val="24"/>
          <w:lang w:eastAsia="zh-CN"/>
        </w:rPr>
        <w:t>xx交通</w:t>
      </w:r>
      <w:r>
        <w:rPr>
          <w:rFonts w:hint="eastAsia"/>
          <w:sz w:val="24"/>
          <w:szCs w:val="24"/>
        </w:rPr>
        <w:t>增值税发票管理系统的交互类业务、查询类业务、大数据批处理类业务的各项性能指标进行测量。</w:t>
      </w:r>
    </w:p>
    <w:p>
      <w:pPr>
        <w:spacing w:line="360" w:lineRule="auto"/>
        <w:ind w:firstLine="480" w:firstLineChars="200"/>
        <w:rPr>
          <w:sz w:val="24"/>
          <w:szCs w:val="24"/>
        </w:rPr>
      </w:pPr>
      <w:r>
        <w:rPr>
          <w:rFonts w:hint="eastAsia"/>
          <w:sz w:val="24"/>
          <w:szCs w:val="24"/>
        </w:rPr>
        <w:t>（二</w:t>
      </w:r>
      <w:r>
        <w:rPr>
          <w:sz w:val="24"/>
          <w:szCs w:val="24"/>
        </w:rPr>
        <w:t>）</w:t>
      </w:r>
      <w:r>
        <w:rPr>
          <w:rFonts w:hint="eastAsia"/>
          <w:sz w:val="24"/>
          <w:szCs w:val="24"/>
        </w:rPr>
        <w:t>测试方法</w:t>
      </w:r>
    </w:p>
    <w:p>
      <w:pPr>
        <w:spacing w:line="360" w:lineRule="auto"/>
        <w:ind w:firstLine="480" w:firstLineChars="200"/>
        <w:rPr>
          <w:sz w:val="24"/>
          <w:szCs w:val="24"/>
        </w:rPr>
      </w:pPr>
      <w:r>
        <w:rPr>
          <w:rFonts w:hint="eastAsia"/>
          <w:sz w:val="24"/>
          <w:szCs w:val="24"/>
        </w:rPr>
        <w:t>本项目性能测试工作拟按照以下步骤来展开。</w:t>
      </w:r>
    </w:p>
    <w:p>
      <w:pPr>
        <w:spacing w:line="360" w:lineRule="auto"/>
        <w:ind w:firstLine="480" w:firstLineChars="200"/>
        <w:rPr>
          <w:sz w:val="24"/>
          <w:szCs w:val="24"/>
        </w:rPr>
      </w:pPr>
      <w:r>
        <w:rPr>
          <w:rFonts w:hint="eastAsia"/>
          <w:sz w:val="24"/>
          <w:szCs w:val="24"/>
        </w:rPr>
        <w:t>一、用户活动剖析和业务建模</w:t>
      </w:r>
    </w:p>
    <w:p>
      <w:pPr>
        <w:spacing w:line="360" w:lineRule="auto"/>
        <w:ind w:firstLine="480" w:firstLineChars="200"/>
        <w:rPr>
          <w:sz w:val="24"/>
          <w:szCs w:val="24"/>
        </w:rPr>
      </w:pPr>
      <w:r>
        <w:rPr>
          <w:rFonts w:hint="eastAsia"/>
          <w:sz w:val="24"/>
          <w:szCs w:val="24"/>
        </w:rPr>
        <w:t>用户活动剖析和业务建模活动用来寻找用户关键的性能关注点。本项目中发票领购、发票开具</w:t>
      </w:r>
      <w:r>
        <w:rPr>
          <w:sz w:val="24"/>
          <w:szCs w:val="24"/>
        </w:rPr>
        <w:t>，红字发票开具，</w:t>
      </w:r>
      <w:r>
        <w:rPr>
          <w:rFonts w:hint="eastAsia"/>
          <w:sz w:val="24"/>
          <w:szCs w:val="24"/>
          <w:lang w:eastAsia="zh-CN"/>
        </w:rPr>
        <w:t>xx交通</w:t>
      </w:r>
      <w:r>
        <w:rPr>
          <w:sz w:val="24"/>
          <w:szCs w:val="24"/>
        </w:rPr>
        <w:t>增值税发票管理上报，</w:t>
      </w:r>
      <w:r>
        <w:rPr>
          <w:rFonts w:hint="eastAsia"/>
          <w:sz w:val="24"/>
          <w:szCs w:val="24"/>
          <w:lang w:eastAsia="zh-CN"/>
        </w:rPr>
        <w:t>xx交通</w:t>
      </w:r>
      <w:r>
        <w:rPr>
          <w:sz w:val="24"/>
          <w:szCs w:val="24"/>
        </w:rPr>
        <w:t>增值税发票管理查询</w:t>
      </w:r>
      <w:r>
        <w:rPr>
          <w:rFonts w:hint="eastAsia"/>
          <w:sz w:val="24"/>
          <w:szCs w:val="24"/>
        </w:rPr>
        <w:t>等业务即可作为关键的性能关注点。业务建模是定义系统的典型使用方式，并确定需要重点测试的功能，考虑哪些用户使用系统，每种类型用户的数量，每个用户的典型任务，以及这些任务的分布情况，峰值及常态时的典型活动等。</w:t>
      </w:r>
    </w:p>
    <w:p>
      <w:pPr>
        <w:spacing w:line="360" w:lineRule="auto"/>
        <w:ind w:firstLine="480" w:firstLineChars="200"/>
        <w:rPr>
          <w:sz w:val="24"/>
          <w:szCs w:val="24"/>
        </w:rPr>
      </w:pPr>
      <w:r>
        <w:rPr>
          <w:rFonts w:hint="eastAsia"/>
          <w:sz w:val="24"/>
          <w:szCs w:val="24"/>
        </w:rPr>
        <w:t>二、确定性能目标</w:t>
      </w:r>
    </w:p>
    <w:p>
      <w:pPr>
        <w:spacing w:line="360" w:lineRule="auto"/>
        <w:ind w:firstLine="480" w:firstLineChars="200"/>
        <w:rPr>
          <w:sz w:val="24"/>
          <w:szCs w:val="24"/>
        </w:rPr>
      </w:pPr>
      <w:r>
        <w:rPr>
          <w:rFonts w:hint="eastAsia"/>
          <w:sz w:val="24"/>
          <w:szCs w:val="24"/>
        </w:rPr>
        <w:t>根据性能测试需求和用户活动分析结果来确定性能目标，应精确地确定、区分可接受和不可接受测试结果的标准。本项目性能测试中将重点关注业务的执行响应时间是否满足测试需求及各数据库服务器、应用服务器资源占用情况。交易响应时间定义为完成目标系统中的交互或批量处理所需的响应时间，如果交易涉及与其它系统之间交互，响应时间应包括系统之间交互的时间，服务器资源占用情况主要包括处理器资源，存储器资源，磁盘资源等的使用率，是否存在性能瓶颈。本项目性能测试还将测试系统在</w:t>
      </w:r>
      <w:r>
        <w:rPr>
          <w:sz w:val="24"/>
          <w:szCs w:val="24"/>
        </w:rPr>
        <w:t>逐步增加负载</w:t>
      </w:r>
      <w:r>
        <w:rPr>
          <w:rFonts w:hint="eastAsia"/>
          <w:sz w:val="24"/>
          <w:szCs w:val="24"/>
        </w:rPr>
        <w:t>情况下以及对将来业务量扩大，终端用户群增多等系统容量发生变化的情况下的性能表现。</w:t>
      </w:r>
    </w:p>
    <w:p>
      <w:pPr>
        <w:spacing w:line="360" w:lineRule="auto"/>
        <w:ind w:firstLine="480" w:firstLineChars="200"/>
        <w:rPr>
          <w:sz w:val="24"/>
          <w:szCs w:val="24"/>
        </w:rPr>
      </w:pPr>
      <w:r>
        <w:rPr>
          <w:rFonts w:hint="eastAsia"/>
          <w:sz w:val="24"/>
          <w:szCs w:val="24"/>
        </w:rPr>
        <w:t>三、测试设计与开发</w:t>
      </w:r>
    </w:p>
    <w:p>
      <w:pPr>
        <w:spacing w:line="360" w:lineRule="auto"/>
        <w:ind w:firstLine="480" w:firstLineChars="200"/>
      </w:pPr>
      <w:r>
        <w:rPr>
          <w:rFonts w:hint="eastAsia"/>
          <w:sz w:val="24"/>
          <w:szCs w:val="24"/>
        </w:rPr>
        <w:t>测试设计活动用于设计测试活动需要的场景，用来模拟实际业务运行的典型模式，其包括业务类型、业务比例、测试指标的目标以及需要在测试过程中监控的性能计数器。测试场景可以是多个测试目标的综合体现。在场景设计完成之后，测试单位将针对场景描述，规划出相应的工具部署，应用部署，测试方法和步骤，操作序列描述等内容，即测试用例的设计。</w:t>
      </w:r>
    </w:p>
    <w:p>
      <w:pPr>
        <w:pStyle w:val="6"/>
        <w:numPr>
          <w:ilvl w:val="4"/>
          <w:numId w:val="3"/>
        </w:numPr>
        <w:spacing w:before="0" w:after="0" w:line="360" w:lineRule="auto"/>
        <w:ind w:left="0" w:leftChars="0" w:firstLine="402" w:firstLineChars="0"/>
      </w:pPr>
      <w:bookmarkStart w:id="489" w:name="_Toc8555"/>
      <w:r>
        <w:rPr>
          <w:rFonts w:hint="eastAsia"/>
        </w:rPr>
        <w:t>测试数据要求</w:t>
      </w:r>
      <w:bookmarkEnd w:id="489"/>
    </w:p>
    <w:p>
      <w:pPr>
        <w:spacing w:line="360" w:lineRule="auto"/>
        <w:ind w:firstLine="480" w:firstLineChars="200"/>
        <w:rPr>
          <w:sz w:val="24"/>
          <w:szCs w:val="24"/>
        </w:rPr>
      </w:pPr>
      <w:r>
        <w:rPr>
          <w:rFonts w:hint="eastAsia"/>
          <w:sz w:val="24"/>
          <w:szCs w:val="24"/>
        </w:rPr>
        <w:t>性能测试过程中测试用例将严格按照招标方要求设计，覆盖交互类业务，查询类业务，大数据量、批处理业务场景，测试用例的维护将根据系统调优情况变化，及时更新维护。</w:t>
      </w:r>
    </w:p>
    <w:p>
      <w:pPr>
        <w:spacing w:line="360" w:lineRule="auto"/>
        <w:ind w:firstLine="480" w:firstLineChars="200"/>
        <w:rPr>
          <w:sz w:val="24"/>
          <w:szCs w:val="24"/>
        </w:rPr>
      </w:pPr>
      <w:r>
        <w:rPr>
          <w:rFonts w:hint="eastAsia"/>
          <w:sz w:val="24"/>
          <w:szCs w:val="24"/>
          <w:lang w:eastAsia="zh-CN"/>
        </w:rPr>
        <w:t>**信息</w:t>
      </w:r>
      <w:r>
        <w:rPr>
          <w:rFonts w:hint="eastAsia"/>
          <w:sz w:val="24"/>
          <w:szCs w:val="24"/>
        </w:rPr>
        <w:t>测试单位将在性能测试过程中准备充分的模拟业务测试数据，满足测试需求，满足完整性、一致性等要求。对于从实际生产系统中采集到的数据，</w:t>
      </w:r>
      <w:r>
        <w:rPr>
          <w:rFonts w:hint="eastAsia"/>
          <w:sz w:val="24"/>
          <w:szCs w:val="24"/>
          <w:lang w:eastAsia="zh-CN"/>
        </w:rPr>
        <w:t>**信息</w:t>
      </w:r>
      <w:r>
        <w:rPr>
          <w:rFonts w:hint="eastAsia"/>
          <w:sz w:val="24"/>
          <w:szCs w:val="24"/>
        </w:rPr>
        <w:t>测试单位将通过签订保密协议等方式对其保密。</w:t>
      </w:r>
    </w:p>
    <w:p>
      <w:pPr>
        <w:spacing w:line="360" w:lineRule="auto"/>
        <w:ind w:firstLine="480" w:firstLineChars="200"/>
        <w:rPr>
          <w:sz w:val="24"/>
          <w:szCs w:val="24"/>
        </w:rPr>
      </w:pPr>
      <w:r>
        <w:rPr>
          <w:rFonts w:hint="eastAsia"/>
          <w:sz w:val="24"/>
          <w:szCs w:val="24"/>
        </w:rPr>
        <w:t>性能测试过程中，</w:t>
      </w:r>
      <w:r>
        <w:rPr>
          <w:rFonts w:hint="eastAsia"/>
          <w:sz w:val="24"/>
          <w:szCs w:val="24"/>
          <w:lang w:eastAsia="zh-CN"/>
        </w:rPr>
        <w:t>**信息</w:t>
      </w:r>
      <w:r>
        <w:rPr>
          <w:rFonts w:hint="eastAsia"/>
          <w:sz w:val="24"/>
          <w:szCs w:val="24"/>
        </w:rPr>
        <w:t>测试单位依据性能需求分析结果，设计相关的业务场景测试用例，将以三种方式来测试各场景的系统性能指标。</w:t>
      </w:r>
    </w:p>
    <w:p>
      <w:pPr>
        <w:spacing w:line="360" w:lineRule="auto"/>
        <w:ind w:firstLine="480" w:firstLineChars="200"/>
        <w:rPr>
          <w:sz w:val="24"/>
          <w:szCs w:val="24"/>
        </w:rPr>
      </w:pPr>
      <w:r>
        <w:rPr>
          <w:rFonts w:hint="eastAsia"/>
          <w:sz w:val="24"/>
          <w:szCs w:val="24"/>
        </w:rPr>
        <w:t>一、测试系统达到预期最大响应时间时的并发量</w:t>
      </w:r>
    </w:p>
    <w:p>
      <w:pPr>
        <w:spacing w:line="360" w:lineRule="auto"/>
        <w:ind w:firstLine="480" w:firstLineChars="200"/>
        <w:rPr>
          <w:sz w:val="24"/>
          <w:szCs w:val="24"/>
        </w:rPr>
      </w:pPr>
      <w:r>
        <w:rPr>
          <w:rFonts w:hint="eastAsia"/>
          <w:sz w:val="24"/>
          <w:szCs w:val="24"/>
        </w:rPr>
        <w:t>使用LoadRunner的“目标驱动”来设置Controller运行场景，目标设置为事务的最大预期响应时间，由LoadRunner自动匹配响应时间达到预期最大值时的并发用户数。据此与既定并发量相比，验证是否符合要求。</w:t>
      </w:r>
    </w:p>
    <w:p>
      <w:pPr>
        <w:spacing w:line="360" w:lineRule="auto"/>
        <w:ind w:firstLine="480" w:firstLineChars="200"/>
        <w:rPr>
          <w:sz w:val="24"/>
          <w:szCs w:val="24"/>
        </w:rPr>
      </w:pPr>
      <w:r>
        <w:rPr>
          <w:rFonts w:hint="eastAsia"/>
          <w:sz w:val="24"/>
          <w:szCs w:val="24"/>
        </w:rPr>
        <w:t>二、测试系统资源消耗达到预期上限时的响应时间</w:t>
      </w:r>
    </w:p>
    <w:p>
      <w:pPr>
        <w:spacing w:line="360" w:lineRule="auto"/>
        <w:ind w:firstLine="480" w:firstLineChars="200"/>
        <w:rPr>
          <w:sz w:val="24"/>
          <w:szCs w:val="24"/>
        </w:rPr>
      </w:pPr>
      <w:r>
        <w:rPr>
          <w:rFonts w:hint="eastAsia"/>
          <w:sz w:val="24"/>
          <w:szCs w:val="24"/>
        </w:rPr>
        <w:t>使用LoadRunner的“目标驱动”来设置Controller运行场景，目标设置为预期服务器的最大资源消耗，包括CPU、内存、磁盘读写等，由LoadRunner自动匹配资源消耗达到预期最大值时的响应时间。</w:t>
      </w:r>
    </w:p>
    <w:p>
      <w:pPr>
        <w:spacing w:line="360" w:lineRule="auto"/>
        <w:ind w:firstLine="480" w:firstLineChars="200"/>
        <w:rPr>
          <w:sz w:val="24"/>
          <w:szCs w:val="24"/>
        </w:rPr>
      </w:pPr>
      <w:r>
        <w:rPr>
          <w:rFonts w:hint="eastAsia"/>
          <w:sz w:val="24"/>
          <w:szCs w:val="24"/>
        </w:rPr>
        <w:t>三、测试系统并发量达到预期上限时的响应时间</w:t>
      </w:r>
    </w:p>
    <w:p>
      <w:pPr>
        <w:spacing w:line="360" w:lineRule="auto"/>
        <w:ind w:firstLine="480" w:firstLineChars="200"/>
        <w:rPr>
          <w:sz w:val="24"/>
          <w:szCs w:val="24"/>
        </w:rPr>
      </w:pPr>
      <w:r>
        <w:rPr>
          <w:rFonts w:hint="eastAsia"/>
          <w:sz w:val="24"/>
          <w:szCs w:val="24"/>
        </w:rPr>
        <w:t>用手动方式设置LoadRunner Controller运行场景，并发用户数为预期的最大并发量，场景的运行时间设定为30分钟，收集并发量达到设置上限时的响应时间和系统资源消耗。</w:t>
      </w:r>
    </w:p>
    <w:p>
      <w:pPr>
        <w:pStyle w:val="6"/>
        <w:numPr>
          <w:ilvl w:val="4"/>
          <w:numId w:val="3"/>
        </w:numPr>
        <w:spacing w:before="0" w:after="0" w:line="360" w:lineRule="auto"/>
        <w:ind w:left="0" w:leftChars="0" w:firstLine="402" w:firstLineChars="0"/>
      </w:pPr>
      <w:bookmarkStart w:id="490" w:name="_Toc27814"/>
      <w:r>
        <w:rPr>
          <w:rFonts w:hint="eastAsia"/>
        </w:rPr>
        <w:t>完成准则</w:t>
      </w:r>
      <w:bookmarkEnd w:id="490"/>
    </w:p>
    <w:p>
      <w:pPr>
        <w:spacing w:line="360" w:lineRule="auto"/>
        <w:ind w:firstLine="480" w:firstLineChars="200"/>
        <w:rPr>
          <w:sz w:val="24"/>
          <w:szCs w:val="24"/>
        </w:rPr>
      </w:pPr>
      <w:r>
        <w:rPr>
          <w:rFonts w:hint="eastAsia"/>
          <w:sz w:val="24"/>
          <w:szCs w:val="24"/>
        </w:rPr>
        <w:t>功能测试由本项目测试单位主导设计执行。在以下标志达成的条件下可以认为测试达到完成准则：</w:t>
      </w:r>
    </w:p>
    <w:p>
      <w:pPr>
        <w:spacing w:line="360" w:lineRule="auto"/>
        <w:ind w:firstLine="480" w:firstLineChars="200"/>
        <w:rPr>
          <w:sz w:val="24"/>
          <w:szCs w:val="24"/>
        </w:rPr>
      </w:pPr>
      <w:r>
        <w:rPr>
          <w:rFonts w:hint="eastAsia"/>
          <w:sz w:val="24"/>
          <w:szCs w:val="24"/>
        </w:rPr>
        <w:t>一、功能测试用例对需求的覆盖率达到100%，测试执行率达到100%。</w:t>
      </w:r>
    </w:p>
    <w:p>
      <w:pPr>
        <w:spacing w:line="360" w:lineRule="auto"/>
        <w:ind w:firstLine="480" w:firstLineChars="200"/>
        <w:rPr>
          <w:sz w:val="24"/>
          <w:szCs w:val="24"/>
        </w:rPr>
      </w:pPr>
      <w:r>
        <w:rPr>
          <w:rFonts w:hint="eastAsia"/>
          <w:sz w:val="24"/>
          <w:szCs w:val="24"/>
        </w:rPr>
        <w:t>二、成功执行测试计划中规定的所有功能测试。</w:t>
      </w:r>
    </w:p>
    <w:p>
      <w:pPr>
        <w:spacing w:line="360" w:lineRule="auto"/>
        <w:ind w:firstLine="480" w:firstLineChars="200"/>
        <w:rPr>
          <w:sz w:val="24"/>
          <w:szCs w:val="24"/>
        </w:rPr>
      </w:pPr>
      <w:r>
        <w:rPr>
          <w:rFonts w:hint="eastAsia"/>
          <w:sz w:val="24"/>
          <w:szCs w:val="24"/>
        </w:rPr>
        <w:t>三、所发现的缺陷已全部修正。</w:t>
      </w:r>
    </w:p>
    <w:p>
      <w:pPr>
        <w:spacing w:line="360" w:lineRule="auto"/>
        <w:ind w:firstLine="480" w:firstLineChars="200"/>
        <w:rPr>
          <w:sz w:val="24"/>
          <w:szCs w:val="24"/>
        </w:rPr>
      </w:pPr>
      <w:r>
        <w:rPr>
          <w:rFonts w:hint="eastAsia"/>
          <w:sz w:val="24"/>
          <w:szCs w:val="24"/>
        </w:rPr>
        <w:t>四、测试结果通过专门评审。</w:t>
      </w:r>
    </w:p>
    <w:p>
      <w:pPr>
        <w:pStyle w:val="6"/>
        <w:numPr>
          <w:ilvl w:val="4"/>
          <w:numId w:val="3"/>
        </w:numPr>
        <w:spacing w:before="0" w:after="0" w:line="360" w:lineRule="auto"/>
        <w:ind w:left="0" w:leftChars="0" w:firstLine="402" w:firstLineChars="0"/>
      </w:pPr>
      <w:bookmarkStart w:id="491" w:name="_Toc2203"/>
      <w:r>
        <w:rPr>
          <w:rFonts w:hint="eastAsia"/>
        </w:rPr>
        <w:t>测试提交物</w:t>
      </w:r>
      <w:bookmarkEnd w:id="491"/>
    </w:p>
    <w:p>
      <w:pPr>
        <w:spacing w:line="360" w:lineRule="auto"/>
        <w:ind w:firstLine="480" w:firstLineChars="200"/>
        <w:rPr>
          <w:sz w:val="24"/>
          <w:szCs w:val="24"/>
        </w:rPr>
      </w:pPr>
      <w:r>
        <w:rPr>
          <w:rFonts w:hint="eastAsia"/>
          <w:sz w:val="24"/>
          <w:szCs w:val="24"/>
        </w:rPr>
        <w:t>功能测试结束后，形成《功能测试计划》、《功能测试用例》、《功能测试报告》、《缺陷处理记录》及相关文档、会议纪要等，以专题报告形式提交招标方及开发单位测试配置库。</w:t>
      </w:r>
    </w:p>
    <w:p>
      <w:pPr>
        <w:pStyle w:val="3"/>
        <w:numPr>
          <w:ilvl w:val="1"/>
          <w:numId w:val="3"/>
        </w:numPr>
        <w:spacing w:before="0" w:after="0" w:line="360" w:lineRule="auto"/>
        <w:ind w:left="0" w:leftChars="0" w:firstLine="402" w:firstLineChars="0"/>
      </w:pPr>
      <w:bookmarkStart w:id="492" w:name="_Toc7417"/>
      <w:r>
        <w:rPr>
          <w:rFonts w:hint="eastAsia"/>
        </w:rPr>
        <w:t>系统验收</w:t>
      </w:r>
      <w:bookmarkEnd w:id="492"/>
    </w:p>
    <w:p>
      <w:pPr>
        <w:spacing w:line="360" w:lineRule="auto"/>
        <w:ind w:firstLine="480" w:firstLineChars="200"/>
        <w:rPr>
          <w:sz w:val="24"/>
          <w:szCs w:val="24"/>
        </w:rPr>
      </w:pPr>
      <w:r>
        <w:rPr>
          <w:rFonts w:hint="eastAsia"/>
          <w:sz w:val="24"/>
          <w:szCs w:val="24"/>
        </w:rPr>
        <w:t>验收是指按照一定标准进行检验并收取项目成果的一系列活动。对于信息化建设项目的客户验收来说需要根据合同的约定及项目实施所需遵循的规范标准等相关约束来执行检验工作，检验结果满足要求则可以视为通过验收。</w:t>
      </w:r>
    </w:p>
    <w:p>
      <w:pPr>
        <w:spacing w:line="360" w:lineRule="auto"/>
        <w:ind w:firstLine="480" w:firstLineChars="200"/>
      </w:pPr>
      <w:r>
        <w:rPr>
          <w:rFonts w:hint="eastAsia"/>
          <w:sz w:val="24"/>
          <w:szCs w:val="24"/>
        </w:rPr>
        <w:t>验收工作由业主方组织实施，中标方应完成项目验收的相关验收场景和资料的准备，包括但不限于：场景模拟、项目演示、相关说明等。</w:t>
      </w:r>
    </w:p>
    <w:p>
      <w:pPr>
        <w:pStyle w:val="4"/>
        <w:numPr>
          <w:ilvl w:val="2"/>
          <w:numId w:val="3"/>
        </w:numPr>
        <w:spacing w:before="0" w:after="0" w:line="360" w:lineRule="auto"/>
        <w:ind w:left="0" w:leftChars="0" w:firstLine="402" w:firstLineChars="0"/>
      </w:pPr>
      <w:bookmarkStart w:id="493" w:name="_Toc17306"/>
      <w:r>
        <w:rPr>
          <w:rFonts w:hint="eastAsia"/>
        </w:rPr>
        <w:t>验收目的</w:t>
      </w:r>
      <w:bookmarkEnd w:id="493"/>
    </w:p>
    <w:p>
      <w:pPr>
        <w:spacing w:line="360" w:lineRule="auto"/>
        <w:ind w:firstLine="480" w:firstLineChars="200"/>
      </w:pPr>
      <w:r>
        <w:rPr>
          <w:rFonts w:hint="eastAsia"/>
          <w:sz w:val="24"/>
          <w:szCs w:val="24"/>
        </w:rPr>
        <w:t>项目验收的目的是保证项目质量，使系统在计划的进度内上线试运行和投入使用。按照本项目建设要求，采取分阶段验收的方法，执行初验、试运行验收和终验三项验收工作。验收过程工作主要包括组织、项目验收相关验收场景和资料的准备，安排项目验收会议，提交验收文档，进行场景模拟、项目演示、相关说明等工作，由招标方项目领导小组及外聘专家组进行评审。</w:t>
      </w:r>
    </w:p>
    <w:p>
      <w:pPr>
        <w:pStyle w:val="4"/>
        <w:numPr>
          <w:ilvl w:val="2"/>
          <w:numId w:val="3"/>
        </w:numPr>
        <w:spacing w:before="0" w:after="0" w:line="360" w:lineRule="auto"/>
        <w:ind w:left="0" w:leftChars="0" w:firstLine="402" w:firstLineChars="0"/>
      </w:pPr>
      <w:bookmarkStart w:id="494" w:name="_Toc3894"/>
      <w:r>
        <w:rPr>
          <w:rFonts w:hint="eastAsia"/>
        </w:rPr>
        <w:t>验收原则</w:t>
      </w:r>
      <w:bookmarkEnd w:id="494"/>
    </w:p>
    <w:p>
      <w:pPr>
        <w:spacing w:line="360" w:lineRule="auto"/>
        <w:ind w:firstLine="480" w:firstLineChars="200"/>
        <w:rPr>
          <w:sz w:val="24"/>
          <w:szCs w:val="24"/>
        </w:rPr>
      </w:pPr>
      <w:r>
        <w:rPr>
          <w:rFonts w:hint="eastAsia"/>
          <w:sz w:val="24"/>
          <w:szCs w:val="24"/>
        </w:rPr>
        <w:t>完整一致性，最终验收要求与项目前期和用户确认的《需求规格说明书》及本项目《招标文件》相一致，业务功能实现跟要求相比没有遗漏；</w:t>
      </w:r>
    </w:p>
    <w:p>
      <w:pPr>
        <w:spacing w:line="360" w:lineRule="auto"/>
        <w:ind w:firstLine="480" w:firstLineChars="200"/>
        <w:rPr>
          <w:sz w:val="24"/>
          <w:szCs w:val="24"/>
        </w:rPr>
      </w:pPr>
      <w:r>
        <w:rPr>
          <w:rFonts w:hint="eastAsia"/>
          <w:sz w:val="24"/>
          <w:szCs w:val="24"/>
        </w:rPr>
        <w:t>正确性，系统实现的功能是在理解正确的基础上实现了客户的要求。软件系统的功能正确、稳定；</w:t>
      </w:r>
    </w:p>
    <w:p>
      <w:pPr>
        <w:spacing w:line="360" w:lineRule="auto"/>
        <w:ind w:firstLine="480" w:firstLineChars="200"/>
        <w:rPr>
          <w:sz w:val="24"/>
          <w:szCs w:val="24"/>
        </w:rPr>
      </w:pPr>
      <w:r>
        <w:rPr>
          <w:rFonts w:hint="eastAsia"/>
          <w:sz w:val="24"/>
          <w:szCs w:val="24"/>
        </w:rPr>
        <w:t>可操作性，验收要求及测试手段在现有人力、工具和技术条件下能够实现，从资源、时间、成本来看是可操作的；</w:t>
      </w:r>
    </w:p>
    <w:p>
      <w:pPr>
        <w:spacing w:line="360" w:lineRule="auto"/>
        <w:ind w:firstLine="480" w:firstLineChars="200"/>
        <w:rPr>
          <w:sz w:val="24"/>
          <w:szCs w:val="24"/>
        </w:rPr>
      </w:pPr>
      <w:r>
        <w:rPr>
          <w:rFonts w:hint="eastAsia"/>
          <w:sz w:val="24"/>
          <w:szCs w:val="24"/>
        </w:rPr>
        <w:t>验收方案在生产环境或者接近生产环境下，系统的实际运行情况能够在验收和测试环节中充分体现（比如：软硬件环境、业务环境、数据环境、周期业务环境、实际用户和权限环境等）。</w:t>
      </w:r>
    </w:p>
    <w:p>
      <w:pPr>
        <w:spacing w:line="360" w:lineRule="auto"/>
        <w:ind w:firstLine="480" w:firstLineChars="200"/>
      </w:pPr>
      <w:r>
        <w:rPr>
          <w:rFonts w:hint="eastAsia"/>
          <w:sz w:val="24"/>
          <w:szCs w:val="24"/>
        </w:rPr>
        <w:t>中标方按照要求提交全部文档，通过验收，视为验收工作完成。</w:t>
      </w:r>
    </w:p>
    <w:p>
      <w:pPr>
        <w:pStyle w:val="4"/>
        <w:numPr>
          <w:ilvl w:val="2"/>
          <w:numId w:val="3"/>
        </w:numPr>
        <w:spacing w:before="0" w:after="0" w:line="360" w:lineRule="auto"/>
        <w:ind w:left="0" w:leftChars="0" w:firstLine="402" w:firstLineChars="0"/>
      </w:pPr>
      <w:bookmarkStart w:id="495" w:name="_Toc28116"/>
      <w:r>
        <w:rPr>
          <w:rFonts w:hint="eastAsia"/>
        </w:rPr>
        <w:t>验收组织</w:t>
      </w:r>
      <w:bookmarkEnd w:id="495"/>
    </w:p>
    <w:p>
      <w:pPr>
        <w:spacing w:line="360" w:lineRule="auto"/>
        <w:ind w:firstLine="480" w:firstLineChars="200"/>
        <w:rPr>
          <w:sz w:val="24"/>
          <w:szCs w:val="24"/>
        </w:rPr>
      </w:pPr>
      <w:r>
        <w:rPr>
          <w:rFonts w:hint="eastAsia"/>
          <w:sz w:val="24"/>
          <w:szCs w:val="24"/>
        </w:rPr>
        <w:t>验收涉及单位包括：业主方、中标方、监理单位、以及其他相关人员。各方在验收中的主要责任如下：</w:t>
      </w:r>
    </w:p>
    <w:p>
      <w:pPr>
        <w:spacing w:line="360" w:lineRule="auto"/>
        <w:ind w:firstLine="480" w:firstLineChars="200"/>
        <w:rPr>
          <w:sz w:val="24"/>
          <w:szCs w:val="24"/>
        </w:rPr>
      </w:pPr>
      <w:r>
        <w:rPr>
          <w:rFonts w:hint="eastAsia"/>
          <w:sz w:val="24"/>
          <w:szCs w:val="24"/>
        </w:rPr>
        <w:t>业主方：审核批准验收申请和验收方案，检验项目提交成果是否符合合同和验收方案的要求，组织验收会议，批准验收报告；</w:t>
      </w:r>
    </w:p>
    <w:p>
      <w:pPr>
        <w:spacing w:line="360" w:lineRule="auto"/>
        <w:ind w:firstLine="480" w:firstLineChars="200"/>
        <w:rPr>
          <w:sz w:val="24"/>
          <w:szCs w:val="24"/>
        </w:rPr>
      </w:pPr>
      <w:r>
        <w:rPr>
          <w:rFonts w:hint="eastAsia"/>
          <w:sz w:val="24"/>
          <w:szCs w:val="24"/>
        </w:rPr>
        <w:t>监理方：审核、监督验收是否符合合同和验收方案的要求；</w:t>
      </w:r>
    </w:p>
    <w:p>
      <w:pPr>
        <w:spacing w:line="360" w:lineRule="auto"/>
        <w:ind w:firstLine="480" w:firstLineChars="200"/>
      </w:pPr>
      <w:r>
        <w:rPr>
          <w:rFonts w:hint="eastAsia"/>
          <w:sz w:val="24"/>
          <w:szCs w:val="24"/>
        </w:rPr>
        <w:t>中标方：操作、演示并讲述验收内容。</w:t>
      </w:r>
    </w:p>
    <w:p>
      <w:pPr>
        <w:pStyle w:val="4"/>
        <w:numPr>
          <w:ilvl w:val="2"/>
          <w:numId w:val="3"/>
        </w:numPr>
        <w:spacing w:before="0" w:after="0" w:line="360" w:lineRule="auto"/>
        <w:ind w:left="0" w:leftChars="0" w:firstLine="402" w:firstLineChars="0"/>
      </w:pPr>
      <w:bookmarkStart w:id="496" w:name="_Toc19925"/>
      <w:r>
        <w:rPr>
          <w:rFonts w:hint="eastAsia"/>
        </w:rPr>
        <w:t>验收方式</w:t>
      </w:r>
      <w:bookmarkEnd w:id="496"/>
    </w:p>
    <w:p>
      <w:pPr>
        <w:pStyle w:val="5"/>
        <w:numPr>
          <w:ilvl w:val="3"/>
          <w:numId w:val="3"/>
        </w:numPr>
        <w:spacing w:before="0" w:after="0" w:line="360" w:lineRule="auto"/>
        <w:ind w:left="0" w:leftChars="0" w:firstLine="402" w:firstLineChars="0"/>
      </w:pPr>
      <w:bookmarkStart w:id="497" w:name="_Toc14776"/>
      <w:r>
        <w:rPr>
          <w:rFonts w:hint="eastAsia"/>
        </w:rPr>
        <w:t>分阶段开展验收</w:t>
      </w:r>
      <w:bookmarkEnd w:id="497"/>
    </w:p>
    <w:p>
      <w:pPr>
        <w:spacing w:line="360" w:lineRule="auto"/>
        <w:ind w:firstLine="480" w:firstLineChars="200"/>
        <w:rPr>
          <w:sz w:val="24"/>
          <w:szCs w:val="24"/>
        </w:rPr>
      </w:pPr>
      <w:r>
        <w:rPr>
          <w:rFonts w:hint="eastAsia"/>
          <w:sz w:val="24"/>
          <w:szCs w:val="24"/>
        </w:rPr>
        <w:t>为保障工程进度和质量，本项目验收工作分三个阶段开展：初验、试运行验收、终验。</w:t>
      </w:r>
    </w:p>
    <w:p>
      <w:pPr>
        <w:spacing w:line="360" w:lineRule="auto"/>
        <w:ind w:firstLine="480" w:firstLineChars="200"/>
        <w:rPr>
          <w:sz w:val="24"/>
          <w:szCs w:val="24"/>
        </w:rPr>
      </w:pPr>
      <w:r>
        <w:rPr>
          <w:rFonts w:hint="eastAsia"/>
          <w:sz w:val="24"/>
          <w:szCs w:val="24"/>
        </w:rPr>
        <w:t>初验是在系统通过招标方测试之后，投入试运行前，验收内容包括软件系统验收、文档验收等。</w:t>
      </w:r>
    </w:p>
    <w:p>
      <w:pPr>
        <w:spacing w:line="360" w:lineRule="auto"/>
        <w:ind w:firstLine="480" w:firstLineChars="200"/>
        <w:rPr>
          <w:sz w:val="24"/>
          <w:szCs w:val="24"/>
        </w:rPr>
      </w:pPr>
      <w:r>
        <w:rPr>
          <w:rFonts w:hint="eastAsia"/>
          <w:sz w:val="24"/>
          <w:szCs w:val="24"/>
        </w:rPr>
        <w:t>试运行验收是在系统通过试运行之后，推广应用前，验收内容包括软件系统验收、文档验收、外围系统整合情况验收等。</w:t>
      </w:r>
    </w:p>
    <w:p>
      <w:pPr>
        <w:spacing w:line="360" w:lineRule="auto"/>
        <w:ind w:firstLine="480" w:firstLineChars="200"/>
      </w:pPr>
      <w:r>
        <w:rPr>
          <w:rFonts w:hint="eastAsia"/>
          <w:sz w:val="24"/>
          <w:szCs w:val="24"/>
        </w:rPr>
        <w:t>终验是在系统推广应用并稳定运行至少6个月之后进行，内容包括软件系统验收、文档验收、推广与系统整合情况验收等。</w:t>
      </w:r>
    </w:p>
    <w:p>
      <w:pPr>
        <w:pStyle w:val="5"/>
        <w:numPr>
          <w:ilvl w:val="3"/>
          <w:numId w:val="3"/>
        </w:numPr>
        <w:spacing w:before="0" w:after="0" w:line="360" w:lineRule="auto"/>
        <w:ind w:left="0" w:leftChars="0" w:firstLine="402" w:firstLineChars="0"/>
      </w:pPr>
      <w:bookmarkStart w:id="498" w:name="_Toc5136"/>
      <w:r>
        <w:rPr>
          <w:rFonts w:hint="eastAsia"/>
        </w:rPr>
        <w:t>软件系统验收</w:t>
      </w:r>
      <w:bookmarkEnd w:id="498"/>
    </w:p>
    <w:p>
      <w:pPr>
        <w:spacing w:line="360" w:lineRule="auto"/>
        <w:ind w:firstLine="480" w:firstLineChars="200"/>
        <w:rPr>
          <w:sz w:val="24"/>
          <w:szCs w:val="24"/>
        </w:rPr>
      </w:pPr>
      <w:r>
        <w:rPr>
          <w:rFonts w:hint="eastAsia"/>
          <w:sz w:val="24"/>
          <w:szCs w:val="24"/>
        </w:rPr>
        <w:t>软件主要根据双方签署的《软件需求规格说明书》要求和合同要求，根据《验收测试大纲》和《验收测试计划》，通过测试用例检查已经实现的软件功能有无缺漏、功能是否正常、是否满足《软件需求规格说明书》中的定义和要求。</w:t>
      </w:r>
    </w:p>
    <w:p>
      <w:pPr>
        <w:spacing w:line="360" w:lineRule="auto"/>
        <w:ind w:firstLine="480" w:firstLineChars="200"/>
        <w:rPr>
          <w:sz w:val="24"/>
          <w:szCs w:val="24"/>
        </w:rPr>
      </w:pPr>
      <w:r>
        <w:rPr>
          <w:rFonts w:hint="eastAsia"/>
          <w:sz w:val="24"/>
          <w:szCs w:val="24"/>
        </w:rPr>
        <w:t>软件系统验收将根据验收标准考察并记录软件系统是否通过了规定的单元测试、集成测试、系统测试、验收测试和必要的第三方测试。</w:t>
      </w:r>
    </w:p>
    <w:p>
      <w:pPr>
        <w:spacing w:line="360" w:lineRule="auto"/>
        <w:ind w:firstLine="480" w:firstLineChars="200"/>
      </w:pPr>
      <w:r>
        <w:rPr>
          <w:rFonts w:hint="eastAsia"/>
          <w:sz w:val="24"/>
          <w:szCs w:val="24"/>
        </w:rPr>
        <w:t>软件系统验收标准包括功能验收标准、性能验收标准、原程序验收标准等。本项目需要重点考虑软件性能是否符合《软件需求规格说明书》中定义的非功能性需求的要求，性能测试分析报告中的测试结果是否跟实际情况一致。</w:t>
      </w:r>
    </w:p>
    <w:p>
      <w:pPr>
        <w:pStyle w:val="5"/>
        <w:numPr>
          <w:ilvl w:val="3"/>
          <w:numId w:val="3"/>
        </w:numPr>
        <w:spacing w:before="0" w:after="0" w:line="360" w:lineRule="auto"/>
        <w:ind w:left="0" w:leftChars="0" w:firstLine="402" w:firstLineChars="0"/>
      </w:pPr>
      <w:bookmarkStart w:id="499" w:name="_Toc9713"/>
      <w:r>
        <w:rPr>
          <w:rFonts w:hint="eastAsia"/>
        </w:rPr>
        <w:t>文档验收</w:t>
      </w:r>
      <w:bookmarkEnd w:id="499"/>
    </w:p>
    <w:p>
      <w:pPr>
        <w:spacing w:line="360" w:lineRule="auto"/>
        <w:ind w:firstLine="480" w:firstLineChars="200"/>
        <w:rPr>
          <w:sz w:val="24"/>
          <w:szCs w:val="24"/>
        </w:rPr>
      </w:pPr>
      <w:r>
        <w:rPr>
          <w:rFonts w:hint="eastAsia"/>
          <w:sz w:val="24"/>
          <w:szCs w:val="24"/>
          <w:lang w:val="zh-CN" w:eastAsia="zh-CN"/>
        </w:rPr>
        <w:t>文</w:t>
      </w:r>
      <w:r>
        <w:rPr>
          <w:rFonts w:hint="eastAsia"/>
          <w:sz w:val="24"/>
          <w:szCs w:val="24"/>
        </w:rPr>
        <w:t>档验收主要依据《项目管理标准规范》，结合合同及项目实施方案中的规定，对项目中需要提交给客户的所有文档资料和为本期工程开发的软件源代码及注释进行验收。包括工作内容、文档清点、文档版本核实、内容审核等。</w:t>
      </w:r>
    </w:p>
    <w:p>
      <w:pPr>
        <w:spacing w:line="360" w:lineRule="auto"/>
        <w:ind w:firstLine="480" w:firstLineChars="200"/>
      </w:pPr>
      <w:r>
        <w:rPr>
          <w:rFonts w:hint="eastAsia"/>
          <w:sz w:val="24"/>
          <w:szCs w:val="24"/>
        </w:rPr>
        <w:t>按本项目要求，提交文档各项纸质及电子资料均不少于10份。验收交付物清单请参见各验收阶段提交物。</w:t>
      </w:r>
    </w:p>
    <w:p>
      <w:pPr>
        <w:pStyle w:val="5"/>
        <w:numPr>
          <w:ilvl w:val="3"/>
          <w:numId w:val="3"/>
        </w:numPr>
        <w:spacing w:before="0" w:after="0" w:line="360" w:lineRule="auto"/>
        <w:ind w:left="0" w:leftChars="0" w:firstLine="402" w:firstLineChars="0"/>
      </w:pPr>
      <w:bookmarkStart w:id="500" w:name="_Toc23743"/>
      <w:r>
        <w:rPr>
          <w:rFonts w:hint="eastAsia"/>
        </w:rPr>
        <w:t>其他实施情况验收</w:t>
      </w:r>
      <w:bookmarkEnd w:id="500"/>
    </w:p>
    <w:p>
      <w:pPr>
        <w:spacing w:line="360" w:lineRule="auto"/>
        <w:ind w:firstLine="480" w:firstLineChars="200"/>
        <w:rPr>
          <w:sz w:val="24"/>
          <w:szCs w:val="24"/>
        </w:rPr>
      </w:pPr>
      <w:r>
        <w:rPr>
          <w:rFonts w:hint="eastAsia"/>
          <w:sz w:val="24"/>
          <w:szCs w:val="24"/>
        </w:rPr>
        <w:t>本项目建设除了</w:t>
      </w:r>
      <w:r>
        <w:rPr>
          <w:rFonts w:hint="eastAsia"/>
          <w:sz w:val="24"/>
          <w:szCs w:val="24"/>
          <w:lang w:eastAsia="zh-CN"/>
        </w:rPr>
        <w:t>xx交通</w:t>
      </w:r>
      <w:r>
        <w:rPr>
          <w:rFonts w:hint="eastAsia"/>
          <w:sz w:val="24"/>
          <w:szCs w:val="24"/>
        </w:rPr>
        <w:t>增值税发票管理系统的开发建设外，还包括对金税三期其他应用系统接口标准建设、原有系统数据迁移、标准规范建设等内容，在项目实施过程中对这些实施要点也将进行评审，结果作为验收依据。验收内容及方式主要包括：</w:t>
      </w:r>
    </w:p>
    <w:p>
      <w:pPr>
        <w:spacing w:line="360" w:lineRule="auto"/>
        <w:ind w:firstLine="480" w:firstLineChars="200"/>
        <w:rPr>
          <w:sz w:val="24"/>
          <w:szCs w:val="24"/>
        </w:rPr>
      </w:pPr>
      <w:r>
        <w:rPr>
          <w:rFonts w:hint="eastAsia"/>
          <w:sz w:val="24"/>
          <w:szCs w:val="24"/>
        </w:rPr>
        <w:t>一、与其他应用系统接口标准建设</w:t>
      </w:r>
    </w:p>
    <w:p>
      <w:pPr>
        <w:spacing w:line="360" w:lineRule="auto"/>
        <w:ind w:firstLine="480" w:firstLineChars="200"/>
        <w:rPr>
          <w:sz w:val="24"/>
          <w:szCs w:val="24"/>
        </w:rPr>
      </w:pPr>
      <w:r>
        <w:rPr>
          <w:rFonts w:hint="eastAsia"/>
          <w:sz w:val="24"/>
          <w:szCs w:val="24"/>
        </w:rPr>
        <w:t>与其他应用系统接口标准建设的验收内容是验证中标方是否完成了接口标准的开发部署工作，是否实现了</w:t>
      </w:r>
      <w:r>
        <w:rPr>
          <w:rFonts w:hint="eastAsia"/>
          <w:sz w:val="24"/>
          <w:szCs w:val="24"/>
          <w:lang w:eastAsia="zh-CN"/>
        </w:rPr>
        <w:t>接口系统</w:t>
      </w:r>
      <w:r>
        <w:rPr>
          <w:rFonts w:hint="eastAsia"/>
          <w:sz w:val="24"/>
          <w:szCs w:val="24"/>
        </w:rPr>
        <w:t>、</w:t>
      </w:r>
      <w:r>
        <w:rPr>
          <w:rFonts w:hint="eastAsia"/>
          <w:sz w:val="24"/>
          <w:szCs w:val="24"/>
          <w:lang w:eastAsia="zh-CN"/>
        </w:rPr>
        <w:t>发票管理系统</w:t>
      </w:r>
      <w:r>
        <w:rPr>
          <w:rFonts w:hint="eastAsia"/>
          <w:sz w:val="24"/>
          <w:szCs w:val="24"/>
        </w:rPr>
        <w:t>、</w:t>
      </w:r>
      <w:r>
        <w:rPr>
          <w:rFonts w:hint="eastAsia"/>
          <w:sz w:val="24"/>
          <w:szCs w:val="24"/>
          <w:lang w:eastAsia="zh-CN"/>
        </w:rPr>
        <w:t>xx交通</w:t>
      </w:r>
      <w:r>
        <w:rPr>
          <w:rFonts w:hint="eastAsia"/>
          <w:sz w:val="24"/>
          <w:szCs w:val="24"/>
        </w:rPr>
        <w:t>增值税发票管理签章服务平台、集团</w:t>
      </w:r>
      <w:r>
        <w:rPr>
          <w:rFonts w:hint="eastAsia"/>
          <w:sz w:val="24"/>
          <w:szCs w:val="24"/>
          <w:lang w:eastAsia="zh-CN"/>
        </w:rPr>
        <w:t>xx交通</w:t>
      </w:r>
      <w:r>
        <w:rPr>
          <w:rFonts w:hint="eastAsia"/>
          <w:sz w:val="24"/>
          <w:szCs w:val="24"/>
        </w:rPr>
        <w:t>增值税发票管理查询下载平台，各系统能够有效的互联互通；此外还要验证相关的文档是否规范、齐全，包括软硬件配置手册、参数设置手册、接口规范等内容。</w:t>
      </w:r>
    </w:p>
    <w:p>
      <w:pPr>
        <w:spacing w:line="360" w:lineRule="auto"/>
        <w:ind w:firstLine="480" w:firstLineChars="200"/>
        <w:rPr>
          <w:sz w:val="24"/>
          <w:szCs w:val="24"/>
        </w:rPr>
      </w:pPr>
      <w:r>
        <w:rPr>
          <w:rFonts w:hint="eastAsia"/>
          <w:sz w:val="24"/>
          <w:szCs w:val="24"/>
        </w:rPr>
        <w:t>二、标准规范建设</w:t>
      </w:r>
    </w:p>
    <w:p>
      <w:pPr>
        <w:spacing w:line="360" w:lineRule="auto"/>
        <w:ind w:firstLine="480" w:firstLineChars="200"/>
        <w:rPr>
          <w:sz w:val="24"/>
          <w:szCs w:val="24"/>
        </w:rPr>
      </w:pPr>
      <w:r>
        <w:rPr>
          <w:rFonts w:hint="eastAsia"/>
          <w:sz w:val="24"/>
          <w:szCs w:val="24"/>
        </w:rPr>
        <w:t>包括管理规范、技术规范、数据规范等建设内容，这部分建设成果在整个项目实施过程中使用，验收时主要是验证文档内容的完整性、规范性以及在项目中的贯彻实施情况。</w:t>
      </w:r>
    </w:p>
    <w:p>
      <w:pPr>
        <w:spacing w:line="360" w:lineRule="auto"/>
        <w:ind w:firstLine="480" w:firstLineChars="200"/>
        <w:rPr>
          <w:sz w:val="24"/>
          <w:szCs w:val="24"/>
        </w:rPr>
      </w:pPr>
      <w:r>
        <w:rPr>
          <w:rFonts w:hint="eastAsia"/>
          <w:sz w:val="24"/>
          <w:szCs w:val="24"/>
        </w:rPr>
        <w:t>三、系统推广及数据迁移</w:t>
      </w:r>
    </w:p>
    <w:p>
      <w:pPr>
        <w:spacing w:line="360" w:lineRule="auto"/>
        <w:ind w:firstLine="480" w:firstLineChars="200"/>
        <w:rPr>
          <w:sz w:val="24"/>
          <w:szCs w:val="24"/>
        </w:rPr>
      </w:pPr>
      <w:r>
        <w:rPr>
          <w:rFonts w:hint="eastAsia"/>
          <w:sz w:val="24"/>
          <w:szCs w:val="24"/>
        </w:rPr>
        <w:t>系统推广的验收应考察系统上线运行情况，推广单位出具系统使用情况说明，运维服务部门确认系统运行使用情况。</w:t>
      </w:r>
    </w:p>
    <w:p>
      <w:pPr>
        <w:spacing w:line="360" w:lineRule="auto"/>
        <w:ind w:firstLine="480" w:firstLineChars="200"/>
        <w:rPr>
          <w:sz w:val="24"/>
          <w:szCs w:val="24"/>
        </w:rPr>
      </w:pPr>
      <w:r>
        <w:rPr>
          <w:rFonts w:hint="eastAsia"/>
          <w:sz w:val="24"/>
          <w:szCs w:val="24"/>
        </w:rPr>
        <w:t>数据迁移的验收内容是验证所有本项目试点单位的相关数据是否完整、准确的完成了迁移工作，对整个软件的开发实施和系统运行是否未产生不良影响。</w:t>
      </w:r>
    </w:p>
    <w:p>
      <w:pPr>
        <w:spacing w:line="360" w:lineRule="auto"/>
        <w:ind w:firstLine="420" w:firstLineChars="200"/>
        <w:rPr>
          <w:lang w:val="zh-CN"/>
        </w:rPr>
      </w:pPr>
    </w:p>
    <w:p>
      <w:pPr>
        <w:pStyle w:val="4"/>
        <w:numPr>
          <w:ilvl w:val="2"/>
          <w:numId w:val="3"/>
        </w:numPr>
        <w:spacing w:before="0" w:after="0" w:line="360" w:lineRule="auto"/>
        <w:ind w:left="0" w:leftChars="0" w:firstLine="402" w:firstLineChars="0"/>
      </w:pPr>
      <w:bookmarkStart w:id="501" w:name="_Toc17776"/>
      <w:r>
        <w:rPr>
          <w:rFonts w:hint="eastAsia"/>
        </w:rPr>
        <w:t>问题级别定义</w:t>
      </w:r>
      <w:bookmarkEnd w:id="501"/>
    </w:p>
    <w:tbl>
      <w:tblPr>
        <w:tblStyle w:val="34"/>
        <w:tblW w:w="8435" w:type="dxa"/>
        <w:jc w:val="center"/>
        <w:tblInd w:w="0" w:type="dxa"/>
        <w:tblLayout w:type="fixed"/>
        <w:tblCellMar>
          <w:top w:w="0" w:type="dxa"/>
          <w:left w:w="108" w:type="dxa"/>
          <w:bottom w:w="0" w:type="dxa"/>
          <w:right w:w="108" w:type="dxa"/>
        </w:tblCellMar>
      </w:tblPr>
      <w:tblGrid>
        <w:gridCol w:w="1289"/>
        <w:gridCol w:w="1360"/>
        <w:gridCol w:w="5786"/>
      </w:tblGrid>
      <w:tr>
        <w:tblPrEx>
          <w:tblLayout w:type="fixed"/>
          <w:tblCellMar>
            <w:top w:w="0" w:type="dxa"/>
            <w:left w:w="108" w:type="dxa"/>
            <w:bottom w:w="0" w:type="dxa"/>
            <w:right w:w="108" w:type="dxa"/>
          </w:tblCellMar>
        </w:tblPrEx>
        <w:trPr>
          <w:trHeight w:val="270" w:hRule="atLeast"/>
          <w:tblHeader/>
          <w:jc w:val="center"/>
        </w:trPr>
        <w:tc>
          <w:tcPr>
            <w:tcW w:w="1289" w:type="dxa"/>
            <w:tcBorders>
              <w:top w:val="single" w:color="auto" w:sz="4" w:space="0"/>
              <w:left w:val="single" w:color="auto" w:sz="4" w:space="0"/>
              <w:bottom w:val="single" w:color="auto" w:sz="4" w:space="0"/>
              <w:right w:val="single" w:color="auto" w:sz="4" w:space="0"/>
            </w:tcBorders>
            <w:shd w:val="clear" w:color="auto" w:fill="E0E0E0"/>
            <w:vAlign w:val="center"/>
          </w:tcPr>
          <w:p>
            <w:pPr>
              <w:spacing w:line="360" w:lineRule="auto"/>
            </w:pPr>
            <w:r>
              <w:rPr>
                <w:rFonts w:hint="eastAsia"/>
              </w:rPr>
              <w:t>问题类别</w:t>
            </w:r>
          </w:p>
        </w:tc>
        <w:tc>
          <w:tcPr>
            <w:tcW w:w="1360" w:type="dxa"/>
            <w:tcBorders>
              <w:top w:val="single" w:color="auto" w:sz="4" w:space="0"/>
              <w:left w:val="nil"/>
              <w:bottom w:val="single" w:color="auto" w:sz="4" w:space="0"/>
              <w:right w:val="single" w:color="auto" w:sz="4" w:space="0"/>
            </w:tcBorders>
            <w:shd w:val="clear" w:color="auto" w:fill="E0E0E0"/>
            <w:vAlign w:val="center"/>
          </w:tcPr>
          <w:p>
            <w:pPr>
              <w:spacing w:line="360" w:lineRule="auto"/>
            </w:pPr>
            <w:r>
              <w:rPr>
                <w:rFonts w:hint="eastAsia"/>
              </w:rPr>
              <w:t>问题名称</w:t>
            </w:r>
          </w:p>
        </w:tc>
        <w:tc>
          <w:tcPr>
            <w:tcW w:w="5786" w:type="dxa"/>
            <w:tcBorders>
              <w:top w:val="single" w:color="auto" w:sz="4" w:space="0"/>
              <w:left w:val="nil"/>
              <w:bottom w:val="single" w:color="auto" w:sz="4" w:space="0"/>
              <w:right w:val="single" w:color="auto" w:sz="4" w:space="0"/>
            </w:tcBorders>
            <w:shd w:val="clear" w:color="auto" w:fill="E0E0E0"/>
            <w:vAlign w:val="center"/>
          </w:tcPr>
          <w:p>
            <w:pPr>
              <w:spacing w:line="360" w:lineRule="auto"/>
            </w:pPr>
            <w:r>
              <w:rPr>
                <w:rFonts w:hint="eastAsia"/>
              </w:rPr>
              <w:t>问题描述</w:t>
            </w:r>
          </w:p>
        </w:tc>
      </w:tr>
      <w:tr>
        <w:tblPrEx>
          <w:tblLayout w:type="fixed"/>
          <w:tblCellMar>
            <w:top w:w="0" w:type="dxa"/>
            <w:left w:w="108" w:type="dxa"/>
            <w:bottom w:w="0" w:type="dxa"/>
            <w:right w:w="108" w:type="dxa"/>
          </w:tblCellMar>
        </w:tblPrEx>
        <w:trPr>
          <w:trHeight w:val="540" w:hRule="atLeast"/>
          <w:jc w:val="center"/>
        </w:trPr>
        <w:tc>
          <w:tcPr>
            <w:tcW w:w="1289" w:type="dxa"/>
            <w:tcBorders>
              <w:top w:val="nil"/>
              <w:left w:val="single" w:color="auto" w:sz="4" w:space="0"/>
              <w:bottom w:val="single" w:color="auto" w:sz="4" w:space="0"/>
              <w:right w:val="single" w:color="auto" w:sz="4" w:space="0"/>
            </w:tcBorders>
            <w:shd w:val="clear" w:color="auto" w:fill="auto"/>
            <w:vAlign w:val="center"/>
          </w:tcPr>
          <w:p>
            <w:pPr>
              <w:spacing w:line="360" w:lineRule="auto"/>
            </w:pPr>
            <w:r>
              <w:rPr>
                <w:rFonts w:hint="eastAsia"/>
              </w:rPr>
              <w:t>A级</w:t>
            </w:r>
          </w:p>
        </w:tc>
        <w:tc>
          <w:tcPr>
            <w:tcW w:w="1360" w:type="dxa"/>
            <w:tcBorders>
              <w:top w:val="nil"/>
              <w:left w:val="nil"/>
              <w:bottom w:val="single" w:color="auto" w:sz="4" w:space="0"/>
              <w:right w:val="single" w:color="auto" w:sz="4" w:space="0"/>
            </w:tcBorders>
            <w:shd w:val="clear" w:color="auto" w:fill="auto"/>
            <w:vAlign w:val="center"/>
          </w:tcPr>
          <w:p>
            <w:pPr>
              <w:spacing w:line="360" w:lineRule="auto"/>
            </w:pPr>
            <w:r>
              <w:rPr>
                <w:rFonts w:hint="eastAsia"/>
              </w:rPr>
              <w:t>致命错误</w:t>
            </w:r>
          </w:p>
        </w:tc>
        <w:tc>
          <w:tcPr>
            <w:tcW w:w="5786" w:type="dxa"/>
            <w:tcBorders>
              <w:top w:val="nil"/>
              <w:left w:val="nil"/>
              <w:bottom w:val="single" w:color="auto" w:sz="4" w:space="0"/>
              <w:right w:val="single" w:color="auto" w:sz="4" w:space="0"/>
            </w:tcBorders>
            <w:shd w:val="clear" w:color="auto" w:fill="auto"/>
            <w:vAlign w:val="center"/>
          </w:tcPr>
          <w:p>
            <w:pPr>
              <w:spacing w:line="360" w:lineRule="auto"/>
            </w:pPr>
            <w:r>
              <w:rPr>
                <w:rFonts w:hint="eastAsia"/>
              </w:rPr>
              <w:t>可能导致本模块以及其他相关模块异常、死机等问题</w:t>
            </w:r>
          </w:p>
        </w:tc>
      </w:tr>
      <w:tr>
        <w:tblPrEx>
          <w:tblLayout w:type="fixed"/>
          <w:tblCellMar>
            <w:top w:w="0" w:type="dxa"/>
            <w:left w:w="108" w:type="dxa"/>
            <w:bottom w:w="0" w:type="dxa"/>
            <w:right w:w="108" w:type="dxa"/>
          </w:tblCellMar>
        </w:tblPrEx>
        <w:trPr>
          <w:trHeight w:val="540" w:hRule="atLeast"/>
          <w:jc w:val="center"/>
        </w:trPr>
        <w:tc>
          <w:tcPr>
            <w:tcW w:w="1289" w:type="dxa"/>
            <w:tcBorders>
              <w:top w:val="nil"/>
              <w:left w:val="single" w:color="auto" w:sz="4" w:space="0"/>
              <w:bottom w:val="single" w:color="auto" w:sz="4" w:space="0"/>
              <w:right w:val="single" w:color="auto" w:sz="4" w:space="0"/>
            </w:tcBorders>
            <w:shd w:val="clear" w:color="auto" w:fill="auto"/>
            <w:vAlign w:val="center"/>
          </w:tcPr>
          <w:p>
            <w:pPr>
              <w:spacing w:line="360" w:lineRule="auto"/>
            </w:pPr>
            <w:r>
              <w:rPr>
                <w:rFonts w:hint="eastAsia"/>
              </w:rPr>
              <w:t>B级</w:t>
            </w:r>
          </w:p>
        </w:tc>
        <w:tc>
          <w:tcPr>
            <w:tcW w:w="1360" w:type="dxa"/>
            <w:tcBorders>
              <w:top w:val="nil"/>
              <w:left w:val="nil"/>
              <w:bottom w:val="single" w:color="auto" w:sz="4" w:space="0"/>
              <w:right w:val="single" w:color="auto" w:sz="4" w:space="0"/>
            </w:tcBorders>
            <w:shd w:val="clear" w:color="auto" w:fill="auto"/>
            <w:vAlign w:val="center"/>
          </w:tcPr>
          <w:p>
            <w:pPr>
              <w:spacing w:line="360" w:lineRule="auto"/>
            </w:pPr>
            <w:r>
              <w:rPr>
                <w:rFonts w:hint="eastAsia"/>
              </w:rPr>
              <w:t>严重错误</w:t>
            </w:r>
          </w:p>
        </w:tc>
        <w:tc>
          <w:tcPr>
            <w:tcW w:w="5786" w:type="dxa"/>
            <w:tcBorders>
              <w:top w:val="nil"/>
              <w:left w:val="nil"/>
              <w:bottom w:val="single" w:color="auto" w:sz="4" w:space="0"/>
              <w:right w:val="single" w:color="auto" w:sz="4" w:space="0"/>
            </w:tcBorders>
            <w:shd w:val="clear" w:color="auto" w:fill="auto"/>
            <w:vAlign w:val="center"/>
          </w:tcPr>
          <w:p>
            <w:pPr>
              <w:spacing w:line="360" w:lineRule="auto"/>
            </w:pPr>
            <w:r>
              <w:rPr>
                <w:rFonts w:hint="eastAsia"/>
              </w:rPr>
              <w:t>问题局限在本模块，导致模块功能失效或异常退出</w:t>
            </w:r>
          </w:p>
        </w:tc>
      </w:tr>
      <w:tr>
        <w:tblPrEx>
          <w:tblLayout w:type="fixed"/>
          <w:tblCellMar>
            <w:top w:w="0" w:type="dxa"/>
            <w:left w:w="108" w:type="dxa"/>
            <w:bottom w:w="0" w:type="dxa"/>
            <w:right w:w="108" w:type="dxa"/>
          </w:tblCellMar>
        </w:tblPrEx>
        <w:trPr>
          <w:trHeight w:val="540" w:hRule="atLeast"/>
          <w:jc w:val="center"/>
        </w:trPr>
        <w:tc>
          <w:tcPr>
            <w:tcW w:w="1289" w:type="dxa"/>
            <w:tcBorders>
              <w:top w:val="nil"/>
              <w:left w:val="single" w:color="auto" w:sz="4" w:space="0"/>
              <w:bottom w:val="single" w:color="auto" w:sz="4" w:space="0"/>
              <w:right w:val="single" w:color="auto" w:sz="4" w:space="0"/>
            </w:tcBorders>
            <w:shd w:val="clear" w:color="auto" w:fill="auto"/>
            <w:vAlign w:val="center"/>
          </w:tcPr>
          <w:p>
            <w:pPr>
              <w:spacing w:line="360" w:lineRule="auto"/>
            </w:pPr>
            <w:r>
              <w:rPr>
                <w:rFonts w:hint="eastAsia"/>
              </w:rPr>
              <w:t>C级</w:t>
            </w:r>
          </w:p>
        </w:tc>
        <w:tc>
          <w:tcPr>
            <w:tcW w:w="1360" w:type="dxa"/>
            <w:tcBorders>
              <w:top w:val="nil"/>
              <w:left w:val="nil"/>
              <w:bottom w:val="single" w:color="auto" w:sz="4" w:space="0"/>
              <w:right w:val="single" w:color="auto" w:sz="4" w:space="0"/>
            </w:tcBorders>
            <w:shd w:val="clear" w:color="auto" w:fill="auto"/>
            <w:vAlign w:val="center"/>
          </w:tcPr>
          <w:p>
            <w:pPr>
              <w:spacing w:line="360" w:lineRule="auto"/>
            </w:pPr>
            <w:r>
              <w:rPr>
                <w:rFonts w:hint="eastAsia"/>
              </w:rPr>
              <w:t>一般错误</w:t>
            </w:r>
          </w:p>
        </w:tc>
        <w:tc>
          <w:tcPr>
            <w:tcW w:w="5786" w:type="dxa"/>
            <w:tcBorders>
              <w:top w:val="nil"/>
              <w:left w:val="nil"/>
              <w:bottom w:val="single" w:color="auto" w:sz="4" w:space="0"/>
              <w:right w:val="single" w:color="auto" w:sz="4" w:space="0"/>
            </w:tcBorders>
            <w:shd w:val="clear" w:color="auto" w:fill="auto"/>
            <w:vAlign w:val="center"/>
          </w:tcPr>
          <w:p>
            <w:pPr>
              <w:spacing w:line="360" w:lineRule="auto"/>
            </w:pPr>
            <w:r>
              <w:rPr>
                <w:rFonts w:hint="eastAsia"/>
              </w:rPr>
              <w:t>模块功能部分失效，影响部分功能的正常运行</w:t>
            </w:r>
          </w:p>
        </w:tc>
      </w:tr>
      <w:tr>
        <w:tblPrEx>
          <w:tblLayout w:type="fixed"/>
          <w:tblCellMar>
            <w:top w:w="0" w:type="dxa"/>
            <w:left w:w="108" w:type="dxa"/>
            <w:bottom w:w="0" w:type="dxa"/>
            <w:right w:w="108" w:type="dxa"/>
          </w:tblCellMar>
        </w:tblPrEx>
        <w:trPr>
          <w:trHeight w:val="1080" w:hRule="atLeast"/>
          <w:jc w:val="center"/>
        </w:trPr>
        <w:tc>
          <w:tcPr>
            <w:tcW w:w="1289" w:type="dxa"/>
            <w:tcBorders>
              <w:top w:val="nil"/>
              <w:left w:val="single" w:color="auto" w:sz="4" w:space="0"/>
              <w:bottom w:val="single" w:color="auto" w:sz="4" w:space="0"/>
              <w:right w:val="single" w:color="auto" w:sz="4" w:space="0"/>
            </w:tcBorders>
            <w:shd w:val="clear" w:color="auto" w:fill="auto"/>
            <w:vAlign w:val="center"/>
          </w:tcPr>
          <w:p>
            <w:pPr>
              <w:spacing w:line="360" w:lineRule="auto"/>
            </w:pPr>
            <w:r>
              <w:rPr>
                <w:rFonts w:hint="eastAsia"/>
              </w:rPr>
              <w:t>D级</w:t>
            </w:r>
          </w:p>
        </w:tc>
        <w:tc>
          <w:tcPr>
            <w:tcW w:w="1360" w:type="dxa"/>
            <w:tcBorders>
              <w:top w:val="nil"/>
              <w:left w:val="nil"/>
              <w:bottom w:val="single" w:color="auto" w:sz="4" w:space="0"/>
              <w:right w:val="single" w:color="auto" w:sz="4" w:space="0"/>
            </w:tcBorders>
            <w:shd w:val="clear" w:color="auto" w:fill="auto"/>
            <w:vAlign w:val="center"/>
          </w:tcPr>
          <w:p>
            <w:pPr>
              <w:spacing w:line="360" w:lineRule="auto"/>
            </w:pPr>
            <w:r>
              <w:rPr>
                <w:rFonts w:hint="eastAsia"/>
              </w:rPr>
              <w:t>微小错误</w:t>
            </w:r>
          </w:p>
        </w:tc>
        <w:tc>
          <w:tcPr>
            <w:tcW w:w="5786" w:type="dxa"/>
            <w:tcBorders>
              <w:top w:val="nil"/>
              <w:left w:val="nil"/>
              <w:bottom w:val="single" w:color="auto" w:sz="4" w:space="0"/>
              <w:right w:val="single" w:color="auto" w:sz="4" w:space="0"/>
            </w:tcBorders>
            <w:shd w:val="clear" w:color="auto" w:fill="auto"/>
            <w:vAlign w:val="center"/>
          </w:tcPr>
          <w:p>
            <w:pPr>
              <w:spacing w:line="360" w:lineRule="auto"/>
            </w:pPr>
            <w:r>
              <w:rPr>
                <w:rFonts w:hint="eastAsia"/>
              </w:rPr>
              <w:t>软件存在错误，但不影响业务的运行。比如提示性问题、UI问题、操作习惯等，有问题提出人提出改进意见</w:t>
            </w:r>
          </w:p>
        </w:tc>
      </w:tr>
    </w:tbl>
    <w:p>
      <w:pPr>
        <w:spacing w:line="360" w:lineRule="auto"/>
      </w:pPr>
    </w:p>
    <w:p>
      <w:pPr>
        <w:spacing w:line="360" w:lineRule="auto"/>
      </w:pPr>
    </w:p>
    <w:p>
      <w:pPr>
        <w:spacing w:line="360" w:lineRule="auto"/>
      </w:pPr>
    </w:p>
    <w:p>
      <w:pPr>
        <w:spacing w:line="360" w:lineRule="auto"/>
      </w:pPr>
    </w:p>
    <w:p>
      <w:pPr>
        <w:spacing w:line="360" w:lineRule="auto"/>
      </w:pPr>
    </w:p>
    <w:p>
      <w:pPr>
        <w:pStyle w:val="2"/>
        <w:pageBreakBefore/>
        <w:numPr>
          <w:ilvl w:val="0"/>
          <w:numId w:val="3"/>
        </w:numPr>
        <w:spacing w:before="0" w:after="0" w:line="360" w:lineRule="auto"/>
        <w:ind w:left="0" w:leftChars="0" w:firstLine="402" w:firstLineChars="0"/>
      </w:pPr>
      <w:r>
        <w:rPr>
          <w:rFonts w:hint="eastAsia"/>
          <w:lang w:val="en-US" w:eastAsia="zh-CN"/>
        </w:rPr>
        <w:t xml:space="preserve"> </w:t>
      </w:r>
      <w:bookmarkStart w:id="502" w:name="_Toc11454"/>
      <w:r>
        <w:rPr>
          <w:rFonts w:hint="eastAsia"/>
        </w:rPr>
        <w:t>售后服务体系介绍及保障方案</w:t>
      </w:r>
      <w:bookmarkEnd w:id="502"/>
    </w:p>
    <w:p>
      <w:pPr>
        <w:pStyle w:val="3"/>
        <w:numPr>
          <w:ilvl w:val="1"/>
          <w:numId w:val="3"/>
        </w:numPr>
        <w:spacing w:before="0" w:after="0" w:line="360" w:lineRule="auto"/>
        <w:ind w:left="0" w:leftChars="0" w:firstLine="402" w:firstLineChars="0"/>
      </w:pPr>
      <w:bookmarkStart w:id="503" w:name="_Toc30883"/>
      <w:r>
        <w:rPr>
          <w:rFonts w:hint="eastAsia"/>
        </w:rPr>
        <w:t>服务体系简介</w:t>
      </w:r>
      <w:bookmarkEnd w:id="503"/>
    </w:p>
    <w:p>
      <w:pPr>
        <w:spacing w:line="360" w:lineRule="auto"/>
        <w:ind w:firstLine="480" w:firstLineChars="200"/>
        <w:rPr>
          <w:sz w:val="24"/>
          <w:szCs w:val="24"/>
        </w:rPr>
      </w:pPr>
      <w:r>
        <w:rPr>
          <w:rFonts w:hint="eastAsia"/>
          <w:sz w:val="24"/>
          <w:szCs w:val="24"/>
          <w:lang w:eastAsia="zh-CN"/>
        </w:rPr>
        <w:t>**信息</w:t>
      </w:r>
      <w:r>
        <w:rPr>
          <w:sz w:val="24"/>
          <w:szCs w:val="24"/>
        </w:rPr>
        <w:t>设有专门的技术支持与售后服务机构，该技术服务中心在北京总部。</w:t>
      </w:r>
    </w:p>
    <w:p>
      <w:pPr>
        <w:spacing w:line="360" w:lineRule="auto"/>
        <w:ind w:firstLine="480" w:firstLineChars="200"/>
      </w:pPr>
      <w:r>
        <w:rPr>
          <w:rFonts w:hint="eastAsia"/>
          <w:sz w:val="24"/>
          <w:szCs w:val="24"/>
          <w:lang w:eastAsia="zh-CN"/>
        </w:rPr>
        <w:t>**信息</w:t>
      </w:r>
      <w:r>
        <w:rPr>
          <w:sz w:val="24"/>
          <w:szCs w:val="24"/>
        </w:rPr>
        <w:t>的技术支持与售后服务队伍接受过良好的培训并且富有经验，我们对本项目中可能出现的技术问题已经做好了充分的技术准备。</w:t>
      </w:r>
      <w:r>
        <w:rPr>
          <w:rFonts w:hint="eastAsia"/>
          <w:sz w:val="24"/>
          <w:szCs w:val="24"/>
          <w:lang w:eastAsia="zh-CN"/>
        </w:rPr>
        <w:t>**信息</w:t>
      </w:r>
      <w:r>
        <w:rPr>
          <w:sz w:val="24"/>
          <w:szCs w:val="24"/>
        </w:rPr>
        <w:t>将与设备生产厂商共同为国税用户提供全面的技术支持和售后服务。</w:t>
      </w:r>
    </w:p>
    <w:p>
      <w:pPr>
        <w:spacing w:line="360" w:lineRule="auto"/>
        <w:ind w:firstLine="420" w:firstLineChars="200"/>
      </w:pPr>
    </w:p>
    <w:p>
      <w:pPr>
        <w:pStyle w:val="4"/>
        <w:numPr>
          <w:ilvl w:val="2"/>
          <w:numId w:val="3"/>
        </w:numPr>
        <w:spacing w:before="0" w:after="0" w:line="360" w:lineRule="auto"/>
        <w:ind w:left="0" w:leftChars="0" w:firstLine="402" w:firstLineChars="0"/>
      </w:pPr>
      <w:bookmarkStart w:id="504" w:name="_Toc7611"/>
      <w:r>
        <w:rPr>
          <w:rFonts w:hint="eastAsia"/>
        </w:rPr>
        <w:t>人员分工</w:t>
      </w:r>
      <w:bookmarkEnd w:id="504"/>
    </w:p>
    <w:p>
      <w:pPr>
        <w:spacing w:line="360" w:lineRule="auto"/>
        <w:ind w:firstLine="480" w:firstLineChars="200"/>
        <w:rPr>
          <w:sz w:val="24"/>
          <w:szCs w:val="24"/>
        </w:rPr>
      </w:pPr>
      <w:bookmarkStart w:id="505" w:name="OLE_LINK44"/>
      <w:bookmarkStart w:id="506" w:name="OLE_LINK45"/>
      <w:r>
        <w:rPr>
          <w:rFonts w:hint="eastAsia"/>
          <w:sz w:val="24"/>
          <w:szCs w:val="24"/>
        </w:rPr>
        <w:t>现场技术支持人员</w:t>
      </w:r>
      <w:bookmarkEnd w:id="505"/>
      <w:bookmarkEnd w:id="506"/>
      <w:r>
        <w:rPr>
          <w:rFonts w:hint="eastAsia"/>
          <w:sz w:val="24"/>
          <w:szCs w:val="24"/>
        </w:rPr>
        <w:t>：具备</w:t>
      </w:r>
      <w:r>
        <w:rPr>
          <w:rFonts w:hint="eastAsia"/>
          <w:sz w:val="24"/>
          <w:szCs w:val="24"/>
          <w:lang w:val="en-US" w:eastAsia="zh-CN"/>
        </w:rPr>
        <w:t>二</w:t>
      </w:r>
      <w:r>
        <w:rPr>
          <w:rFonts w:hint="eastAsia"/>
          <w:sz w:val="24"/>
          <w:szCs w:val="24"/>
        </w:rPr>
        <w:t>年以上技术支持工作经历，熟练掌握软件编程、数据库设计、数据库管理、系统运维和管理等方面的知识。负责服务范围内所有支持工作。</w:t>
      </w:r>
    </w:p>
    <w:p>
      <w:pPr>
        <w:spacing w:line="360" w:lineRule="auto"/>
        <w:ind w:firstLine="480" w:firstLineChars="200"/>
      </w:pPr>
      <w:bookmarkStart w:id="507" w:name="OLE_LINK14"/>
      <w:bookmarkStart w:id="508" w:name="OLE_LINK13"/>
      <w:r>
        <w:rPr>
          <w:rFonts w:hint="eastAsia"/>
          <w:sz w:val="24"/>
          <w:szCs w:val="24"/>
        </w:rPr>
        <w:t>后台支持人员</w:t>
      </w:r>
      <w:bookmarkEnd w:id="507"/>
      <w:bookmarkEnd w:id="508"/>
      <w:r>
        <w:rPr>
          <w:rFonts w:hint="eastAsia"/>
          <w:sz w:val="24"/>
          <w:szCs w:val="24"/>
        </w:rPr>
        <w:t>：</w:t>
      </w:r>
      <w:r>
        <w:rPr>
          <w:rFonts w:hint="eastAsia"/>
          <w:sz w:val="24"/>
          <w:szCs w:val="24"/>
          <w:lang w:val="en-US" w:eastAsia="zh-CN"/>
        </w:rPr>
        <w:t>三</w:t>
      </w:r>
      <w:r>
        <w:rPr>
          <w:rFonts w:hint="eastAsia"/>
          <w:sz w:val="24"/>
          <w:szCs w:val="24"/>
        </w:rPr>
        <w:t>年以上工作经历，全程参与本项目的开发过程，精通总体架构设计、数据库设计、软件编程等技术。负责提供软件修改升级、升级测试、第三方接口技术支持及升级培训等方面的工作，并提供对各现场服务人员的技术支持。</w:t>
      </w:r>
    </w:p>
    <w:p>
      <w:pPr>
        <w:spacing w:line="360" w:lineRule="auto"/>
        <w:rPr>
          <w:highlight w:val="red"/>
        </w:rPr>
      </w:pPr>
    </w:p>
    <w:tbl>
      <w:tblPr>
        <w:tblStyle w:val="34"/>
        <w:tblW w:w="87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882"/>
        <w:gridCol w:w="1392"/>
        <w:gridCol w:w="744"/>
        <w:gridCol w:w="648"/>
        <w:gridCol w:w="564"/>
        <w:gridCol w:w="2172"/>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blHeader/>
        </w:trPr>
        <w:tc>
          <w:tcPr>
            <w:tcW w:w="565" w:type="dxa"/>
            <w:shd w:val="clear" w:color="auto" w:fill="EEECE1"/>
            <w:vAlign w:val="center"/>
          </w:tcPr>
          <w:p>
            <w:pPr>
              <w:spacing w:line="360" w:lineRule="auto"/>
            </w:pPr>
            <w:bookmarkStart w:id="509" w:name="OLE_LINK103"/>
            <w:bookmarkStart w:id="510" w:name="OLE_LINK102"/>
            <w:r>
              <w:rPr>
                <w:rFonts w:hint="eastAsia"/>
              </w:rPr>
              <w:t>序号</w:t>
            </w:r>
          </w:p>
        </w:tc>
        <w:tc>
          <w:tcPr>
            <w:tcW w:w="882" w:type="dxa"/>
            <w:shd w:val="clear" w:color="auto" w:fill="EEECE1"/>
            <w:vAlign w:val="center"/>
          </w:tcPr>
          <w:p>
            <w:pPr>
              <w:spacing w:line="360" w:lineRule="auto"/>
            </w:pPr>
            <w:r>
              <w:rPr>
                <w:rFonts w:hint="eastAsia"/>
              </w:rPr>
              <w:t>姓 名</w:t>
            </w:r>
          </w:p>
        </w:tc>
        <w:tc>
          <w:tcPr>
            <w:tcW w:w="1392" w:type="dxa"/>
            <w:shd w:val="clear" w:color="auto" w:fill="EEECE1"/>
            <w:vAlign w:val="center"/>
          </w:tcPr>
          <w:p>
            <w:pPr>
              <w:spacing w:line="360" w:lineRule="auto"/>
            </w:pPr>
            <w:r>
              <w:rPr>
                <w:rFonts w:hint="eastAsia"/>
              </w:rPr>
              <w:t>学历及学位</w:t>
            </w:r>
          </w:p>
        </w:tc>
        <w:tc>
          <w:tcPr>
            <w:tcW w:w="744" w:type="dxa"/>
            <w:shd w:val="clear" w:color="auto" w:fill="EEECE1"/>
            <w:vAlign w:val="center"/>
          </w:tcPr>
          <w:p>
            <w:pPr>
              <w:spacing w:line="360" w:lineRule="auto"/>
            </w:pPr>
            <w:r>
              <w:rPr>
                <w:rFonts w:hint="eastAsia"/>
              </w:rPr>
              <w:t>工作年限</w:t>
            </w:r>
          </w:p>
        </w:tc>
        <w:tc>
          <w:tcPr>
            <w:tcW w:w="648" w:type="dxa"/>
            <w:shd w:val="clear" w:color="auto" w:fill="EEECE1"/>
            <w:vAlign w:val="center"/>
          </w:tcPr>
          <w:p>
            <w:pPr>
              <w:spacing w:line="360" w:lineRule="auto"/>
            </w:pPr>
            <w:r>
              <w:rPr>
                <w:rFonts w:hint="eastAsia"/>
              </w:rPr>
              <w:t>性别</w:t>
            </w:r>
          </w:p>
        </w:tc>
        <w:tc>
          <w:tcPr>
            <w:tcW w:w="564" w:type="dxa"/>
            <w:shd w:val="clear" w:color="auto" w:fill="EEECE1"/>
            <w:vAlign w:val="center"/>
          </w:tcPr>
          <w:p>
            <w:pPr>
              <w:spacing w:line="360" w:lineRule="auto"/>
            </w:pPr>
            <w:r>
              <w:rPr>
                <w:rFonts w:hint="eastAsia"/>
              </w:rPr>
              <w:t>年龄</w:t>
            </w:r>
          </w:p>
        </w:tc>
        <w:tc>
          <w:tcPr>
            <w:tcW w:w="2172" w:type="dxa"/>
            <w:shd w:val="clear" w:color="auto" w:fill="EEECE1"/>
            <w:vAlign w:val="center"/>
          </w:tcPr>
          <w:p>
            <w:pPr>
              <w:spacing w:line="360" w:lineRule="auto"/>
            </w:pPr>
            <w:r>
              <w:rPr>
                <w:rFonts w:hint="eastAsia"/>
              </w:rPr>
              <w:t>本项目中担任职务</w:t>
            </w:r>
          </w:p>
        </w:tc>
        <w:tc>
          <w:tcPr>
            <w:tcW w:w="1800" w:type="dxa"/>
            <w:shd w:val="clear" w:color="auto" w:fill="EEECE1"/>
            <w:vAlign w:val="center"/>
          </w:tcPr>
          <w:p>
            <w:pPr>
              <w:spacing w:line="360" w:lineRule="auto"/>
            </w:pPr>
            <w:r>
              <w:rPr>
                <w:rFonts w:hint="eastAsia"/>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565"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1</w:t>
            </w:r>
          </w:p>
        </w:tc>
        <w:tc>
          <w:tcPr>
            <w:tcW w:w="882" w:type="dxa"/>
            <w:tcBorders>
              <w:top w:val="single" w:color="auto" w:sz="4" w:space="0"/>
              <w:left w:val="single" w:color="auto" w:sz="4" w:space="0"/>
              <w:bottom w:val="single" w:color="auto" w:sz="4" w:space="0"/>
              <w:right w:val="single" w:color="auto" w:sz="4" w:space="0"/>
            </w:tcBorders>
            <w:vAlign w:val="center"/>
          </w:tcPr>
          <w:p>
            <w:pPr>
              <w:spacing w:line="360" w:lineRule="auto"/>
            </w:pPr>
          </w:p>
        </w:tc>
        <w:tc>
          <w:tcPr>
            <w:tcW w:w="1392"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eastAsiaTheme="minorEastAsia"/>
                <w:lang w:val="en-US" w:eastAsia="zh-CN"/>
              </w:rPr>
            </w:pPr>
            <w:r>
              <w:rPr>
                <w:rFonts w:hint="eastAsia"/>
                <w:lang w:val="en-US" w:eastAsia="zh-CN"/>
              </w:rPr>
              <w:t>研究生硕士</w:t>
            </w:r>
          </w:p>
        </w:tc>
        <w:tc>
          <w:tcPr>
            <w:tcW w:w="744"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eastAsiaTheme="minorEastAsia"/>
                <w:lang w:val="en-US" w:eastAsia="zh-CN"/>
              </w:rPr>
            </w:pPr>
            <w:r>
              <w:rPr>
                <w:rFonts w:hint="eastAsia"/>
                <w:lang w:val="en-US" w:eastAsia="zh-CN"/>
              </w:rPr>
              <w:t>11</w:t>
            </w:r>
          </w:p>
        </w:tc>
        <w:tc>
          <w:tcPr>
            <w:tcW w:w="648"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eastAsiaTheme="minorEastAsia"/>
                <w:lang w:val="en-US" w:eastAsia="zh-CN"/>
              </w:rPr>
            </w:pPr>
            <w:r>
              <w:rPr>
                <w:rFonts w:hint="eastAsia"/>
                <w:lang w:val="en-US" w:eastAsia="zh-CN"/>
              </w:rPr>
              <w:t>男</w:t>
            </w:r>
          </w:p>
        </w:tc>
        <w:tc>
          <w:tcPr>
            <w:tcW w:w="564"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eastAsiaTheme="minorEastAsia"/>
                <w:lang w:val="en-US" w:eastAsia="zh-CN"/>
              </w:rPr>
            </w:pPr>
            <w:r>
              <w:rPr>
                <w:rFonts w:hint="eastAsia"/>
                <w:lang w:val="en-US" w:eastAsia="zh-CN"/>
              </w:rPr>
              <w:t>35</w:t>
            </w:r>
          </w:p>
        </w:tc>
        <w:tc>
          <w:tcPr>
            <w:tcW w:w="2172"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项目经理</w:t>
            </w:r>
          </w:p>
        </w:tc>
        <w:tc>
          <w:tcPr>
            <w:tcW w:w="1800" w:type="dxa"/>
            <w:tcBorders>
              <w:top w:val="single" w:color="auto" w:sz="4" w:space="0"/>
              <w:left w:val="single" w:color="auto" w:sz="4" w:space="0"/>
              <w:bottom w:val="single" w:color="auto" w:sz="4" w:space="0"/>
              <w:right w:val="sing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565"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2</w:t>
            </w:r>
          </w:p>
        </w:tc>
        <w:tc>
          <w:tcPr>
            <w:tcW w:w="882" w:type="dxa"/>
            <w:tcBorders>
              <w:top w:val="single" w:color="auto" w:sz="4" w:space="0"/>
              <w:left w:val="single" w:color="auto" w:sz="4" w:space="0"/>
              <w:bottom w:val="single" w:color="auto" w:sz="4" w:space="0"/>
              <w:right w:val="single" w:color="auto" w:sz="4" w:space="0"/>
            </w:tcBorders>
            <w:vAlign w:val="center"/>
          </w:tcPr>
          <w:p>
            <w:pPr>
              <w:spacing w:line="360" w:lineRule="auto"/>
            </w:pPr>
          </w:p>
        </w:tc>
        <w:tc>
          <w:tcPr>
            <w:tcW w:w="1392"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eastAsiaTheme="minorEastAsia"/>
                <w:lang w:val="en-US" w:eastAsia="zh-CN"/>
              </w:rPr>
            </w:pPr>
            <w:r>
              <w:rPr>
                <w:rFonts w:hint="eastAsia"/>
                <w:lang w:val="en-US" w:eastAsia="zh-CN"/>
              </w:rPr>
              <w:t>本科学士</w:t>
            </w:r>
          </w:p>
        </w:tc>
        <w:tc>
          <w:tcPr>
            <w:tcW w:w="744"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eastAsiaTheme="minorEastAsia"/>
                <w:lang w:val="en-US" w:eastAsia="zh-CN"/>
              </w:rPr>
            </w:pPr>
            <w:r>
              <w:rPr>
                <w:rFonts w:hint="eastAsia"/>
                <w:lang w:val="en-US" w:eastAsia="zh-CN"/>
              </w:rPr>
              <w:t>3</w:t>
            </w:r>
          </w:p>
        </w:tc>
        <w:tc>
          <w:tcPr>
            <w:tcW w:w="648"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男</w:t>
            </w:r>
          </w:p>
        </w:tc>
        <w:tc>
          <w:tcPr>
            <w:tcW w:w="564"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eastAsiaTheme="minorEastAsia"/>
                <w:lang w:val="en-US" w:eastAsia="zh-CN"/>
              </w:rPr>
            </w:pPr>
            <w:r>
              <w:rPr>
                <w:rFonts w:hint="eastAsia"/>
                <w:lang w:val="en-US" w:eastAsia="zh-CN"/>
              </w:rPr>
              <w:t>26</w:t>
            </w:r>
          </w:p>
        </w:tc>
        <w:tc>
          <w:tcPr>
            <w:tcW w:w="2172" w:type="dxa"/>
            <w:tcBorders>
              <w:top w:val="single" w:color="auto" w:sz="4" w:space="0"/>
              <w:left w:val="single" w:color="auto" w:sz="4" w:space="0"/>
              <w:bottom w:val="single" w:color="auto" w:sz="4" w:space="0"/>
              <w:right w:val="single" w:color="auto" w:sz="4" w:space="0"/>
            </w:tcBorders>
          </w:tcPr>
          <w:p>
            <w:pPr>
              <w:spacing w:line="360" w:lineRule="auto"/>
            </w:pPr>
            <w:r>
              <w:rPr>
                <w:rFonts w:hint="eastAsia"/>
              </w:rPr>
              <w:t>java开发</w:t>
            </w:r>
            <w:r>
              <w:rPr>
                <w:rFonts w:hint="eastAsia"/>
              </w:rPr>
              <w:tab/>
            </w:r>
            <w:r>
              <w:rPr>
                <w:rFonts w:hint="eastAsia"/>
              </w:rPr>
              <w:t>工程师</w:t>
            </w:r>
          </w:p>
        </w:tc>
        <w:tc>
          <w:tcPr>
            <w:tcW w:w="1800" w:type="dxa"/>
            <w:tcBorders>
              <w:top w:val="single" w:color="auto" w:sz="4" w:space="0"/>
              <w:left w:val="single" w:color="auto" w:sz="4" w:space="0"/>
              <w:bottom w:val="single" w:color="auto" w:sz="4" w:space="0"/>
              <w:right w:val="sing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565"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3</w:t>
            </w:r>
          </w:p>
        </w:tc>
        <w:tc>
          <w:tcPr>
            <w:tcW w:w="882" w:type="dxa"/>
            <w:tcBorders>
              <w:top w:val="single" w:color="auto" w:sz="4" w:space="0"/>
              <w:left w:val="single" w:color="auto" w:sz="4" w:space="0"/>
              <w:bottom w:val="single" w:color="auto" w:sz="4" w:space="0"/>
              <w:right w:val="single" w:color="auto" w:sz="4" w:space="0"/>
            </w:tcBorders>
            <w:vAlign w:val="center"/>
          </w:tcPr>
          <w:p>
            <w:pPr>
              <w:spacing w:line="360" w:lineRule="auto"/>
            </w:pPr>
          </w:p>
        </w:tc>
        <w:tc>
          <w:tcPr>
            <w:tcW w:w="1392"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lang w:val="en-US" w:eastAsia="zh-CN"/>
              </w:rPr>
              <w:t>本科学士</w:t>
            </w:r>
          </w:p>
        </w:tc>
        <w:tc>
          <w:tcPr>
            <w:tcW w:w="744"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eastAsiaTheme="minorEastAsia"/>
                <w:lang w:val="en-US" w:eastAsia="zh-CN"/>
              </w:rPr>
            </w:pPr>
            <w:r>
              <w:rPr>
                <w:rFonts w:hint="eastAsia"/>
                <w:lang w:val="en-US" w:eastAsia="zh-CN"/>
              </w:rPr>
              <w:t>4</w:t>
            </w:r>
          </w:p>
        </w:tc>
        <w:tc>
          <w:tcPr>
            <w:tcW w:w="648"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男</w:t>
            </w:r>
          </w:p>
        </w:tc>
        <w:tc>
          <w:tcPr>
            <w:tcW w:w="564"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eastAsiaTheme="minorEastAsia"/>
                <w:lang w:val="en-US" w:eastAsia="zh-CN"/>
              </w:rPr>
            </w:pPr>
            <w:r>
              <w:rPr>
                <w:rFonts w:hint="eastAsia"/>
                <w:lang w:val="en-US" w:eastAsia="zh-CN"/>
              </w:rPr>
              <w:t>27</w:t>
            </w:r>
          </w:p>
        </w:tc>
        <w:tc>
          <w:tcPr>
            <w:tcW w:w="2172" w:type="dxa"/>
            <w:tcBorders>
              <w:top w:val="single" w:color="auto" w:sz="4" w:space="0"/>
              <w:left w:val="single" w:color="auto" w:sz="4" w:space="0"/>
              <w:bottom w:val="single" w:color="auto" w:sz="4" w:space="0"/>
              <w:right w:val="single" w:color="auto" w:sz="4" w:space="0"/>
            </w:tcBorders>
          </w:tcPr>
          <w:p>
            <w:pPr>
              <w:spacing w:line="360" w:lineRule="auto"/>
            </w:pPr>
            <w:r>
              <w:rPr>
                <w:rFonts w:hint="eastAsia"/>
              </w:rPr>
              <w:t>实施经理</w:t>
            </w:r>
          </w:p>
        </w:tc>
        <w:tc>
          <w:tcPr>
            <w:tcW w:w="1800" w:type="dxa"/>
            <w:tcBorders>
              <w:top w:val="single" w:color="auto" w:sz="4" w:space="0"/>
              <w:left w:val="single" w:color="auto" w:sz="4" w:space="0"/>
              <w:bottom w:val="single" w:color="auto" w:sz="4" w:space="0"/>
              <w:right w:val="sing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565"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4</w:t>
            </w:r>
          </w:p>
        </w:tc>
        <w:tc>
          <w:tcPr>
            <w:tcW w:w="882" w:type="dxa"/>
            <w:tcBorders>
              <w:top w:val="single" w:color="auto" w:sz="4" w:space="0"/>
              <w:left w:val="single" w:color="auto" w:sz="4" w:space="0"/>
              <w:bottom w:val="single" w:color="auto" w:sz="4" w:space="0"/>
              <w:right w:val="single" w:color="auto" w:sz="4" w:space="0"/>
            </w:tcBorders>
            <w:vAlign w:val="center"/>
          </w:tcPr>
          <w:p>
            <w:pPr>
              <w:spacing w:line="360" w:lineRule="auto"/>
            </w:pPr>
          </w:p>
        </w:tc>
        <w:tc>
          <w:tcPr>
            <w:tcW w:w="1392"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lang w:val="en-US" w:eastAsia="zh-CN"/>
              </w:rPr>
              <w:t>本科学士</w:t>
            </w:r>
          </w:p>
        </w:tc>
        <w:tc>
          <w:tcPr>
            <w:tcW w:w="744"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eastAsiaTheme="minorEastAsia"/>
                <w:lang w:val="en-US" w:eastAsia="zh-CN"/>
              </w:rPr>
            </w:pPr>
            <w:r>
              <w:rPr>
                <w:rFonts w:hint="eastAsia"/>
                <w:lang w:val="en-US" w:eastAsia="zh-CN"/>
              </w:rPr>
              <w:t>3</w:t>
            </w:r>
          </w:p>
        </w:tc>
        <w:tc>
          <w:tcPr>
            <w:tcW w:w="648"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男</w:t>
            </w:r>
          </w:p>
        </w:tc>
        <w:tc>
          <w:tcPr>
            <w:tcW w:w="564"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eastAsiaTheme="minorEastAsia"/>
                <w:lang w:val="en-US" w:eastAsia="zh-CN"/>
              </w:rPr>
            </w:pPr>
            <w:r>
              <w:rPr>
                <w:rFonts w:hint="eastAsia"/>
                <w:lang w:val="en-US" w:eastAsia="zh-CN"/>
              </w:rPr>
              <w:t>24</w:t>
            </w:r>
          </w:p>
        </w:tc>
        <w:tc>
          <w:tcPr>
            <w:tcW w:w="2172" w:type="dxa"/>
            <w:tcBorders>
              <w:top w:val="single" w:color="auto" w:sz="4" w:space="0"/>
              <w:left w:val="single" w:color="auto" w:sz="4" w:space="0"/>
              <w:bottom w:val="single" w:color="auto" w:sz="4" w:space="0"/>
              <w:right w:val="single" w:color="auto" w:sz="4" w:space="0"/>
            </w:tcBorders>
          </w:tcPr>
          <w:p>
            <w:pPr>
              <w:spacing w:line="360" w:lineRule="auto"/>
            </w:pPr>
            <w:r>
              <w:rPr>
                <w:rFonts w:hint="eastAsia"/>
              </w:rPr>
              <w:t>java开发</w:t>
            </w:r>
            <w:r>
              <w:rPr>
                <w:rFonts w:hint="eastAsia"/>
              </w:rPr>
              <w:tab/>
            </w:r>
            <w:r>
              <w:rPr>
                <w:rFonts w:hint="eastAsia"/>
              </w:rPr>
              <w:t>工程师</w:t>
            </w:r>
          </w:p>
        </w:tc>
        <w:tc>
          <w:tcPr>
            <w:tcW w:w="1800" w:type="dxa"/>
            <w:tcBorders>
              <w:top w:val="single" w:color="auto" w:sz="4" w:space="0"/>
              <w:left w:val="single" w:color="auto" w:sz="4" w:space="0"/>
              <w:bottom w:val="single" w:color="auto" w:sz="4" w:space="0"/>
              <w:right w:val="sing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565"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5</w:t>
            </w:r>
          </w:p>
        </w:tc>
        <w:tc>
          <w:tcPr>
            <w:tcW w:w="882" w:type="dxa"/>
            <w:tcBorders>
              <w:top w:val="single" w:color="auto" w:sz="4" w:space="0"/>
              <w:left w:val="single" w:color="auto" w:sz="4" w:space="0"/>
              <w:bottom w:val="single" w:color="auto" w:sz="4" w:space="0"/>
              <w:right w:val="single" w:color="auto" w:sz="4" w:space="0"/>
            </w:tcBorders>
            <w:vAlign w:val="center"/>
          </w:tcPr>
          <w:p>
            <w:pPr>
              <w:spacing w:line="360" w:lineRule="auto"/>
            </w:pPr>
          </w:p>
        </w:tc>
        <w:tc>
          <w:tcPr>
            <w:tcW w:w="1392"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eastAsiaTheme="minorEastAsia"/>
                <w:lang w:val="en-US" w:eastAsia="zh-CN"/>
              </w:rPr>
            </w:pPr>
            <w:r>
              <w:rPr>
                <w:rFonts w:hint="eastAsia"/>
                <w:lang w:val="en-US" w:eastAsia="zh-CN"/>
              </w:rPr>
              <w:t>本科学士</w:t>
            </w:r>
          </w:p>
        </w:tc>
        <w:tc>
          <w:tcPr>
            <w:tcW w:w="744"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eastAsiaTheme="minorEastAsia"/>
                <w:lang w:val="en-US" w:eastAsia="zh-CN"/>
              </w:rPr>
            </w:pPr>
            <w:r>
              <w:rPr>
                <w:rFonts w:hint="eastAsia"/>
                <w:lang w:val="en-US" w:eastAsia="zh-CN"/>
              </w:rPr>
              <w:t>3</w:t>
            </w:r>
          </w:p>
        </w:tc>
        <w:tc>
          <w:tcPr>
            <w:tcW w:w="648"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男</w:t>
            </w:r>
          </w:p>
        </w:tc>
        <w:tc>
          <w:tcPr>
            <w:tcW w:w="564"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eastAsiaTheme="minorEastAsia"/>
                <w:lang w:val="en-US" w:eastAsia="zh-CN"/>
              </w:rPr>
            </w:pPr>
            <w:r>
              <w:rPr>
                <w:rFonts w:hint="eastAsia"/>
                <w:lang w:val="en-US" w:eastAsia="zh-CN"/>
              </w:rPr>
              <w:t>23</w:t>
            </w:r>
          </w:p>
        </w:tc>
        <w:tc>
          <w:tcPr>
            <w:tcW w:w="2172" w:type="dxa"/>
            <w:tcBorders>
              <w:top w:val="single" w:color="auto" w:sz="4" w:space="0"/>
              <w:left w:val="single" w:color="auto" w:sz="4" w:space="0"/>
              <w:bottom w:val="single" w:color="auto" w:sz="4" w:space="0"/>
              <w:right w:val="single" w:color="auto" w:sz="4" w:space="0"/>
            </w:tcBorders>
          </w:tcPr>
          <w:p>
            <w:pPr>
              <w:spacing w:line="360" w:lineRule="auto"/>
            </w:pPr>
            <w:r>
              <w:rPr>
                <w:rFonts w:hint="eastAsia"/>
              </w:rPr>
              <w:t>java开发</w:t>
            </w:r>
            <w:r>
              <w:rPr>
                <w:rFonts w:hint="eastAsia"/>
              </w:rPr>
              <w:tab/>
            </w:r>
            <w:r>
              <w:rPr>
                <w:rFonts w:hint="eastAsia"/>
              </w:rPr>
              <w:t>工程师</w:t>
            </w:r>
          </w:p>
        </w:tc>
        <w:tc>
          <w:tcPr>
            <w:tcW w:w="1800" w:type="dxa"/>
            <w:tcBorders>
              <w:top w:val="single" w:color="auto" w:sz="4" w:space="0"/>
              <w:left w:val="single" w:color="auto" w:sz="4" w:space="0"/>
              <w:bottom w:val="single" w:color="auto" w:sz="4" w:space="0"/>
              <w:right w:val="single" w:color="auto" w:sz="4"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565"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6</w:t>
            </w:r>
          </w:p>
        </w:tc>
        <w:tc>
          <w:tcPr>
            <w:tcW w:w="882" w:type="dxa"/>
            <w:tcBorders>
              <w:top w:val="single" w:color="auto" w:sz="4" w:space="0"/>
              <w:left w:val="single" w:color="auto" w:sz="4" w:space="0"/>
              <w:bottom w:val="single" w:color="auto" w:sz="4" w:space="0"/>
              <w:right w:val="single" w:color="auto" w:sz="4" w:space="0"/>
            </w:tcBorders>
            <w:vAlign w:val="center"/>
          </w:tcPr>
          <w:p>
            <w:pPr>
              <w:spacing w:line="360" w:lineRule="auto"/>
            </w:pPr>
          </w:p>
        </w:tc>
        <w:tc>
          <w:tcPr>
            <w:tcW w:w="1392"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专科</w:t>
            </w:r>
          </w:p>
        </w:tc>
        <w:tc>
          <w:tcPr>
            <w:tcW w:w="744" w:type="dxa"/>
            <w:tcBorders>
              <w:top w:val="single" w:color="auto" w:sz="4" w:space="0"/>
              <w:left w:val="single" w:color="auto" w:sz="4" w:space="0"/>
              <w:bottom w:val="single" w:color="auto" w:sz="4" w:space="0"/>
              <w:right w:val="single" w:color="auto" w:sz="4" w:space="0"/>
            </w:tcBorders>
            <w:vAlign w:val="center"/>
          </w:tcPr>
          <w:p>
            <w:pPr>
              <w:spacing w:line="360" w:lineRule="auto"/>
            </w:pPr>
          </w:p>
        </w:tc>
        <w:tc>
          <w:tcPr>
            <w:tcW w:w="648"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女</w:t>
            </w:r>
          </w:p>
        </w:tc>
        <w:tc>
          <w:tcPr>
            <w:tcW w:w="564"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eastAsiaTheme="minorEastAsia"/>
                <w:lang w:val="en-US" w:eastAsia="zh-CN"/>
              </w:rPr>
            </w:pPr>
            <w:r>
              <w:rPr>
                <w:rFonts w:hint="eastAsia"/>
                <w:lang w:val="en-US" w:eastAsia="zh-CN"/>
              </w:rPr>
              <w:t>28</w:t>
            </w:r>
          </w:p>
        </w:tc>
        <w:tc>
          <w:tcPr>
            <w:tcW w:w="2172" w:type="dxa"/>
            <w:tcBorders>
              <w:top w:val="single" w:color="auto" w:sz="4" w:space="0"/>
              <w:left w:val="single" w:color="auto" w:sz="4" w:space="0"/>
              <w:bottom w:val="single" w:color="auto" w:sz="4" w:space="0"/>
              <w:right w:val="single" w:color="auto" w:sz="4" w:space="0"/>
            </w:tcBorders>
          </w:tcPr>
          <w:p>
            <w:pPr>
              <w:spacing w:line="360" w:lineRule="auto"/>
            </w:pPr>
            <w:r>
              <w:rPr>
                <w:rFonts w:hint="eastAsia"/>
              </w:rPr>
              <w:t>技术支持</w:t>
            </w:r>
          </w:p>
        </w:tc>
        <w:tc>
          <w:tcPr>
            <w:tcW w:w="1800" w:type="dxa"/>
            <w:tcBorders>
              <w:top w:val="single" w:color="auto" w:sz="4" w:space="0"/>
              <w:left w:val="single" w:color="auto" w:sz="4" w:space="0"/>
              <w:bottom w:val="single" w:color="auto" w:sz="4" w:space="0"/>
              <w:right w:val="single" w:color="auto" w:sz="4" w:space="0"/>
            </w:tcBorders>
            <w:vAlign w:val="center"/>
          </w:tcPr>
          <w:p>
            <w:pPr>
              <w:spacing w:line="360" w:lineRule="auto"/>
            </w:pPr>
          </w:p>
        </w:tc>
      </w:tr>
      <w:bookmarkEnd w:id="509"/>
      <w:bookmarkEnd w:id="510"/>
    </w:tbl>
    <w:p>
      <w:pPr>
        <w:spacing w:line="360" w:lineRule="auto"/>
      </w:pPr>
      <w:bookmarkStart w:id="511" w:name="OLE_LINK163"/>
      <w:bookmarkStart w:id="512" w:name="OLE_LINK162"/>
    </w:p>
    <w:bookmarkEnd w:id="511"/>
    <w:bookmarkEnd w:id="512"/>
    <w:p>
      <w:pPr>
        <w:pStyle w:val="4"/>
        <w:numPr>
          <w:ilvl w:val="2"/>
          <w:numId w:val="3"/>
        </w:numPr>
        <w:spacing w:before="0" w:after="0" w:line="360" w:lineRule="auto"/>
        <w:ind w:left="0" w:leftChars="0" w:firstLine="402" w:firstLineChars="0"/>
      </w:pPr>
      <w:bookmarkStart w:id="513" w:name="_Toc10639"/>
      <w:r>
        <w:rPr>
          <w:rFonts w:hint="eastAsia"/>
        </w:rPr>
        <w:t>售后服务人员管理</w:t>
      </w:r>
      <w:bookmarkEnd w:id="513"/>
    </w:p>
    <w:p>
      <w:pPr>
        <w:spacing w:line="360" w:lineRule="auto"/>
        <w:ind w:firstLine="480" w:firstLineChars="200"/>
        <w:rPr>
          <w:sz w:val="24"/>
          <w:szCs w:val="24"/>
        </w:rPr>
      </w:pPr>
      <w:r>
        <w:rPr>
          <w:rFonts w:hint="eastAsia"/>
          <w:sz w:val="24"/>
          <w:szCs w:val="24"/>
        </w:rPr>
        <w:t>一、现场支持维护人员受投标方和招标方双重管理，招标方的意见将作为维护人员业绩考核的重要依据。</w:t>
      </w:r>
    </w:p>
    <w:p>
      <w:pPr>
        <w:spacing w:line="360" w:lineRule="auto"/>
        <w:ind w:firstLine="480" w:firstLineChars="200"/>
        <w:rPr>
          <w:sz w:val="24"/>
          <w:szCs w:val="24"/>
        </w:rPr>
      </w:pPr>
      <w:r>
        <w:rPr>
          <w:rFonts w:hint="eastAsia"/>
          <w:sz w:val="24"/>
          <w:szCs w:val="24"/>
        </w:rPr>
        <w:t>二、</w:t>
      </w:r>
      <w:r>
        <w:rPr>
          <w:rFonts w:hint="eastAsia"/>
          <w:sz w:val="24"/>
          <w:szCs w:val="24"/>
          <w:lang w:eastAsia="zh-CN"/>
        </w:rPr>
        <w:t>**信息</w:t>
      </w:r>
      <w:r>
        <w:rPr>
          <w:rFonts w:hint="eastAsia"/>
          <w:sz w:val="24"/>
          <w:szCs w:val="24"/>
        </w:rPr>
        <w:t>承诺维护人员相对固定，对于在维护期范围内的人员，将与其签订长于维护期合同的协议。</w:t>
      </w:r>
    </w:p>
    <w:p>
      <w:pPr>
        <w:spacing w:line="360" w:lineRule="auto"/>
        <w:ind w:firstLine="480" w:firstLineChars="200"/>
        <w:rPr>
          <w:sz w:val="24"/>
          <w:szCs w:val="24"/>
        </w:rPr>
      </w:pPr>
      <w:r>
        <w:rPr>
          <w:rFonts w:hint="eastAsia"/>
          <w:sz w:val="24"/>
          <w:szCs w:val="24"/>
        </w:rPr>
        <w:t>三、核心维护人员，由招标方评测和认定，达到招标方要求后才可上岗，并签订长于维护期的合同协议，保持人员固定。</w:t>
      </w:r>
    </w:p>
    <w:p>
      <w:pPr>
        <w:spacing w:line="360" w:lineRule="auto"/>
        <w:ind w:firstLine="480" w:firstLineChars="200"/>
        <w:rPr>
          <w:sz w:val="24"/>
          <w:szCs w:val="24"/>
        </w:rPr>
      </w:pPr>
      <w:r>
        <w:rPr>
          <w:rFonts w:hint="eastAsia"/>
          <w:sz w:val="24"/>
          <w:szCs w:val="24"/>
        </w:rPr>
        <w:t>四、对于现场服务人员的工作调整和人员变动，投标方将提前征得招标方同意。未征得招标方同意，投标方不得擅自对现场服务人员的工作和人员进行调整变动，否则招标方有权对投标方进行责任追究和赔偿；如果因为投标方的擅自调整，造成招标方的损失，由投标方承担相应的赔偿责任。</w:t>
      </w:r>
    </w:p>
    <w:p>
      <w:pPr>
        <w:spacing w:line="360" w:lineRule="auto"/>
        <w:ind w:firstLine="480" w:firstLineChars="200"/>
        <w:rPr>
          <w:sz w:val="24"/>
          <w:szCs w:val="24"/>
        </w:rPr>
      </w:pPr>
      <w:r>
        <w:rPr>
          <w:rFonts w:hint="eastAsia"/>
          <w:sz w:val="24"/>
          <w:szCs w:val="24"/>
        </w:rPr>
        <w:t>五、维护人员作息时间与招标方保持一致，紧急情况下，服从招标方的调遣。</w:t>
      </w:r>
    </w:p>
    <w:p>
      <w:pPr>
        <w:spacing w:line="360" w:lineRule="auto"/>
        <w:ind w:firstLine="480" w:firstLineChars="200"/>
        <w:rPr>
          <w:sz w:val="24"/>
          <w:szCs w:val="24"/>
        </w:rPr>
      </w:pPr>
      <w:r>
        <w:rPr>
          <w:rFonts w:hint="eastAsia"/>
          <w:sz w:val="24"/>
          <w:szCs w:val="24"/>
        </w:rPr>
        <w:t>六、维护人员工作能力和工作态度达不到维护工作要求的，招标方有权要求投标方更换，投标方保证及时更换相关人员。</w:t>
      </w:r>
    </w:p>
    <w:p>
      <w:pPr>
        <w:spacing w:line="360" w:lineRule="auto"/>
        <w:ind w:firstLine="480" w:firstLineChars="200"/>
        <w:rPr>
          <w:sz w:val="24"/>
          <w:szCs w:val="24"/>
        </w:rPr>
      </w:pPr>
      <w:r>
        <w:rPr>
          <w:rFonts w:hint="eastAsia"/>
          <w:sz w:val="24"/>
          <w:szCs w:val="24"/>
        </w:rPr>
        <w:t>七、所有现场维护人员按人按周向招标方提供个人工作周报，维护小组按月向招标方提供维护月度总结报告。</w:t>
      </w:r>
    </w:p>
    <w:p>
      <w:pPr>
        <w:spacing w:line="360" w:lineRule="auto"/>
        <w:ind w:firstLine="480" w:firstLineChars="200"/>
      </w:pPr>
      <w:r>
        <w:rPr>
          <w:rFonts w:hint="eastAsia"/>
          <w:sz w:val="24"/>
          <w:szCs w:val="24"/>
        </w:rPr>
        <w:t>八、</w:t>
      </w:r>
      <w:r>
        <w:rPr>
          <w:rFonts w:hint="eastAsia"/>
          <w:sz w:val="24"/>
          <w:szCs w:val="24"/>
          <w:lang w:eastAsia="zh-CN"/>
        </w:rPr>
        <w:t>**信息</w:t>
      </w:r>
      <w:r>
        <w:rPr>
          <w:rFonts w:hint="eastAsia"/>
          <w:sz w:val="24"/>
          <w:szCs w:val="24"/>
        </w:rPr>
        <w:t>对售后服务人员的管理、考评和服务质量的监督有完整的方案和章程，售后服务人员除遵循以上管理原则外，还需要遵守服务规范和服务流程。</w:t>
      </w:r>
    </w:p>
    <w:p>
      <w:pPr>
        <w:pStyle w:val="4"/>
        <w:numPr>
          <w:ilvl w:val="2"/>
          <w:numId w:val="3"/>
        </w:numPr>
        <w:spacing w:before="0" w:after="0" w:line="360" w:lineRule="auto"/>
        <w:ind w:left="0" w:leftChars="0" w:firstLine="402" w:firstLineChars="0"/>
      </w:pPr>
      <w:bookmarkStart w:id="514" w:name="_Toc5229"/>
      <w:r>
        <w:rPr>
          <w:rFonts w:hint="eastAsia"/>
        </w:rPr>
        <w:t>项目开发团队管理</w:t>
      </w:r>
      <w:bookmarkEnd w:id="514"/>
    </w:p>
    <w:p>
      <w:pPr>
        <w:spacing w:line="360" w:lineRule="auto"/>
        <w:ind w:firstLine="480" w:firstLineChars="200"/>
        <w:rPr>
          <w:sz w:val="24"/>
          <w:szCs w:val="24"/>
        </w:rPr>
      </w:pPr>
      <w:r>
        <w:rPr>
          <w:rFonts w:hint="eastAsia"/>
          <w:sz w:val="24"/>
          <w:szCs w:val="24"/>
        </w:rPr>
        <w:t>保持项目开发团队的稳定。以项目初验时的开发人员为基数，在售后服务阶段，开发团队人数应不低于原有基数，且90%以上的人员应保持稳定，每年团队人员更新不超过10%。</w:t>
      </w:r>
    </w:p>
    <w:p>
      <w:pPr>
        <w:pStyle w:val="3"/>
        <w:numPr>
          <w:ilvl w:val="1"/>
          <w:numId w:val="3"/>
        </w:numPr>
        <w:spacing w:before="0" w:after="0" w:line="360" w:lineRule="auto"/>
        <w:ind w:left="0" w:leftChars="0" w:firstLine="402" w:firstLineChars="0"/>
      </w:pPr>
      <w:bookmarkStart w:id="515" w:name="_Toc27057"/>
      <w:r>
        <w:rPr>
          <w:rFonts w:hint="eastAsia"/>
        </w:rPr>
        <w:t>服务时间</w:t>
      </w:r>
      <w:bookmarkEnd w:id="515"/>
    </w:p>
    <w:p>
      <w:pPr>
        <w:spacing w:line="360" w:lineRule="auto"/>
      </w:pPr>
      <w:r>
        <w:rPr>
          <w:rFonts w:hint="eastAsia"/>
          <w:sz w:val="24"/>
          <w:szCs w:val="24"/>
        </w:rPr>
        <w:t>提供7×24小时售后服务和技术支持响应。</w:t>
      </w:r>
    </w:p>
    <w:p>
      <w:pPr>
        <w:pStyle w:val="3"/>
        <w:numPr>
          <w:ilvl w:val="1"/>
          <w:numId w:val="3"/>
        </w:numPr>
        <w:spacing w:before="0" w:after="0" w:line="360" w:lineRule="auto"/>
        <w:ind w:left="0" w:leftChars="0" w:firstLine="402" w:firstLineChars="0"/>
      </w:pPr>
      <w:bookmarkStart w:id="516" w:name="_Toc9597"/>
      <w:r>
        <w:rPr>
          <w:rFonts w:hint="eastAsia"/>
        </w:rPr>
        <w:t>服务方式</w:t>
      </w:r>
      <w:bookmarkEnd w:id="516"/>
    </w:p>
    <w:p>
      <w:pPr>
        <w:pStyle w:val="4"/>
        <w:numPr>
          <w:ilvl w:val="2"/>
          <w:numId w:val="3"/>
        </w:numPr>
        <w:spacing w:before="0" w:after="0" w:line="360" w:lineRule="auto"/>
        <w:ind w:left="0" w:leftChars="0" w:firstLine="402" w:firstLineChars="0"/>
      </w:pPr>
      <w:bookmarkStart w:id="517" w:name="_Toc1988"/>
      <w:r>
        <w:rPr>
          <w:rFonts w:hint="eastAsia"/>
        </w:rPr>
        <w:t>热线服务</w:t>
      </w:r>
      <w:bookmarkEnd w:id="517"/>
    </w:p>
    <w:p>
      <w:pPr>
        <w:spacing w:line="360" w:lineRule="auto"/>
        <w:ind w:firstLine="480" w:firstLineChars="200"/>
        <w:rPr>
          <w:sz w:val="24"/>
          <w:szCs w:val="24"/>
        </w:rPr>
      </w:pPr>
      <w:r>
        <w:rPr>
          <w:rFonts w:hint="eastAsia"/>
          <w:sz w:val="24"/>
          <w:szCs w:val="24"/>
          <w:lang w:eastAsia="zh-CN"/>
        </w:rPr>
        <w:t>**信息</w:t>
      </w:r>
      <w:r>
        <w:rPr>
          <w:sz w:val="24"/>
          <w:szCs w:val="24"/>
        </w:rPr>
        <w:t>承诺在保修期内</w:t>
      </w:r>
      <w:r>
        <w:rPr>
          <w:rFonts w:hint="eastAsia"/>
          <w:sz w:val="24"/>
          <w:szCs w:val="24"/>
        </w:rPr>
        <w:t>，提供</w:t>
      </w:r>
      <w:r>
        <w:rPr>
          <w:sz w:val="24"/>
          <w:szCs w:val="24"/>
        </w:rPr>
        <w:t>免费电话</w:t>
      </w:r>
      <w:r>
        <w:rPr>
          <w:rFonts w:hint="eastAsia" w:ascii="宋体" w:hAnsi="宋体" w:eastAsia="宋体" w:cs="宋体"/>
          <w:sz w:val="24"/>
          <w:szCs w:val="24"/>
        </w:rPr>
        <w:t>400-600-9365</w:t>
      </w:r>
      <w:r>
        <w:rPr>
          <w:rFonts w:hint="eastAsia"/>
          <w:sz w:val="24"/>
          <w:szCs w:val="24"/>
        </w:rPr>
        <w:t>，</w:t>
      </w:r>
      <w:r>
        <w:rPr>
          <w:sz w:val="24"/>
          <w:szCs w:val="24"/>
        </w:rPr>
        <w:t>7×24小时免费电话支持服务，提供故障报修和技术支持服务，并保证对电话服务请求进行实时响应，电话服务请求的响应时间最长不超过</w:t>
      </w:r>
      <w:r>
        <w:rPr>
          <w:rFonts w:hint="eastAsia"/>
          <w:sz w:val="24"/>
          <w:szCs w:val="24"/>
        </w:rPr>
        <w:t>0.5</w:t>
      </w:r>
      <w:r>
        <w:rPr>
          <w:sz w:val="24"/>
          <w:szCs w:val="24"/>
        </w:rPr>
        <w:t>小时。此外，</w:t>
      </w:r>
      <w:r>
        <w:rPr>
          <w:rFonts w:hint="eastAsia"/>
          <w:sz w:val="24"/>
          <w:szCs w:val="24"/>
          <w:lang w:eastAsia="zh-CN"/>
        </w:rPr>
        <w:t>**信息</w:t>
      </w:r>
      <w:r>
        <w:rPr>
          <w:sz w:val="24"/>
          <w:szCs w:val="24"/>
        </w:rPr>
        <w:t>技术服务中心全部人员的手机24小时开机，并且开通呼叫转移和秘书台等服务，确保项目单位能够及时与技术支持人员取得联系</w:t>
      </w:r>
      <w:r>
        <w:rPr>
          <w:rFonts w:hint="eastAsia"/>
          <w:sz w:val="24"/>
          <w:szCs w:val="24"/>
        </w:rPr>
        <w:t>。</w:t>
      </w:r>
      <w:r>
        <w:rPr>
          <w:sz w:val="24"/>
          <w:szCs w:val="24"/>
        </w:rPr>
        <w:t>主责工程师手机要保证24小时服务。</w:t>
      </w:r>
    </w:p>
    <w:p>
      <w:pPr>
        <w:pStyle w:val="4"/>
        <w:numPr>
          <w:ilvl w:val="2"/>
          <w:numId w:val="3"/>
        </w:numPr>
        <w:spacing w:before="0" w:after="0" w:line="360" w:lineRule="auto"/>
        <w:ind w:left="0" w:leftChars="0" w:firstLine="402" w:firstLineChars="0"/>
      </w:pPr>
      <w:bookmarkStart w:id="518" w:name="_Toc1697"/>
      <w:r>
        <w:rPr>
          <w:rFonts w:hint="eastAsia"/>
        </w:rPr>
        <w:t>上门维护</w:t>
      </w:r>
      <w:bookmarkEnd w:id="518"/>
    </w:p>
    <w:p>
      <w:pPr>
        <w:spacing w:line="360" w:lineRule="auto"/>
        <w:ind w:firstLine="480" w:firstLineChars="200"/>
        <w:rPr>
          <w:sz w:val="24"/>
          <w:szCs w:val="24"/>
        </w:rPr>
      </w:pPr>
      <w:r>
        <w:rPr>
          <w:rFonts w:hint="eastAsia"/>
          <w:sz w:val="24"/>
          <w:szCs w:val="24"/>
          <w:lang w:val="en-US" w:eastAsia="zh-CN"/>
        </w:rPr>
        <w:t>**信息</w:t>
      </w:r>
      <w:r>
        <w:rPr>
          <w:rFonts w:hint="eastAsia"/>
          <w:sz w:val="24"/>
          <w:szCs w:val="24"/>
        </w:rPr>
        <w:t>承诺提供紧急事件的快速处理机制，当发生紧急事件时，应在4小时内派工程技术人员带备件到达现场处理问题。当一线工程师在4小时内无法诊断定位或解决问题，须提高服务响应级别。</w:t>
      </w:r>
    </w:p>
    <w:p>
      <w:pPr>
        <w:spacing w:line="360" w:lineRule="auto"/>
        <w:ind w:firstLine="480" w:firstLineChars="200"/>
      </w:pPr>
      <w:r>
        <w:rPr>
          <w:rFonts w:hint="eastAsia"/>
          <w:sz w:val="24"/>
          <w:szCs w:val="24"/>
        </w:rPr>
        <w:t>每次现场服务后须对未完全解决的问题进行跟踪，服务工程师须至少每周与用户工程师联系，跟踪问题，分析协商处理方案，直至问题完全解决。</w:t>
      </w:r>
    </w:p>
    <w:p>
      <w:pPr>
        <w:pStyle w:val="4"/>
        <w:numPr>
          <w:ilvl w:val="2"/>
          <w:numId w:val="3"/>
        </w:numPr>
        <w:spacing w:before="0" w:after="0" w:line="360" w:lineRule="auto"/>
        <w:ind w:left="0" w:leftChars="0" w:firstLine="402" w:firstLineChars="0"/>
      </w:pPr>
      <w:bookmarkStart w:id="519" w:name="_Toc9442"/>
      <w:r>
        <w:rPr>
          <w:rFonts w:hint="eastAsia"/>
        </w:rPr>
        <w:t>巡检服务</w:t>
      </w:r>
      <w:bookmarkEnd w:id="519"/>
    </w:p>
    <w:p>
      <w:pPr>
        <w:spacing w:line="360" w:lineRule="auto"/>
        <w:ind w:firstLine="480" w:firstLineChars="200"/>
        <w:rPr>
          <w:sz w:val="24"/>
          <w:szCs w:val="24"/>
        </w:rPr>
      </w:pPr>
      <w:r>
        <w:rPr>
          <w:rFonts w:hint="eastAsia"/>
          <w:sz w:val="24"/>
          <w:szCs w:val="24"/>
          <w:lang w:eastAsia="zh-CN"/>
        </w:rPr>
        <w:t>**信息</w:t>
      </w:r>
      <w:r>
        <w:rPr>
          <w:sz w:val="24"/>
          <w:szCs w:val="24"/>
        </w:rPr>
        <w:t>承诺在保修期内，对本项目有关的所有硬件和软件进行巡检。承诺每个季度向用户单位及招标方提交故障受理报告、故障分析报告和汇总情况。</w:t>
      </w:r>
    </w:p>
    <w:p>
      <w:pPr>
        <w:spacing w:line="360" w:lineRule="auto"/>
        <w:ind w:firstLine="480" w:firstLineChars="200"/>
        <w:rPr>
          <w:sz w:val="24"/>
          <w:szCs w:val="24"/>
        </w:rPr>
      </w:pPr>
      <w:r>
        <w:rPr>
          <w:sz w:val="24"/>
          <w:szCs w:val="24"/>
        </w:rPr>
        <w:t>在保修期结束前3个月内，</w:t>
      </w:r>
      <w:r>
        <w:rPr>
          <w:rFonts w:hint="eastAsia"/>
          <w:sz w:val="24"/>
          <w:szCs w:val="24"/>
          <w:lang w:eastAsia="zh-CN"/>
        </w:rPr>
        <w:t>**信息</w:t>
      </w:r>
      <w:r>
        <w:rPr>
          <w:sz w:val="24"/>
          <w:szCs w:val="24"/>
        </w:rPr>
        <w:t>将对本项目中的所有硬件设备进行最后一次全面免费上门巡检，并将用户签字盖章的验收报告作为项目最终验收报告内容之一。巡检服务包括但不限于除尘、清洁、调整、润滑、更换有隐患的零部件等预防性维护服务</w:t>
      </w:r>
    </w:p>
    <w:p>
      <w:pPr>
        <w:spacing w:line="360" w:lineRule="auto"/>
        <w:ind w:firstLine="480" w:firstLineChars="200"/>
      </w:pPr>
      <w:r>
        <w:rPr>
          <w:rFonts w:hint="eastAsia"/>
          <w:sz w:val="24"/>
          <w:szCs w:val="24"/>
        </w:rPr>
        <w:t>保修期内，</w:t>
      </w:r>
      <w:r>
        <w:rPr>
          <w:rFonts w:hint="eastAsia"/>
          <w:sz w:val="24"/>
          <w:szCs w:val="24"/>
          <w:lang w:eastAsia="zh-CN"/>
        </w:rPr>
        <w:t>**信息</w:t>
      </w:r>
      <w:r>
        <w:rPr>
          <w:rFonts w:hint="eastAsia"/>
          <w:sz w:val="24"/>
          <w:szCs w:val="24"/>
        </w:rPr>
        <w:t>承诺每季度1次根据用户要求对用户所购系统进行现场维护保养、咨询、性能诊断和调优，及时发现并解决问题，并提交相应健康检查报告或服务报告。巡检工作内容包括指导清洁、除尘，对各模块性能进行检查和调整，对隐患部件进行更换等，对设备使用状况进行统计。供应商在每次巡检结束后应向我行提供服务报告，服务报告应包括：设备安装系统与应用的运行状况，设备使用环境和操作问题汇总，使用保养方式和技术改进建议，设备故障范围和原因分类分析等内容，及当期现场服务情况。</w:t>
      </w:r>
    </w:p>
    <w:p>
      <w:pPr>
        <w:pStyle w:val="4"/>
        <w:numPr>
          <w:ilvl w:val="2"/>
          <w:numId w:val="3"/>
        </w:numPr>
        <w:spacing w:before="0" w:after="0" w:line="360" w:lineRule="auto"/>
        <w:ind w:left="0" w:leftChars="0" w:firstLine="402" w:firstLineChars="0"/>
      </w:pPr>
      <w:bookmarkStart w:id="520" w:name="_Toc5571"/>
      <w:r>
        <w:rPr>
          <w:rFonts w:hint="eastAsia"/>
        </w:rPr>
        <w:t>网络服务</w:t>
      </w:r>
      <w:bookmarkEnd w:id="520"/>
    </w:p>
    <w:p>
      <w:pPr>
        <w:spacing w:line="360" w:lineRule="auto"/>
        <w:ind w:firstLine="480" w:firstLineChars="200"/>
      </w:pPr>
      <w:r>
        <w:rPr>
          <w:rFonts w:hint="eastAsia"/>
          <w:sz w:val="24"/>
          <w:szCs w:val="24"/>
          <w:lang w:eastAsia="zh-CN"/>
        </w:rPr>
        <w:t>**信息</w:t>
      </w:r>
      <w:r>
        <w:rPr>
          <w:rFonts w:hint="eastAsia"/>
          <w:sz w:val="24"/>
          <w:szCs w:val="24"/>
        </w:rPr>
        <w:t>承诺在保修期内，提供网络咨询服务，解决用户由于部署架构的问题导致各地市无法与中心部署的增值税管理系统正常连接或正常运行的问题。</w:t>
      </w:r>
    </w:p>
    <w:p>
      <w:pPr>
        <w:pStyle w:val="3"/>
        <w:numPr>
          <w:ilvl w:val="1"/>
          <w:numId w:val="3"/>
        </w:numPr>
        <w:spacing w:before="0" w:after="0" w:line="360" w:lineRule="auto"/>
        <w:ind w:left="0" w:leftChars="0" w:firstLine="402" w:firstLineChars="0"/>
      </w:pPr>
      <w:bookmarkStart w:id="521" w:name="_Toc19363"/>
      <w:r>
        <w:rPr>
          <w:rFonts w:hint="eastAsia"/>
        </w:rPr>
        <w:t>服务等级和服务指标</w:t>
      </w:r>
      <w:bookmarkEnd w:id="521"/>
    </w:p>
    <w:tbl>
      <w:tblPr>
        <w:tblStyle w:val="34"/>
        <w:tblW w:w="10253"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1035"/>
        <w:gridCol w:w="3260"/>
        <w:gridCol w:w="1134"/>
        <w:gridCol w:w="1276"/>
        <w:gridCol w:w="354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405" w:hRule="atLeast"/>
          <w:tblHeader/>
          <w:jc w:val="center"/>
        </w:trPr>
        <w:tc>
          <w:tcPr>
            <w:tcW w:w="10253" w:type="dxa"/>
            <w:gridSpan w:val="5"/>
            <w:tcBorders>
              <w:bottom w:val="single" w:color="auto" w:sz="6" w:space="0"/>
            </w:tcBorders>
            <w:tcMar>
              <w:top w:w="13" w:type="dxa"/>
              <w:left w:w="13" w:type="dxa"/>
              <w:bottom w:w="0" w:type="dxa"/>
              <w:right w:w="13" w:type="dxa"/>
            </w:tcMar>
            <w:vAlign w:val="center"/>
          </w:tcPr>
          <w:p>
            <w:pPr>
              <w:spacing w:line="360" w:lineRule="auto"/>
            </w:pPr>
            <w:r>
              <w:rPr>
                <w:rFonts w:hint="eastAsia"/>
              </w:rPr>
              <w:t>服务等级与响应表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blHeader/>
          <w:jc w:val="center"/>
        </w:trPr>
        <w:tc>
          <w:tcPr>
            <w:tcW w:w="1035" w:type="dxa"/>
            <w:tcBorders>
              <w:top w:val="single" w:color="auto" w:sz="6" w:space="0"/>
              <w:bottom w:val="single" w:color="auto" w:sz="6" w:space="0"/>
            </w:tcBorders>
            <w:shd w:val="clear" w:color="auto" w:fill="E0E0E0"/>
            <w:tcMar>
              <w:top w:w="13" w:type="dxa"/>
              <w:left w:w="13" w:type="dxa"/>
              <w:bottom w:w="0" w:type="dxa"/>
              <w:right w:w="13" w:type="dxa"/>
            </w:tcMar>
            <w:vAlign w:val="center"/>
          </w:tcPr>
          <w:p>
            <w:pPr>
              <w:spacing w:line="360" w:lineRule="auto"/>
            </w:pPr>
            <w:r>
              <w:rPr>
                <w:rFonts w:hint="eastAsia"/>
              </w:rPr>
              <w:t>服务等级</w:t>
            </w:r>
          </w:p>
        </w:tc>
        <w:tc>
          <w:tcPr>
            <w:tcW w:w="3260" w:type="dxa"/>
            <w:tcBorders>
              <w:top w:val="single" w:color="auto" w:sz="6" w:space="0"/>
              <w:bottom w:val="single" w:color="auto" w:sz="6" w:space="0"/>
            </w:tcBorders>
            <w:shd w:val="clear" w:color="auto" w:fill="E0E0E0"/>
            <w:tcMar>
              <w:top w:w="13" w:type="dxa"/>
              <w:left w:w="13" w:type="dxa"/>
              <w:bottom w:w="0" w:type="dxa"/>
              <w:right w:w="13" w:type="dxa"/>
            </w:tcMar>
            <w:vAlign w:val="center"/>
          </w:tcPr>
          <w:p>
            <w:pPr>
              <w:spacing w:line="360" w:lineRule="auto"/>
            </w:pPr>
            <w:r>
              <w:rPr>
                <w:rFonts w:hint="eastAsia"/>
              </w:rPr>
              <w:t>故障说明</w:t>
            </w:r>
          </w:p>
        </w:tc>
        <w:tc>
          <w:tcPr>
            <w:tcW w:w="1134" w:type="dxa"/>
            <w:tcBorders>
              <w:top w:val="single" w:color="auto" w:sz="6" w:space="0"/>
              <w:bottom w:val="single" w:color="auto" w:sz="6" w:space="0"/>
            </w:tcBorders>
            <w:shd w:val="clear" w:color="auto" w:fill="E0E0E0"/>
            <w:tcMar>
              <w:top w:w="13" w:type="dxa"/>
              <w:left w:w="13" w:type="dxa"/>
              <w:bottom w:w="0" w:type="dxa"/>
              <w:right w:w="13" w:type="dxa"/>
            </w:tcMar>
            <w:vAlign w:val="center"/>
          </w:tcPr>
          <w:p>
            <w:pPr>
              <w:spacing w:line="360" w:lineRule="auto"/>
            </w:pPr>
            <w:r>
              <w:rPr>
                <w:rFonts w:hint="eastAsia"/>
              </w:rPr>
              <w:t>响应时间</w:t>
            </w:r>
          </w:p>
        </w:tc>
        <w:tc>
          <w:tcPr>
            <w:tcW w:w="1276" w:type="dxa"/>
            <w:tcBorders>
              <w:top w:val="single" w:color="auto" w:sz="6" w:space="0"/>
              <w:bottom w:val="single" w:color="auto" w:sz="6" w:space="0"/>
            </w:tcBorders>
            <w:shd w:val="clear" w:color="auto" w:fill="E0E0E0"/>
            <w:tcMar>
              <w:top w:w="13" w:type="dxa"/>
              <w:left w:w="13" w:type="dxa"/>
              <w:bottom w:w="0" w:type="dxa"/>
              <w:right w:w="13" w:type="dxa"/>
            </w:tcMar>
            <w:vAlign w:val="center"/>
          </w:tcPr>
          <w:p>
            <w:pPr>
              <w:spacing w:line="360" w:lineRule="auto"/>
            </w:pPr>
            <w:r>
              <w:rPr>
                <w:rFonts w:hint="eastAsia"/>
              </w:rPr>
              <w:t>修复时间</w:t>
            </w:r>
          </w:p>
        </w:tc>
        <w:tc>
          <w:tcPr>
            <w:tcW w:w="3548" w:type="dxa"/>
            <w:tcBorders>
              <w:top w:val="single" w:color="auto" w:sz="6" w:space="0"/>
              <w:bottom w:val="single" w:color="auto" w:sz="6" w:space="0"/>
            </w:tcBorders>
            <w:shd w:val="clear" w:color="auto" w:fill="E0E0E0"/>
            <w:tcMar>
              <w:top w:w="13" w:type="dxa"/>
              <w:left w:w="13" w:type="dxa"/>
              <w:bottom w:w="0" w:type="dxa"/>
              <w:right w:w="13" w:type="dxa"/>
            </w:tcMar>
            <w:vAlign w:val="center"/>
          </w:tcPr>
          <w:p>
            <w:pPr>
              <w:spacing w:line="360" w:lineRule="auto"/>
            </w:pPr>
            <w:r>
              <w:rPr>
                <w:rFonts w:hint="eastAsia"/>
              </w:rPr>
              <w:t>服务方式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jc w:val="center"/>
        </w:trPr>
        <w:tc>
          <w:tcPr>
            <w:tcW w:w="1035" w:type="dxa"/>
            <w:tcBorders>
              <w:top w:val="single" w:color="auto" w:sz="6" w:space="0"/>
            </w:tcBorders>
            <w:tcMar>
              <w:top w:w="13" w:type="dxa"/>
              <w:left w:w="13" w:type="dxa"/>
              <w:bottom w:w="0" w:type="dxa"/>
              <w:right w:w="13" w:type="dxa"/>
            </w:tcMar>
          </w:tcPr>
          <w:p>
            <w:pPr>
              <w:spacing w:line="360" w:lineRule="auto"/>
            </w:pPr>
            <w:r>
              <w:rPr>
                <w:rFonts w:hint="eastAsia"/>
              </w:rPr>
              <w:t>一级</w:t>
            </w:r>
          </w:p>
        </w:tc>
        <w:tc>
          <w:tcPr>
            <w:tcW w:w="3260" w:type="dxa"/>
            <w:tcBorders>
              <w:top w:val="single" w:color="auto" w:sz="6" w:space="0"/>
            </w:tcBorders>
            <w:tcMar>
              <w:top w:w="13" w:type="dxa"/>
              <w:left w:w="13" w:type="dxa"/>
              <w:bottom w:w="0" w:type="dxa"/>
              <w:right w:w="13" w:type="dxa"/>
            </w:tcMar>
          </w:tcPr>
          <w:p>
            <w:pPr>
              <w:spacing w:line="360" w:lineRule="auto"/>
            </w:pPr>
            <w:r>
              <w:rPr>
                <w:rFonts w:hint="eastAsia"/>
              </w:rPr>
              <w:t>当系统出现下列相当严重的现象时，属一级故障：</w:t>
            </w:r>
          </w:p>
          <w:p>
            <w:pPr>
              <w:spacing w:line="360" w:lineRule="auto"/>
            </w:pPr>
            <w:r>
              <w:rPr>
                <w:rFonts w:hint="eastAsia"/>
              </w:rPr>
              <w:t>系统整体瘫痪，全部操作失去响应；</w:t>
            </w:r>
          </w:p>
          <w:p>
            <w:pPr>
              <w:spacing w:line="360" w:lineRule="auto"/>
            </w:pPr>
            <w:r>
              <w:rPr>
                <w:rFonts w:hint="eastAsia"/>
              </w:rPr>
              <w:t>系统崩溃，关键硬件或文件系统损坏无法自动修复；</w:t>
            </w:r>
          </w:p>
          <w:p>
            <w:pPr>
              <w:spacing w:line="360" w:lineRule="auto"/>
            </w:pPr>
            <w:r>
              <w:rPr>
                <w:rFonts w:hint="eastAsia"/>
              </w:rPr>
              <w:t>发生间歇性、随机性、重复性的启动或应用退出，无法保障客户业务的正常处理。</w:t>
            </w:r>
          </w:p>
        </w:tc>
        <w:tc>
          <w:tcPr>
            <w:tcW w:w="1134" w:type="dxa"/>
            <w:tcBorders>
              <w:top w:val="single" w:color="auto" w:sz="6" w:space="0"/>
            </w:tcBorders>
            <w:tcMar>
              <w:top w:w="13" w:type="dxa"/>
              <w:left w:w="13" w:type="dxa"/>
              <w:bottom w:w="0" w:type="dxa"/>
              <w:right w:w="13" w:type="dxa"/>
            </w:tcMar>
          </w:tcPr>
          <w:p>
            <w:pPr>
              <w:spacing w:line="360" w:lineRule="auto"/>
            </w:pPr>
            <w:r>
              <w:rPr>
                <w:rFonts w:hint="eastAsia"/>
              </w:rPr>
              <w:t>≦3小时</w:t>
            </w:r>
          </w:p>
        </w:tc>
        <w:tc>
          <w:tcPr>
            <w:tcW w:w="1276" w:type="dxa"/>
            <w:tcBorders>
              <w:top w:val="single" w:color="auto" w:sz="6" w:space="0"/>
            </w:tcBorders>
            <w:tcMar>
              <w:top w:w="13" w:type="dxa"/>
              <w:left w:w="13" w:type="dxa"/>
              <w:bottom w:w="0" w:type="dxa"/>
              <w:right w:w="13" w:type="dxa"/>
            </w:tcMar>
          </w:tcPr>
          <w:p>
            <w:pPr>
              <w:spacing w:line="360" w:lineRule="auto"/>
            </w:pPr>
            <w:r>
              <w:rPr>
                <w:rFonts w:hint="eastAsia"/>
              </w:rPr>
              <w:t>≦1工作日</w:t>
            </w:r>
          </w:p>
        </w:tc>
        <w:tc>
          <w:tcPr>
            <w:tcW w:w="3548" w:type="dxa"/>
            <w:tcBorders>
              <w:top w:val="single" w:color="auto" w:sz="6" w:space="0"/>
            </w:tcBorders>
            <w:tcMar>
              <w:top w:w="13" w:type="dxa"/>
              <w:left w:w="13" w:type="dxa"/>
              <w:bottom w:w="0" w:type="dxa"/>
              <w:right w:w="13" w:type="dxa"/>
            </w:tcMar>
          </w:tcPr>
          <w:p>
            <w:pPr>
              <w:spacing w:line="360" w:lineRule="auto"/>
            </w:pPr>
            <w:r>
              <w:rPr>
                <w:rFonts w:hint="eastAsia"/>
              </w:rPr>
              <w:t>24小时产品技术支持（电话服务）</w:t>
            </w:r>
          </w:p>
          <w:p>
            <w:pPr>
              <w:spacing w:line="360" w:lineRule="auto"/>
            </w:pPr>
            <w:r>
              <w:rPr>
                <w:rFonts w:hint="eastAsia"/>
              </w:rPr>
              <w:t>远程在线技术服务</w:t>
            </w:r>
          </w:p>
          <w:p>
            <w:pPr>
              <w:spacing w:line="360" w:lineRule="auto"/>
            </w:pPr>
            <w:r>
              <w:rPr>
                <w:rFonts w:hint="eastAsia"/>
              </w:rPr>
              <w:t>现场技术服务</w:t>
            </w:r>
          </w:p>
          <w:p>
            <w:pPr>
              <w:spacing w:line="360" w:lineRule="auto"/>
            </w:pPr>
            <w:r>
              <w:rPr>
                <w:rFonts w:hint="eastAsia"/>
              </w:rPr>
              <w:t>硬件应急恢复</w:t>
            </w:r>
          </w:p>
          <w:p>
            <w:pPr>
              <w:spacing w:line="360" w:lineRule="auto"/>
            </w:pPr>
            <w:r>
              <w:rPr>
                <w:rFonts w:hint="eastAsia"/>
              </w:rPr>
              <w:t>单机在线恢复</w:t>
            </w:r>
          </w:p>
          <w:p>
            <w:pPr>
              <w:spacing w:line="360" w:lineRule="auto"/>
            </w:pPr>
            <w:r>
              <w:rPr>
                <w:rFonts w:hint="eastAsia"/>
              </w:rPr>
              <w:t>停机故障恢复</w:t>
            </w:r>
          </w:p>
          <w:p>
            <w:pPr>
              <w:spacing w:line="360" w:lineRule="auto"/>
            </w:pPr>
            <w:r>
              <w:rPr>
                <w:rFonts w:hint="eastAsia"/>
              </w:rPr>
              <w:t>产品保修和保外维修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jc w:val="center"/>
        </w:trPr>
        <w:tc>
          <w:tcPr>
            <w:tcW w:w="1035" w:type="dxa"/>
            <w:tcMar>
              <w:top w:w="13" w:type="dxa"/>
              <w:left w:w="13" w:type="dxa"/>
              <w:bottom w:w="0" w:type="dxa"/>
              <w:right w:w="13" w:type="dxa"/>
            </w:tcMar>
          </w:tcPr>
          <w:p>
            <w:pPr>
              <w:spacing w:line="360" w:lineRule="auto"/>
            </w:pPr>
            <w:r>
              <w:rPr>
                <w:rFonts w:hint="eastAsia"/>
              </w:rPr>
              <w:t>二级</w:t>
            </w:r>
          </w:p>
        </w:tc>
        <w:tc>
          <w:tcPr>
            <w:tcW w:w="3260" w:type="dxa"/>
            <w:tcMar>
              <w:top w:w="13" w:type="dxa"/>
              <w:left w:w="13" w:type="dxa"/>
              <w:bottom w:w="0" w:type="dxa"/>
              <w:right w:w="13" w:type="dxa"/>
            </w:tcMar>
          </w:tcPr>
          <w:p>
            <w:pPr>
              <w:spacing w:line="360" w:lineRule="auto"/>
            </w:pPr>
            <w:r>
              <w:rPr>
                <w:rFonts w:hint="eastAsia"/>
              </w:rPr>
              <w:t>当系统出现下列相当严重的现象时，属二级故障：</w:t>
            </w:r>
          </w:p>
          <w:p>
            <w:pPr>
              <w:spacing w:line="360" w:lineRule="auto"/>
            </w:pPr>
            <w:r>
              <w:rPr>
                <w:rFonts w:hint="eastAsia"/>
              </w:rPr>
              <w:t>关键部件（含软、硬件）停止工作，导致系统降低运行状态，客户业务受到严重影响；</w:t>
            </w:r>
          </w:p>
          <w:p>
            <w:pPr>
              <w:spacing w:line="360" w:lineRule="auto"/>
            </w:pPr>
            <w:r>
              <w:rPr>
                <w:rFonts w:hint="eastAsia"/>
              </w:rPr>
              <w:t>系统整体性能严重下降，无法自动恢复正常运行状态；</w:t>
            </w:r>
          </w:p>
          <w:p>
            <w:pPr>
              <w:spacing w:line="360" w:lineRule="auto"/>
            </w:pPr>
            <w:r>
              <w:rPr>
                <w:rFonts w:hint="eastAsia"/>
              </w:rPr>
              <w:t>重要数据、参数和配置信息损坏，无法恢复，导致客户数据及业务记录严重损失；</w:t>
            </w:r>
          </w:p>
        </w:tc>
        <w:tc>
          <w:tcPr>
            <w:tcW w:w="1134" w:type="dxa"/>
            <w:tcMar>
              <w:top w:w="13" w:type="dxa"/>
              <w:left w:w="13" w:type="dxa"/>
              <w:bottom w:w="0" w:type="dxa"/>
              <w:right w:w="13" w:type="dxa"/>
            </w:tcMar>
          </w:tcPr>
          <w:p>
            <w:pPr>
              <w:spacing w:line="360" w:lineRule="auto"/>
            </w:pPr>
            <w:r>
              <w:rPr>
                <w:rFonts w:hint="eastAsia"/>
              </w:rPr>
              <w:t>≦4小时</w:t>
            </w:r>
          </w:p>
        </w:tc>
        <w:tc>
          <w:tcPr>
            <w:tcW w:w="1276" w:type="dxa"/>
            <w:tcMar>
              <w:top w:w="13" w:type="dxa"/>
              <w:left w:w="13" w:type="dxa"/>
              <w:bottom w:w="0" w:type="dxa"/>
              <w:right w:w="13" w:type="dxa"/>
            </w:tcMar>
          </w:tcPr>
          <w:p>
            <w:pPr>
              <w:spacing w:line="360" w:lineRule="auto"/>
            </w:pPr>
            <w:r>
              <w:rPr>
                <w:rFonts w:hint="eastAsia"/>
              </w:rPr>
              <w:t>≦3工作日</w:t>
            </w:r>
          </w:p>
        </w:tc>
        <w:tc>
          <w:tcPr>
            <w:tcW w:w="3548" w:type="dxa"/>
            <w:tcMar>
              <w:top w:w="13" w:type="dxa"/>
              <w:left w:w="13" w:type="dxa"/>
              <w:bottom w:w="0" w:type="dxa"/>
              <w:right w:w="13" w:type="dxa"/>
            </w:tcMar>
          </w:tcPr>
          <w:p>
            <w:pPr>
              <w:spacing w:line="360" w:lineRule="auto"/>
            </w:pPr>
            <w:r>
              <w:rPr>
                <w:rFonts w:hint="eastAsia"/>
              </w:rPr>
              <w:t>24小时产品技术支持（电话服务）</w:t>
            </w:r>
          </w:p>
          <w:p>
            <w:pPr>
              <w:spacing w:line="360" w:lineRule="auto"/>
            </w:pPr>
            <w:r>
              <w:rPr>
                <w:rFonts w:hint="eastAsia"/>
              </w:rPr>
              <w:t>远程在线技术服务</w:t>
            </w:r>
          </w:p>
          <w:p>
            <w:pPr>
              <w:spacing w:line="360" w:lineRule="auto"/>
            </w:pPr>
            <w:r>
              <w:rPr>
                <w:rFonts w:hint="eastAsia"/>
              </w:rPr>
              <w:t>现场技术服务</w:t>
            </w:r>
          </w:p>
          <w:p>
            <w:pPr>
              <w:spacing w:line="360" w:lineRule="auto"/>
            </w:pPr>
            <w:r>
              <w:rPr>
                <w:rFonts w:hint="eastAsia"/>
              </w:rPr>
              <w:t>硬件应急恢复</w:t>
            </w:r>
          </w:p>
          <w:p>
            <w:pPr>
              <w:spacing w:line="360" w:lineRule="auto"/>
            </w:pPr>
            <w:r>
              <w:rPr>
                <w:rFonts w:hint="eastAsia"/>
              </w:rPr>
              <w:t>单机在线恢复</w:t>
            </w:r>
          </w:p>
          <w:p>
            <w:pPr>
              <w:spacing w:line="360" w:lineRule="auto"/>
            </w:pPr>
            <w:r>
              <w:rPr>
                <w:rFonts w:hint="eastAsia"/>
              </w:rPr>
              <w:t>产品保修和保外维修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jc w:val="center"/>
        </w:trPr>
        <w:tc>
          <w:tcPr>
            <w:tcW w:w="1035" w:type="dxa"/>
            <w:tcMar>
              <w:top w:w="13" w:type="dxa"/>
              <w:left w:w="13" w:type="dxa"/>
              <w:bottom w:w="0" w:type="dxa"/>
              <w:right w:w="13" w:type="dxa"/>
            </w:tcMar>
          </w:tcPr>
          <w:p>
            <w:pPr>
              <w:spacing w:line="360" w:lineRule="auto"/>
            </w:pPr>
            <w:r>
              <w:rPr>
                <w:rFonts w:hint="eastAsia"/>
              </w:rPr>
              <w:t>三级</w:t>
            </w:r>
          </w:p>
        </w:tc>
        <w:tc>
          <w:tcPr>
            <w:tcW w:w="3260" w:type="dxa"/>
            <w:tcMar>
              <w:top w:w="13" w:type="dxa"/>
              <w:left w:w="13" w:type="dxa"/>
              <w:bottom w:w="0" w:type="dxa"/>
              <w:right w:w="13" w:type="dxa"/>
            </w:tcMar>
          </w:tcPr>
          <w:p>
            <w:pPr>
              <w:spacing w:line="360" w:lineRule="auto"/>
            </w:pPr>
            <w:r>
              <w:rPr>
                <w:rFonts w:hint="eastAsia"/>
              </w:rPr>
              <w:t>当系统出现下列相当严重的现象时，属三级故障：</w:t>
            </w:r>
          </w:p>
          <w:p>
            <w:pPr>
              <w:spacing w:line="360" w:lineRule="auto"/>
            </w:pPr>
            <w:r>
              <w:rPr>
                <w:rFonts w:hint="eastAsia"/>
              </w:rPr>
              <w:t>部分设备或软件异常，局部功能受限，系统整体仍可正常工作，对客户业务影响不大或存在隐患；</w:t>
            </w:r>
          </w:p>
          <w:p>
            <w:pPr>
              <w:spacing w:line="360" w:lineRule="auto"/>
            </w:pPr>
            <w:r>
              <w:rPr>
                <w:rFonts w:hint="eastAsia"/>
              </w:rPr>
              <w:t>关键备用设备因故障离线，主用设施仍能正常工作；</w:t>
            </w:r>
          </w:p>
          <w:p>
            <w:pPr>
              <w:spacing w:line="360" w:lineRule="auto"/>
            </w:pPr>
            <w:r>
              <w:rPr>
                <w:rFonts w:hint="eastAsia"/>
              </w:rPr>
              <w:t>系统运行指标（例如：I/O效率、CPU效率）受到直接或间接影响，客户业务处理受限；</w:t>
            </w:r>
          </w:p>
        </w:tc>
        <w:tc>
          <w:tcPr>
            <w:tcW w:w="1134" w:type="dxa"/>
            <w:tcMar>
              <w:top w:w="13" w:type="dxa"/>
              <w:left w:w="13" w:type="dxa"/>
              <w:bottom w:w="0" w:type="dxa"/>
              <w:right w:w="13" w:type="dxa"/>
            </w:tcMar>
          </w:tcPr>
          <w:p>
            <w:pPr>
              <w:spacing w:line="360" w:lineRule="auto"/>
            </w:pPr>
            <w:r>
              <w:rPr>
                <w:rFonts w:hint="eastAsia"/>
              </w:rPr>
              <w:t>≦6小时</w:t>
            </w:r>
          </w:p>
        </w:tc>
        <w:tc>
          <w:tcPr>
            <w:tcW w:w="1276" w:type="dxa"/>
            <w:tcMar>
              <w:top w:w="13" w:type="dxa"/>
              <w:left w:w="13" w:type="dxa"/>
              <w:bottom w:w="0" w:type="dxa"/>
              <w:right w:w="13" w:type="dxa"/>
            </w:tcMar>
          </w:tcPr>
          <w:p>
            <w:pPr>
              <w:spacing w:line="360" w:lineRule="auto"/>
            </w:pPr>
            <w:r>
              <w:rPr>
                <w:rFonts w:hint="eastAsia"/>
              </w:rPr>
              <w:t>≦4工作日</w:t>
            </w:r>
          </w:p>
        </w:tc>
        <w:tc>
          <w:tcPr>
            <w:tcW w:w="3548" w:type="dxa"/>
            <w:tcMar>
              <w:top w:w="13" w:type="dxa"/>
              <w:left w:w="13" w:type="dxa"/>
              <w:bottom w:w="0" w:type="dxa"/>
              <w:right w:w="13" w:type="dxa"/>
            </w:tcMar>
          </w:tcPr>
          <w:p>
            <w:pPr>
              <w:spacing w:line="360" w:lineRule="auto"/>
            </w:pPr>
            <w:r>
              <w:rPr>
                <w:rFonts w:hint="eastAsia"/>
              </w:rPr>
              <w:t>24小时产品技术支持（电话服务）</w:t>
            </w:r>
          </w:p>
          <w:p>
            <w:pPr>
              <w:spacing w:line="360" w:lineRule="auto"/>
            </w:pPr>
            <w:r>
              <w:rPr>
                <w:rFonts w:hint="eastAsia"/>
              </w:rPr>
              <w:t>远程在线技术服务</w:t>
            </w:r>
          </w:p>
          <w:p>
            <w:pPr>
              <w:spacing w:line="360" w:lineRule="auto"/>
            </w:pPr>
            <w:r>
              <w:rPr>
                <w:rFonts w:hint="eastAsia"/>
              </w:rPr>
              <w:t>现场技术服务</w:t>
            </w:r>
          </w:p>
          <w:p>
            <w:pPr>
              <w:spacing w:line="360" w:lineRule="auto"/>
            </w:pPr>
            <w:r>
              <w:rPr>
                <w:rFonts w:hint="eastAsia"/>
              </w:rPr>
              <w:t>电子邮件技术支持</w:t>
            </w:r>
          </w:p>
          <w:p>
            <w:pPr>
              <w:spacing w:line="360" w:lineRule="auto"/>
            </w:pPr>
            <w:r>
              <w:rPr>
                <w:rFonts w:hint="eastAsia"/>
              </w:rPr>
              <w:t>产品保修和保外维修</w:t>
            </w:r>
          </w:p>
          <w:p>
            <w:pPr>
              <w:spacing w:line="360" w:lineRule="auto"/>
            </w:pPr>
            <w:r>
              <w:rPr>
                <w:rFonts w:hint="eastAsia"/>
              </w:rPr>
              <w:t>网站信息服务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jc w:val="center"/>
        </w:trPr>
        <w:tc>
          <w:tcPr>
            <w:tcW w:w="1035" w:type="dxa"/>
            <w:tcMar>
              <w:top w:w="13" w:type="dxa"/>
              <w:left w:w="13" w:type="dxa"/>
              <w:bottom w:w="0" w:type="dxa"/>
              <w:right w:w="13" w:type="dxa"/>
            </w:tcMar>
          </w:tcPr>
          <w:p>
            <w:pPr>
              <w:spacing w:line="360" w:lineRule="auto"/>
            </w:pPr>
            <w:r>
              <w:rPr>
                <w:rFonts w:hint="eastAsia"/>
              </w:rPr>
              <w:t>四级</w:t>
            </w:r>
          </w:p>
        </w:tc>
        <w:tc>
          <w:tcPr>
            <w:tcW w:w="3260" w:type="dxa"/>
            <w:tcMar>
              <w:top w:w="13" w:type="dxa"/>
              <w:left w:w="13" w:type="dxa"/>
              <w:bottom w:w="0" w:type="dxa"/>
              <w:right w:w="13" w:type="dxa"/>
            </w:tcMar>
          </w:tcPr>
          <w:p>
            <w:pPr>
              <w:spacing w:line="360" w:lineRule="auto"/>
            </w:pPr>
            <w:r>
              <w:rPr>
                <w:rFonts w:hint="eastAsia"/>
              </w:rPr>
              <w:t>当系统出现下列情况而不影响客户业务时，属四级故障：</w:t>
            </w:r>
          </w:p>
          <w:p>
            <w:pPr>
              <w:spacing w:line="360" w:lineRule="auto"/>
            </w:pPr>
            <w:r>
              <w:rPr>
                <w:rFonts w:hint="eastAsia"/>
              </w:rPr>
              <w:t>不在运行状态的线路、端口损坏；</w:t>
            </w:r>
          </w:p>
          <w:p>
            <w:pPr>
              <w:spacing w:line="360" w:lineRule="auto"/>
            </w:pPr>
            <w:r>
              <w:rPr>
                <w:rFonts w:hint="eastAsia"/>
              </w:rPr>
              <w:t>出于安全考虑并且是受保护的软件降级或应用重启；</w:t>
            </w:r>
          </w:p>
          <w:p>
            <w:pPr>
              <w:spacing w:line="360" w:lineRule="auto"/>
            </w:pPr>
            <w:r>
              <w:rPr>
                <w:rFonts w:hint="eastAsia"/>
              </w:rPr>
              <w:t>因存储空间不足导致的性能下降；</w:t>
            </w:r>
          </w:p>
          <w:p>
            <w:pPr>
              <w:spacing w:line="360" w:lineRule="auto"/>
            </w:pPr>
            <w:r>
              <w:rPr>
                <w:rFonts w:hint="eastAsia"/>
              </w:rPr>
              <w:t>系统硬件、软件产品功能、安装或配置方面的支援；</w:t>
            </w:r>
          </w:p>
        </w:tc>
        <w:tc>
          <w:tcPr>
            <w:tcW w:w="1134" w:type="dxa"/>
            <w:tcMar>
              <w:top w:w="13" w:type="dxa"/>
              <w:left w:w="13" w:type="dxa"/>
              <w:bottom w:w="0" w:type="dxa"/>
              <w:right w:w="13" w:type="dxa"/>
            </w:tcMar>
          </w:tcPr>
          <w:p>
            <w:pPr>
              <w:spacing w:line="360" w:lineRule="auto"/>
            </w:pPr>
            <w:r>
              <w:rPr>
                <w:rFonts w:hint="eastAsia"/>
              </w:rPr>
              <w:t>≦24小时</w:t>
            </w:r>
          </w:p>
        </w:tc>
        <w:tc>
          <w:tcPr>
            <w:tcW w:w="1276" w:type="dxa"/>
            <w:tcMar>
              <w:top w:w="13" w:type="dxa"/>
              <w:left w:w="13" w:type="dxa"/>
              <w:bottom w:w="0" w:type="dxa"/>
              <w:right w:w="13" w:type="dxa"/>
            </w:tcMar>
          </w:tcPr>
          <w:p>
            <w:pPr>
              <w:spacing w:line="360" w:lineRule="auto"/>
            </w:pPr>
            <w:r>
              <w:rPr>
                <w:rFonts w:hint="eastAsia"/>
              </w:rPr>
              <w:t>≦5工作日</w:t>
            </w:r>
          </w:p>
        </w:tc>
        <w:tc>
          <w:tcPr>
            <w:tcW w:w="3548" w:type="dxa"/>
            <w:tcMar>
              <w:top w:w="13" w:type="dxa"/>
              <w:left w:w="13" w:type="dxa"/>
              <w:bottom w:w="0" w:type="dxa"/>
              <w:right w:w="13" w:type="dxa"/>
            </w:tcMar>
          </w:tcPr>
          <w:p>
            <w:pPr>
              <w:spacing w:line="360" w:lineRule="auto"/>
            </w:pPr>
            <w:r>
              <w:rPr>
                <w:rFonts w:hint="eastAsia"/>
              </w:rPr>
              <w:t>5*8产品技术支持（电话服务）</w:t>
            </w:r>
          </w:p>
          <w:p>
            <w:pPr>
              <w:spacing w:line="360" w:lineRule="auto"/>
            </w:pPr>
            <w:r>
              <w:rPr>
                <w:rFonts w:hint="eastAsia"/>
              </w:rPr>
              <w:t>电子邮件技术支持</w:t>
            </w:r>
          </w:p>
          <w:p>
            <w:pPr>
              <w:spacing w:line="360" w:lineRule="auto"/>
            </w:pPr>
            <w:r>
              <w:rPr>
                <w:rFonts w:hint="eastAsia"/>
              </w:rPr>
              <w:t>现场技术服务</w:t>
            </w:r>
          </w:p>
          <w:p>
            <w:pPr>
              <w:spacing w:line="360" w:lineRule="auto"/>
            </w:pPr>
            <w:r>
              <w:rPr>
                <w:rFonts w:hint="eastAsia"/>
              </w:rPr>
              <w:t>产品保修和保外维修</w:t>
            </w:r>
          </w:p>
          <w:p>
            <w:pPr>
              <w:spacing w:line="360" w:lineRule="auto"/>
            </w:pPr>
            <w:r>
              <w:rPr>
                <w:rFonts w:hint="eastAsia"/>
              </w:rPr>
              <w:t>网站信息服务</w:t>
            </w:r>
          </w:p>
        </w:tc>
      </w:tr>
    </w:tbl>
    <w:p>
      <w:pPr>
        <w:spacing w:line="360" w:lineRule="auto"/>
      </w:pPr>
    </w:p>
    <w:p>
      <w:pPr>
        <w:pStyle w:val="3"/>
        <w:numPr>
          <w:ilvl w:val="1"/>
          <w:numId w:val="3"/>
        </w:numPr>
        <w:spacing w:before="0" w:after="0" w:line="360" w:lineRule="auto"/>
        <w:ind w:left="0" w:leftChars="0" w:firstLine="402" w:firstLineChars="0"/>
      </w:pPr>
      <w:bookmarkStart w:id="522" w:name="_Toc3623"/>
      <w:r>
        <w:rPr>
          <w:rFonts w:hint="eastAsia"/>
        </w:rPr>
        <w:t>服务监督方案</w:t>
      </w:r>
      <w:bookmarkEnd w:id="522"/>
    </w:p>
    <w:p>
      <w:pPr>
        <w:pStyle w:val="4"/>
        <w:numPr>
          <w:ilvl w:val="2"/>
          <w:numId w:val="3"/>
        </w:numPr>
        <w:spacing w:before="0" w:after="0" w:line="360" w:lineRule="auto"/>
        <w:ind w:left="0" w:leftChars="0" w:firstLine="402" w:firstLineChars="0"/>
      </w:pPr>
      <w:bookmarkStart w:id="523" w:name="_Toc24861"/>
      <w:r>
        <w:t>投诉处理</w:t>
      </w:r>
      <w:bookmarkEnd w:id="523"/>
    </w:p>
    <w:p>
      <w:pPr>
        <w:spacing w:line="360" w:lineRule="auto"/>
        <w:ind w:firstLine="480" w:firstLineChars="200"/>
        <w:rPr>
          <w:sz w:val="24"/>
          <w:szCs w:val="24"/>
        </w:rPr>
      </w:pPr>
      <w:r>
        <w:rPr>
          <w:sz w:val="24"/>
          <w:szCs w:val="24"/>
        </w:rPr>
        <w:t>投诉方式：电话、现场、信函及网络等。</w:t>
      </w:r>
    </w:p>
    <w:p>
      <w:pPr>
        <w:spacing w:line="360" w:lineRule="auto"/>
        <w:ind w:firstLine="480" w:firstLineChars="200"/>
        <w:rPr>
          <w:sz w:val="24"/>
          <w:szCs w:val="24"/>
        </w:rPr>
      </w:pPr>
      <w:r>
        <w:rPr>
          <w:sz w:val="24"/>
          <w:szCs w:val="24"/>
        </w:rPr>
        <w:t>有效投诉的标准：违反国家法律法规、相关政策等规定，违反公司规范要求和相关文件规定。</w:t>
      </w:r>
    </w:p>
    <w:p>
      <w:pPr>
        <w:spacing w:line="360" w:lineRule="auto"/>
        <w:ind w:firstLine="480" w:firstLineChars="200"/>
        <w:rPr>
          <w:sz w:val="24"/>
          <w:szCs w:val="24"/>
        </w:rPr>
      </w:pPr>
      <w:r>
        <w:rPr>
          <w:sz w:val="24"/>
          <w:szCs w:val="24"/>
        </w:rPr>
        <w:t>投诉处理时效要求：投诉处理不超过2个工作日。</w:t>
      </w:r>
    </w:p>
    <w:p>
      <w:pPr>
        <w:spacing w:line="360" w:lineRule="auto"/>
        <w:ind w:firstLine="480" w:firstLineChars="200"/>
        <w:rPr>
          <w:sz w:val="24"/>
          <w:szCs w:val="24"/>
        </w:rPr>
      </w:pPr>
      <w:r>
        <w:rPr>
          <w:sz w:val="24"/>
          <w:szCs w:val="24"/>
        </w:rPr>
        <w:t>投诉处理</w:t>
      </w:r>
      <w:r>
        <w:rPr>
          <w:rFonts w:hint="eastAsia"/>
          <w:sz w:val="24"/>
          <w:szCs w:val="24"/>
        </w:rPr>
        <w:t>内容：指服务监督员依据核实内容判定投诉是否有效，并给出处理意见。</w:t>
      </w:r>
    </w:p>
    <w:p>
      <w:pPr>
        <w:spacing w:line="360" w:lineRule="auto"/>
        <w:ind w:firstLine="480" w:firstLineChars="200"/>
        <w:rPr>
          <w:sz w:val="24"/>
          <w:szCs w:val="24"/>
        </w:rPr>
      </w:pPr>
      <w:r>
        <w:rPr>
          <w:sz w:val="24"/>
          <w:szCs w:val="24"/>
        </w:rPr>
        <w:t>无效投诉处理</w:t>
      </w:r>
      <w:r>
        <w:rPr>
          <w:rFonts w:hint="eastAsia"/>
          <w:sz w:val="24"/>
          <w:szCs w:val="24"/>
        </w:rPr>
        <w:t>：</w:t>
      </w:r>
      <w:r>
        <w:rPr>
          <w:sz w:val="24"/>
          <w:szCs w:val="24"/>
        </w:rPr>
        <w:t>服务监督</w:t>
      </w:r>
      <w:r>
        <w:rPr>
          <w:rFonts w:hint="eastAsia"/>
          <w:sz w:val="24"/>
          <w:szCs w:val="24"/>
        </w:rPr>
        <w:t>员</w:t>
      </w:r>
      <w:r>
        <w:rPr>
          <w:sz w:val="24"/>
          <w:szCs w:val="24"/>
        </w:rPr>
        <w:t>处理无效投诉时，应耐心向顾客做好解释工作，消除顾客抱怨，使顾客满意，并及时填写《顾客投诉记录表》。</w:t>
      </w:r>
    </w:p>
    <w:p>
      <w:pPr>
        <w:spacing w:line="360" w:lineRule="auto"/>
        <w:ind w:firstLine="480" w:firstLineChars="200"/>
        <w:rPr>
          <w:sz w:val="24"/>
          <w:szCs w:val="24"/>
        </w:rPr>
      </w:pPr>
      <w:r>
        <w:rPr>
          <w:sz w:val="24"/>
          <w:szCs w:val="24"/>
        </w:rPr>
        <w:t>有效投诉处理</w:t>
      </w:r>
      <w:r>
        <w:rPr>
          <w:rFonts w:hint="eastAsia"/>
          <w:sz w:val="24"/>
          <w:szCs w:val="24"/>
        </w:rPr>
        <w:t>，</w:t>
      </w:r>
      <w:r>
        <w:rPr>
          <w:sz w:val="24"/>
          <w:szCs w:val="24"/>
        </w:rPr>
        <w:t>应做到以下几点：</w:t>
      </w:r>
    </w:p>
    <w:p>
      <w:pPr>
        <w:spacing w:line="360" w:lineRule="auto"/>
        <w:ind w:firstLine="480" w:firstLineChars="200"/>
        <w:rPr>
          <w:sz w:val="24"/>
          <w:szCs w:val="24"/>
        </w:rPr>
      </w:pPr>
      <w:r>
        <w:rPr>
          <w:sz w:val="24"/>
          <w:szCs w:val="24"/>
        </w:rPr>
        <w:t>相关责任部门应在第一时间向顾客致歉，争取顾客的谅解</w:t>
      </w:r>
      <w:r>
        <w:rPr>
          <w:rFonts w:hint="eastAsia"/>
          <w:sz w:val="24"/>
          <w:szCs w:val="24"/>
        </w:rPr>
        <w:t>。</w:t>
      </w:r>
    </w:p>
    <w:p>
      <w:pPr>
        <w:spacing w:line="360" w:lineRule="auto"/>
        <w:ind w:firstLine="480" w:firstLineChars="200"/>
        <w:rPr>
          <w:sz w:val="24"/>
          <w:szCs w:val="24"/>
        </w:rPr>
      </w:pPr>
      <w:r>
        <w:rPr>
          <w:sz w:val="24"/>
          <w:szCs w:val="24"/>
        </w:rPr>
        <w:t>根据顾客要求与公司相关规定确定合理的解决方案，并及时解决问题</w:t>
      </w:r>
      <w:r>
        <w:rPr>
          <w:rFonts w:hint="eastAsia"/>
          <w:sz w:val="24"/>
          <w:szCs w:val="24"/>
        </w:rPr>
        <w:t>。</w:t>
      </w:r>
    </w:p>
    <w:p>
      <w:pPr>
        <w:spacing w:line="360" w:lineRule="auto"/>
        <w:ind w:firstLine="480" w:firstLineChars="200"/>
        <w:rPr>
          <w:sz w:val="24"/>
          <w:szCs w:val="24"/>
        </w:rPr>
      </w:pPr>
      <w:r>
        <w:rPr>
          <w:sz w:val="24"/>
          <w:szCs w:val="24"/>
        </w:rPr>
        <w:t>投诉问题解决后，应对相关责任人进行处理</w:t>
      </w:r>
      <w:r>
        <w:rPr>
          <w:rFonts w:hint="eastAsia"/>
          <w:sz w:val="24"/>
          <w:szCs w:val="24"/>
        </w:rPr>
        <w:t>。</w:t>
      </w:r>
    </w:p>
    <w:p>
      <w:pPr>
        <w:spacing w:line="360" w:lineRule="auto"/>
        <w:ind w:firstLine="480" w:firstLineChars="200"/>
        <w:rPr>
          <w:sz w:val="24"/>
          <w:szCs w:val="24"/>
        </w:rPr>
      </w:pPr>
      <w:r>
        <w:rPr>
          <w:sz w:val="24"/>
          <w:szCs w:val="24"/>
        </w:rPr>
        <w:t>对顾客进行电话或上门回访，确保顾客满意</w:t>
      </w:r>
      <w:r>
        <w:rPr>
          <w:rFonts w:hint="eastAsia"/>
          <w:sz w:val="24"/>
          <w:szCs w:val="24"/>
        </w:rPr>
        <w:t>。</w:t>
      </w:r>
    </w:p>
    <w:p>
      <w:pPr>
        <w:spacing w:line="360" w:lineRule="auto"/>
        <w:ind w:firstLine="480" w:firstLineChars="200"/>
        <w:rPr>
          <w:sz w:val="24"/>
          <w:szCs w:val="24"/>
        </w:rPr>
      </w:pPr>
      <w:r>
        <w:rPr>
          <w:sz w:val="24"/>
          <w:szCs w:val="24"/>
        </w:rPr>
        <w:t>在有效投诉处理过程中，认真填写《顾客投诉记录表》。</w:t>
      </w:r>
    </w:p>
    <w:p>
      <w:pPr>
        <w:spacing w:line="360" w:lineRule="auto"/>
        <w:ind w:firstLine="480" w:firstLineChars="200"/>
        <w:rPr>
          <w:sz w:val="24"/>
          <w:szCs w:val="24"/>
        </w:rPr>
      </w:pPr>
      <w:r>
        <w:rPr>
          <w:sz w:val="24"/>
          <w:szCs w:val="24"/>
        </w:rPr>
        <w:t>纠正</w:t>
      </w:r>
    </w:p>
    <w:p>
      <w:pPr>
        <w:spacing w:line="360" w:lineRule="auto"/>
        <w:ind w:firstLine="480" w:firstLineChars="200"/>
        <w:rPr>
          <w:sz w:val="24"/>
          <w:szCs w:val="24"/>
        </w:rPr>
      </w:pPr>
      <w:r>
        <w:rPr>
          <w:sz w:val="24"/>
          <w:szCs w:val="24"/>
        </w:rPr>
        <w:t>相关责任部门应根据投诉情况制定纠正措施并实施</w:t>
      </w:r>
      <w:r>
        <w:rPr>
          <w:rFonts w:hint="eastAsia"/>
          <w:sz w:val="24"/>
          <w:szCs w:val="24"/>
        </w:rPr>
        <w:t>。</w:t>
      </w:r>
    </w:p>
    <w:p>
      <w:pPr>
        <w:spacing w:line="360" w:lineRule="auto"/>
        <w:ind w:firstLine="480" w:firstLineChars="200"/>
        <w:rPr>
          <w:sz w:val="24"/>
          <w:szCs w:val="24"/>
        </w:rPr>
      </w:pPr>
      <w:r>
        <w:rPr>
          <w:sz w:val="24"/>
          <w:szCs w:val="24"/>
        </w:rPr>
        <w:t>服务监督部门监督纠正措施的实施并验证其结果</w:t>
      </w:r>
      <w:r>
        <w:rPr>
          <w:rFonts w:hint="eastAsia"/>
          <w:sz w:val="24"/>
          <w:szCs w:val="24"/>
        </w:rPr>
        <w:t>。</w:t>
      </w:r>
    </w:p>
    <w:p>
      <w:pPr>
        <w:spacing w:line="360" w:lineRule="auto"/>
        <w:ind w:firstLine="480" w:firstLineChars="200"/>
      </w:pPr>
      <w:r>
        <w:rPr>
          <w:sz w:val="24"/>
          <w:szCs w:val="24"/>
        </w:rPr>
        <w:t>服务监督部门应阶段性地分析投诉原因，形成分析报告，在内部进行通报。</w:t>
      </w:r>
    </w:p>
    <w:p>
      <w:pPr>
        <w:pStyle w:val="4"/>
        <w:numPr>
          <w:ilvl w:val="2"/>
          <w:numId w:val="3"/>
        </w:numPr>
        <w:spacing w:before="0" w:after="0" w:line="360" w:lineRule="auto"/>
        <w:ind w:left="0" w:leftChars="0" w:firstLine="402" w:firstLineChars="0"/>
      </w:pPr>
      <w:bookmarkStart w:id="524" w:name="_Toc1000"/>
      <w:r>
        <w:t>服务监督</w:t>
      </w:r>
      <w:bookmarkEnd w:id="524"/>
    </w:p>
    <w:p>
      <w:pPr>
        <w:spacing w:line="360" w:lineRule="auto"/>
        <w:ind w:firstLine="480" w:firstLineChars="200"/>
        <w:rPr>
          <w:sz w:val="24"/>
          <w:szCs w:val="24"/>
        </w:rPr>
      </w:pPr>
      <w:r>
        <w:rPr>
          <w:sz w:val="24"/>
          <w:szCs w:val="24"/>
        </w:rPr>
        <w:t>制定计划</w:t>
      </w:r>
    </w:p>
    <w:p>
      <w:pPr>
        <w:spacing w:line="360" w:lineRule="auto"/>
        <w:ind w:firstLine="480" w:firstLineChars="200"/>
        <w:rPr>
          <w:sz w:val="24"/>
          <w:szCs w:val="24"/>
        </w:rPr>
      </w:pPr>
      <w:r>
        <w:rPr>
          <w:sz w:val="24"/>
          <w:szCs w:val="24"/>
        </w:rPr>
        <w:t>服务监督部门制定年度服务监督计划。</w:t>
      </w:r>
    </w:p>
    <w:p>
      <w:pPr>
        <w:spacing w:line="360" w:lineRule="auto"/>
        <w:ind w:firstLine="480" w:firstLineChars="200"/>
        <w:rPr>
          <w:sz w:val="24"/>
          <w:szCs w:val="24"/>
        </w:rPr>
      </w:pPr>
      <w:r>
        <w:rPr>
          <w:sz w:val="24"/>
          <w:szCs w:val="24"/>
        </w:rPr>
        <w:t>服务监督范围</w:t>
      </w:r>
    </w:p>
    <w:p>
      <w:pPr>
        <w:spacing w:line="360" w:lineRule="auto"/>
        <w:ind w:firstLine="480" w:firstLineChars="200"/>
      </w:pPr>
      <w:r>
        <w:rPr>
          <w:sz w:val="24"/>
          <w:szCs w:val="24"/>
        </w:rPr>
        <w:t>服务监督范围包括培训、热线、送修、上门和网络等服务。</w:t>
      </w:r>
    </w:p>
    <w:tbl>
      <w:tblPr>
        <w:tblStyle w:val="34"/>
        <w:tblpPr w:leftFromText="180" w:rightFromText="180" w:vertAnchor="text" w:tblpXSpec="center" w:tblpY="76"/>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6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8" w:hRule="atLeast"/>
        </w:trPr>
        <w:tc>
          <w:tcPr>
            <w:tcW w:w="1460" w:type="dxa"/>
            <w:shd w:val="clear" w:color="auto" w:fill="EEECE1"/>
            <w:vAlign w:val="bottom"/>
          </w:tcPr>
          <w:p>
            <w:pPr>
              <w:spacing w:line="360" w:lineRule="auto"/>
            </w:pPr>
            <w:r>
              <w:t>服务类别</w:t>
            </w:r>
          </w:p>
        </w:tc>
        <w:tc>
          <w:tcPr>
            <w:tcW w:w="6842" w:type="dxa"/>
            <w:shd w:val="clear" w:color="auto" w:fill="EEECE1"/>
            <w:vAlign w:val="bottom"/>
          </w:tcPr>
          <w:p>
            <w:pPr>
              <w:spacing w:line="360" w:lineRule="auto"/>
            </w:pPr>
            <w:r>
              <w:t>监督内容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8" w:hRule="atLeast"/>
        </w:trPr>
        <w:tc>
          <w:tcPr>
            <w:tcW w:w="1460" w:type="dxa"/>
            <w:vAlign w:val="center"/>
          </w:tcPr>
          <w:p>
            <w:pPr>
              <w:spacing w:line="360" w:lineRule="auto"/>
            </w:pPr>
            <w:r>
              <w:t>培训</w:t>
            </w:r>
          </w:p>
        </w:tc>
        <w:tc>
          <w:tcPr>
            <w:tcW w:w="6842" w:type="dxa"/>
            <w:vAlign w:val="bottom"/>
          </w:tcPr>
          <w:p>
            <w:pPr>
              <w:spacing w:line="360" w:lineRule="auto"/>
            </w:pPr>
            <w:r>
              <w:t>课程安排、授课形式、培训教材、授课资料、培训教师授课水平、教室安排、上机安排、禁忌行为等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1460" w:type="dxa"/>
            <w:vAlign w:val="center"/>
          </w:tcPr>
          <w:p>
            <w:pPr>
              <w:spacing w:line="360" w:lineRule="auto"/>
            </w:pPr>
            <w:r>
              <w:t>热线</w:t>
            </w:r>
          </w:p>
        </w:tc>
        <w:tc>
          <w:tcPr>
            <w:tcW w:w="6842" w:type="dxa"/>
            <w:vAlign w:val="center"/>
          </w:tcPr>
          <w:p>
            <w:pPr>
              <w:spacing w:line="360" w:lineRule="auto"/>
            </w:pPr>
            <w:r>
              <w:t>热线态度、技术解答能力、用语规范、禁忌行为等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trPr>
        <w:tc>
          <w:tcPr>
            <w:tcW w:w="1460" w:type="dxa"/>
            <w:vAlign w:val="center"/>
          </w:tcPr>
          <w:p>
            <w:pPr>
              <w:spacing w:line="360" w:lineRule="auto"/>
            </w:pPr>
            <w:r>
              <w:t>网络</w:t>
            </w:r>
          </w:p>
        </w:tc>
        <w:tc>
          <w:tcPr>
            <w:tcW w:w="6842" w:type="dxa"/>
            <w:vAlign w:val="center"/>
          </w:tcPr>
          <w:p>
            <w:pPr>
              <w:spacing w:line="360" w:lineRule="auto"/>
            </w:pPr>
            <w:r>
              <w:t>解答质量、解答及时性、禁忌行为等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trPr>
        <w:tc>
          <w:tcPr>
            <w:tcW w:w="1460" w:type="dxa"/>
            <w:vAlign w:val="center"/>
          </w:tcPr>
          <w:p>
            <w:pPr>
              <w:spacing w:line="360" w:lineRule="auto"/>
            </w:pPr>
            <w:r>
              <w:t>送修和上门</w:t>
            </w:r>
          </w:p>
        </w:tc>
        <w:tc>
          <w:tcPr>
            <w:tcW w:w="6842" w:type="dxa"/>
            <w:vAlign w:val="center"/>
          </w:tcPr>
          <w:p>
            <w:pPr>
              <w:spacing w:line="360" w:lineRule="auto"/>
            </w:pPr>
            <w:r>
              <w:t>服务礼仪，禁忌行为，服务态度，技术水平，服务及时性等</w:t>
            </w:r>
          </w:p>
        </w:tc>
      </w:tr>
    </w:tbl>
    <w:p>
      <w:pPr>
        <w:spacing w:line="360" w:lineRule="auto"/>
        <w:ind w:firstLine="480" w:firstLineChars="200"/>
        <w:rPr>
          <w:sz w:val="24"/>
          <w:szCs w:val="24"/>
        </w:rPr>
      </w:pPr>
      <w:r>
        <w:rPr>
          <w:sz w:val="24"/>
          <w:szCs w:val="24"/>
        </w:rPr>
        <w:t>服务监督形式</w:t>
      </w:r>
    </w:p>
    <w:p>
      <w:pPr>
        <w:spacing w:line="360" w:lineRule="auto"/>
        <w:ind w:firstLine="480" w:firstLineChars="200"/>
        <w:rPr>
          <w:sz w:val="24"/>
          <w:szCs w:val="24"/>
        </w:rPr>
      </w:pPr>
      <w:r>
        <w:rPr>
          <w:sz w:val="24"/>
          <w:szCs w:val="24"/>
        </w:rPr>
        <w:t>培训服务监督形式</w:t>
      </w:r>
    </w:p>
    <w:p>
      <w:pPr>
        <w:spacing w:line="360" w:lineRule="auto"/>
        <w:ind w:firstLine="480" w:firstLineChars="200"/>
        <w:rPr>
          <w:sz w:val="24"/>
          <w:szCs w:val="24"/>
        </w:rPr>
      </w:pPr>
      <w:r>
        <w:rPr>
          <w:sz w:val="24"/>
          <w:szCs w:val="24"/>
        </w:rPr>
        <w:t>抽查培训质量</w:t>
      </w:r>
    </w:p>
    <w:p>
      <w:pPr>
        <w:spacing w:line="360" w:lineRule="auto"/>
        <w:ind w:firstLine="480" w:firstLineChars="200"/>
        <w:rPr>
          <w:sz w:val="24"/>
          <w:szCs w:val="24"/>
        </w:rPr>
      </w:pPr>
      <w:r>
        <w:rPr>
          <w:sz w:val="24"/>
          <w:szCs w:val="24"/>
        </w:rPr>
        <w:t>服务监督部门依据培训服务监督计划对培训的过程进行抽查，要求半年内覆盖到各项培训工作，并做好培训抽查记录。</w:t>
      </w:r>
    </w:p>
    <w:p>
      <w:pPr>
        <w:spacing w:line="360" w:lineRule="auto"/>
        <w:ind w:firstLine="480" w:firstLineChars="200"/>
        <w:rPr>
          <w:sz w:val="24"/>
          <w:szCs w:val="24"/>
        </w:rPr>
      </w:pPr>
      <w:r>
        <w:rPr>
          <w:sz w:val="24"/>
          <w:szCs w:val="24"/>
        </w:rPr>
        <w:t>调查顾客对培训评价</w:t>
      </w:r>
    </w:p>
    <w:p>
      <w:pPr>
        <w:spacing w:line="360" w:lineRule="auto"/>
        <w:ind w:firstLine="480" w:firstLineChars="200"/>
        <w:rPr>
          <w:sz w:val="24"/>
          <w:szCs w:val="24"/>
        </w:rPr>
      </w:pPr>
      <w:r>
        <w:rPr>
          <w:sz w:val="24"/>
          <w:szCs w:val="24"/>
        </w:rPr>
        <w:t>每期培训结束后，发放《培训质量调查表》，调查顾客对本次培训服务的意见和建议，了解顾客对培训的评价，并做好统计工作。</w:t>
      </w:r>
    </w:p>
    <w:p>
      <w:pPr>
        <w:spacing w:line="360" w:lineRule="auto"/>
        <w:ind w:firstLine="480" w:firstLineChars="200"/>
        <w:rPr>
          <w:sz w:val="24"/>
          <w:szCs w:val="24"/>
        </w:rPr>
      </w:pPr>
      <w:r>
        <w:rPr>
          <w:sz w:val="24"/>
          <w:szCs w:val="24"/>
        </w:rPr>
        <w:t>热线服务监督形式</w:t>
      </w:r>
    </w:p>
    <w:p>
      <w:pPr>
        <w:spacing w:line="360" w:lineRule="auto"/>
        <w:ind w:firstLine="480" w:firstLineChars="200"/>
        <w:rPr>
          <w:sz w:val="24"/>
          <w:szCs w:val="24"/>
        </w:rPr>
      </w:pPr>
      <w:r>
        <w:rPr>
          <w:sz w:val="24"/>
          <w:szCs w:val="24"/>
        </w:rPr>
        <w:t>录音监听</w:t>
      </w:r>
    </w:p>
    <w:p>
      <w:pPr>
        <w:spacing w:line="360" w:lineRule="auto"/>
        <w:ind w:firstLine="480" w:firstLineChars="200"/>
        <w:rPr>
          <w:sz w:val="24"/>
          <w:szCs w:val="24"/>
        </w:rPr>
      </w:pPr>
      <w:r>
        <w:rPr>
          <w:sz w:val="24"/>
          <w:szCs w:val="24"/>
        </w:rPr>
        <w:t>服务监督部门依据热线服务监督计划每月抽取一定比例的热线录音进行监听</w:t>
      </w:r>
      <w:r>
        <w:rPr>
          <w:rFonts w:hint="eastAsia"/>
          <w:sz w:val="24"/>
          <w:szCs w:val="24"/>
        </w:rPr>
        <w:t>。</w:t>
      </w:r>
    </w:p>
    <w:p>
      <w:pPr>
        <w:spacing w:line="360" w:lineRule="auto"/>
        <w:ind w:firstLine="480" w:firstLineChars="200"/>
        <w:rPr>
          <w:sz w:val="24"/>
          <w:szCs w:val="24"/>
        </w:rPr>
      </w:pPr>
      <w:r>
        <w:rPr>
          <w:sz w:val="24"/>
          <w:szCs w:val="24"/>
        </w:rPr>
        <w:t>匿名调查</w:t>
      </w:r>
    </w:p>
    <w:p>
      <w:pPr>
        <w:spacing w:line="360" w:lineRule="auto"/>
        <w:ind w:firstLine="480" w:firstLineChars="200"/>
        <w:rPr>
          <w:sz w:val="24"/>
          <w:szCs w:val="24"/>
        </w:rPr>
      </w:pPr>
      <w:r>
        <w:rPr>
          <w:sz w:val="24"/>
          <w:szCs w:val="24"/>
        </w:rPr>
        <w:t>服务监督部门每月通过匿名电话对热线服务进行检查。</w:t>
      </w:r>
    </w:p>
    <w:p>
      <w:pPr>
        <w:spacing w:line="360" w:lineRule="auto"/>
        <w:ind w:firstLine="480" w:firstLineChars="200"/>
        <w:rPr>
          <w:sz w:val="24"/>
          <w:szCs w:val="24"/>
        </w:rPr>
      </w:pPr>
      <w:r>
        <w:rPr>
          <w:sz w:val="24"/>
          <w:szCs w:val="24"/>
        </w:rPr>
        <w:t>网络服务监督形式</w:t>
      </w:r>
    </w:p>
    <w:p>
      <w:pPr>
        <w:spacing w:line="360" w:lineRule="auto"/>
        <w:ind w:firstLine="480" w:firstLineChars="200"/>
        <w:rPr>
          <w:sz w:val="24"/>
          <w:szCs w:val="24"/>
        </w:rPr>
      </w:pPr>
      <w:r>
        <w:rPr>
          <w:sz w:val="24"/>
          <w:szCs w:val="24"/>
        </w:rPr>
        <w:t>服务监督部门每月按一定比例抽取问题内容，对问题解答质量及问题解答及时性进行监督。</w:t>
      </w:r>
    </w:p>
    <w:p>
      <w:pPr>
        <w:spacing w:line="360" w:lineRule="auto"/>
        <w:ind w:firstLine="480" w:firstLineChars="200"/>
        <w:rPr>
          <w:sz w:val="24"/>
          <w:szCs w:val="24"/>
        </w:rPr>
      </w:pPr>
      <w:r>
        <w:rPr>
          <w:sz w:val="24"/>
          <w:szCs w:val="24"/>
        </w:rPr>
        <w:t>送修和上门服务监督形式</w:t>
      </w:r>
    </w:p>
    <w:p>
      <w:pPr>
        <w:spacing w:line="360" w:lineRule="auto"/>
        <w:ind w:firstLine="480" w:firstLineChars="200"/>
        <w:rPr>
          <w:sz w:val="24"/>
          <w:szCs w:val="24"/>
        </w:rPr>
      </w:pPr>
      <w:r>
        <w:rPr>
          <w:sz w:val="24"/>
          <w:szCs w:val="24"/>
        </w:rPr>
        <w:t>在安装、送修或上门维护等工作结束后，以电话的形式对已完成的工作过程和工作结果进行服务质量跟踪调查。</w:t>
      </w:r>
    </w:p>
    <w:p>
      <w:pPr>
        <w:spacing w:line="360" w:lineRule="auto"/>
        <w:ind w:firstLine="480" w:firstLineChars="200"/>
        <w:rPr>
          <w:sz w:val="24"/>
          <w:szCs w:val="24"/>
        </w:rPr>
      </w:pPr>
      <w:r>
        <w:rPr>
          <w:sz w:val="24"/>
          <w:szCs w:val="24"/>
        </w:rPr>
        <w:t>服务改进</w:t>
      </w:r>
    </w:p>
    <w:p>
      <w:pPr>
        <w:spacing w:line="360" w:lineRule="auto"/>
        <w:ind w:firstLine="480" w:firstLineChars="200"/>
      </w:pPr>
      <w:r>
        <w:rPr>
          <w:sz w:val="24"/>
          <w:szCs w:val="24"/>
        </w:rPr>
        <w:t>根据服务监督结果进行统计和分析，针对存在的问题要求相关责任部门或人员及时进行纠正，并对纠正效果进行认定。</w:t>
      </w:r>
    </w:p>
    <w:p>
      <w:pPr>
        <w:pStyle w:val="2"/>
        <w:pageBreakBefore/>
        <w:numPr>
          <w:ilvl w:val="0"/>
          <w:numId w:val="3"/>
        </w:numPr>
        <w:spacing w:before="0" w:after="0" w:line="360" w:lineRule="auto"/>
        <w:ind w:left="0" w:leftChars="0" w:firstLine="402" w:firstLineChars="0"/>
      </w:pPr>
      <w:r>
        <w:rPr>
          <w:rFonts w:hint="eastAsia"/>
        </w:rPr>
        <w:t xml:space="preserve"> </w:t>
      </w:r>
      <w:bookmarkStart w:id="525" w:name="_Toc18160"/>
      <w:r>
        <w:rPr>
          <w:rFonts w:hint="eastAsia"/>
        </w:rPr>
        <w:t>项目承诺</w:t>
      </w:r>
      <w:bookmarkEnd w:id="525"/>
    </w:p>
    <w:p>
      <w:pPr>
        <w:pStyle w:val="3"/>
        <w:numPr>
          <w:ilvl w:val="1"/>
          <w:numId w:val="3"/>
        </w:numPr>
        <w:spacing w:before="0" w:after="0" w:line="360" w:lineRule="auto"/>
        <w:ind w:left="0" w:leftChars="0" w:firstLine="402" w:firstLineChars="0"/>
      </w:pPr>
      <w:bookmarkStart w:id="526" w:name="_Toc16460"/>
      <w:r>
        <w:rPr>
          <w:rFonts w:hint="eastAsia"/>
        </w:rPr>
        <w:t>合同双方责任</w:t>
      </w:r>
      <w:bookmarkEnd w:id="526"/>
    </w:p>
    <w:p>
      <w:pPr>
        <w:spacing w:line="360" w:lineRule="auto"/>
        <w:ind w:firstLine="480" w:firstLineChars="200"/>
        <w:rPr>
          <w:sz w:val="24"/>
          <w:szCs w:val="24"/>
        </w:rPr>
      </w:pPr>
      <w:r>
        <w:rPr>
          <w:rFonts w:hint="eastAsia"/>
          <w:sz w:val="24"/>
          <w:szCs w:val="24"/>
        </w:rPr>
        <w:t>工程安装前，买方应具备工程安装条件，场地、环境、电源等条件符合相关规范要求；若不具备安装条件时，卖方将重新安排施工时间。</w:t>
      </w:r>
    </w:p>
    <w:p>
      <w:pPr>
        <w:spacing w:line="360" w:lineRule="auto"/>
        <w:ind w:firstLine="480" w:firstLineChars="200"/>
        <w:rPr>
          <w:sz w:val="24"/>
          <w:szCs w:val="24"/>
        </w:rPr>
      </w:pPr>
      <w:r>
        <w:rPr>
          <w:rFonts w:hint="eastAsia"/>
          <w:sz w:val="24"/>
          <w:szCs w:val="24"/>
        </w:rPr>
        <w:t>买方在施工场地的指定位置应提供稳定的电源。</w:t>
      </w:r>
    </w:p>
    <w:p>
      <w:pPr>
        <w:spacing w:line="360" w:lineRule="auto"/>
        <w:ind w:firstLine="480" w:firstLineChars="200"/>
        <w:rPr>
          <w:sz w:val="24"/>
          <w:szCs w:val="24"/>
        </w:rPr>
      </w:pPr>
      <w:r>
        <w:rPr>
          <w:rFonts w:hint="eastAsia"/>
          <w:sz w:val="24"/>
          <w:szCs w:val="24"/>
        </w:rPr>
        <w:t>卖方的施工应符合卖方及国家相关施工规范，买方应积极配合卖方的施工。</w:t>
      </w:r>
    </w:p>
    <w:p>
      <w:pPr>
        <w:spacing w:line="360" w:lineRule="auto"/>
        <w:ind w:firstLine="480" w:firstLineChars="200"/>
        <w:rPr>
          <w:sz w:val="24"/>
          <w:szCs w:val="24"/>
        </w:rPr>
      </w:pPr>
      <w:r>
        <w:rPr>
          <w:rFonts w:hint="eastAsia"/>
          <w:sz w:val="24"/>
          <w:szCs w:val="24"/>
        </w:rPr>
        <w:t>对于买方自采通用设备由卖方提出配置要求均由买方进行安装，并完成系统软件的安装和网络配置等工作；运行的由卖方提供的软件由卖方进行安装调试。</w:t>
      </w:r>
    </w:p>
    <w:p>
      <w:pPr>
        <w:spacing w:line="360" w:lineRule="auto"/>
        <w:ind w:firstLine="480" w:firstLineChars="200"/>
        <w:rPr>
          <w:sz w:val="24"/>
          <w:szCs w:val="24"/>
        </w:rPr>
      </w:pPr>
      <w:r>
        <w:rPr>
          <w:rFonts w:hint="eastAsia"/>
          <w:sz w:val="24"/>
          <w:szCs w:val="24"/>
        </w:rPr>
        <w:t>卖方提供的全部硬件设备、软件均由卖方自行安装。买方要求的非卖方提供的软件由买方进行安装或者买方提供软件和指导卖方进行安装。</w:t>
      </w:r>
    </w:p>
    <w:p>
      <w:pPr>
        <w:spacing w:line="360" w:lineRule="auto"/>
        <w:ind w:firstLine="480" w:firstLineChars="200"/>
        <w:rPr>
          <w:sz w:val="24"/>
          <w:szCs w:val="24"/>
        </w:rPr>
      </w:pPr>
      <w:r>
        <w:rPr>
          <w:rFonts w:hint="eastAsia"/>
          <w:sz w:val="24"/>
          <w:szCs w:val="24"/>
        </w:rPr>
        <w:t>若有未尽事宜，双方友好协商解决。</w:t>
      </w:r>
    </w:p>
    <w:p>
      <w:pPr>
        <w:spacing w:line="360" w:lineRule="auto"/>
      </w:pPr>
    </w:p>
    <w:p>
      <w:pPr>
        <w:pStyle w:val="3"/>
        <w:numPr>
          <w:ilvl w:val="1"/>
          <w:numId w:val="3"/>
        </w:numPr>
        <w:spacing w:before="0" w:after="0" w:line="360" w:lineRule="auto"/>
        <w:ind w:left="0" w:leftChars="0" w:firstLine="402" w:firstLineChars="0"/>
      </w:pPr>
      <w:bookmarkStart w:id="527" w:name="_Toc32463"/>
      <w:r>
        <w:rPr>
          <w:rFonts w:hint="eastAsia"/>
        </w:rPr>
        <w:t>项目承诺</w:t>
      </w:r>
      <w:bookmarkEnd w:id="527"/>
    </w:p>
    <w:tbl>
      <w:tblPr>
        <w:tblStyle w:val="34"/>
        <w:tblW w:w="100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31" w:type="dxa"/>
            <w:gridSpan w:val="2"/>
            <w:shd w:val="clear" w:color="auto" w:fill="auto"/>
            <w:vAlign w:val="center"/>
          </w:tcPr>
          <w:p>
            <w:pPr>
              <w:spacing w:line="360" w:lineRule="auto"/>
            </w:pPr>
            <w:r>
              <w:rPr>
                <w:rFonts w:hint="eastAsia"/>
              </w:rPr>
              <w:t>技术</w:t>
            </w:r>
            <w:r>
              <w:t>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shd w:val="clear" w:color="auto" w:fill="auto"/>
            <w:vAlign w:val="center"/>
          </w:tcPr>
          <w:p>
            <w:pPr>
              <w:spacing w:line="360" w:lineRule="auto"/>
            </w:pPr>
            <w:r>
              <w:rPr>
                <w:rFonts w:hint="eastAsia"/>
              </w:rPr>
              <w:t>1</w:t>
            </w:r>
          </w:p>
        </w:tc>
        <w:tc>
          <w:tcPr>
            <w:tcW w:w="9214" w:type="dxa"/>
            <w:shd w:val="clear" w:color="auto" w:fill="auto"/>
            <w:vAlign w:val="center"/>
          </w:tcPr>
          <w:p>
            <w:pPr>
              <w:spacing w:line="360" w:lineRule="auto"/>
            </w:pPr>
            <w:r>
              <w:rPr>
                <w:rFonts w:hint="eastAsia"/>
              </w:rPr>
              <w:t>推荐的所有设备和提供的系统应符合技术标准的要求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shd w:val="clear" w:color="auto" w:fill="auto"/>
            <w:vAlign w:val="center"/>
          </w:tcPr>
          <w:p>
            <w:pPr>
              <w:spacing w:line="360" w:lineRule="auto"/>
            </w:pPr>
            <w:r>
              <w:rPr>
                <w:rFonts w:hint="eastAsia"/>
              </w:rPr>
              <w:t>2</w:t>
            </w:r>
          </w:p>
        </w:tc>
        <w:tc>
          <w:tcPr>
            <w:tcW w:w="9214" w:type="dxa"/>
            <w:shd w:val="clear" w:color="auto" w:fill="auto"/>
            <w:vAlign w:val="center"/>
          </w:tcPr>
          <w:p>
            <w:pPr>
              <w:spacing w:line="360" w:lineRule="auto"/>
            </w:pPr>
            <w:r>
              <w:rPr>
                <w:rFonts w:hint="eastAsia"/>
              </w:rPr>
              <w:t>软件平台的设计开发要求严格遵循软件工程方法论的指导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shd w:val="clear" w:color="auto" w:fill="auto"/>
            <w:vAlign w:val="center"/>
          </w:tcPr>
          <w:p>
            <w:pPr>
              <w:spacing w:line="360" w:lineRule="auto"/>
            </w:pPr>
            <w:r>
              <w:rPr>
                <w:rFonts w:hint="eastAsia"/>
              </w:rPr>
              <w:t>3</w:t>
            </w:r>
          </w:p>
        </w:tc>
        <w:tc>
          <w:tcPr>
            <w:tcW w:w="9214" w:type="dxa"/>
            <w:shd w:val="clear" w:color="auto" w:fill="auto"/>
            <w:vAlign w:val="center"/>
          </w:tcPr>
          <w:p>
            <w:pPr>
              <w:spacing w:line="360" w:lineRule="auto"/>
            </w:pPr>
            <w:r>
              <w:rPr>
                <w:rFonts w:hint="eastAsia"/>
              </w:rPr>
              <w:t>软件平台设计要求采用面向对象的分析、设计方法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shd w:val="clear" w:color="auto" w:fill="auto"/>
            <w:vAlign w:val="center"/>
          </w:tcPr>
          <w:p>
            <w:pPr>
              <w:spacing w:line="360" w:lineRule="auto"/>
            </w:pPr>
            <w:r>
              <w:rPr>
                <w:rFonts w:hint="eastAsia"/>
              </w:rPr>
              <w:t>4</w:t>
            </w:r>
          </w:p>
        </w:tc>
        <w:tc>
          <w:tcPr>
            <w:tcW w:w="9214" w:type="dxa"/>
            <w:shd w:val="clear" w:color="auto" w:fill="auto"/>
            <w:vAlign w:val="center"/>
          </w:tcPr>
          <w:p>
            <w:pPr>
              <w:spacing w:line="360" w:lineRule="auto"/>
            </w:pPr>
            <w:r>
              <w:rPr>
                <w:rFonts w:hint="eastAsia"/>
              </w:rPr>
              <w:t>要求利用模块化的方式实现软件的重构和组装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shd w:val="clear" w:color="auto" w:fill="auto"/>
            <w:vAlign w:val="center"/>
          </w:tcPr>
          <w:p>
            <w:pPr>
              <w:spacing w:line="360" w:lineRule="auto"/>
            </w:pPr>
            <w:r>
              <w:rPr>
                <w:rFonts w:hint="eastAsia"/>
              </w:rPr>
              <w:t>5</w:t>
            </w:r>
          </w:p>
        </w:tc>
        <w:tc>
          <w:tcPr>
            <w:tcW w:w="9214" w:type="dxa"/>
            <w:shd w:val="clear" w:color="auto" w:fill="auto"/>
            <w:vAlign w:val="center"/>
          </w:tcPr>
          <w:p>
            <w:pPr>
              <w:spacing w:line="360" w:lineRule="auto"/>
            </w:pPr>
            <w:r>
              <w:rPr>
                <w:rFonts w:hint="eastAsia"/>
              </w:rPr>
              <w:t>应明确软件平台配置和使用的基本原则，详细说明软件平台需要扩容升级的必要条件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shd w:val="clear" w:color="auto" w:fill="auto"/>
            <w:vAlign w:val="center"/>
          </w:tcPr>
          <w:p>
            <w:pPr>
              <w:spacing w:line="360" w:lineRule="auto"/>
            </w:pPr>
            <w:r>
              <w:rPr>
                <w:rFonts w:hint="eastAsia"/>
              </w:rPr>
              <w:t>6</w:t>
            </w:r>
          </w:p>
        </w:tc>
        <w:tc>
          <w:tcPr>
            <w:tcW w:w="9214" w:type="dxa"/>
            <w:shd w:val="clear" w:color="auto" w:fill="auto"/>
            <w:vAlign w:val="center"/>
          </w:tcPr>
          <w:p>
            <w:pPr>
              <w:spacing w:line="360" w:lineRule="auto"/>
            </w:pPr>
            <w:r>
              <w:rPr>
                <w:rFonts w:hint="eastAsia"/>
              </w:rPr>
              <w:t>该系统应具有完整的安全和控制管理机制，拥有强大的安全和控制管理工具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shd w:val="clear" w:color="auto" w:fill="auto"/>
            <w:vAlign w:val="center"/>
          </w:tcPr>
          <w:p>
            <w:pPr>
              <w:spacing w:line="360" w:lineRule="auto"/>
            </w:pPr>
            <w:r>
              <w:rPr>
                <w:rFonts w:hint="eastAsia"/>
              </w:rPr>
              <w:t>7</w:t>
            </w:r>
          </w:p>
        </w:tc>
        <w:tc>
          <w:tcPr>
            <w:tcW w:w="9214" w:type="dxa"/>
            <w:shd w:val="clear" w:color="auto" w:fill="auto"/>
            <w:vAlign w:val="center"/>
          </w:tcPr>
          <w:p>
            <w:pPr>
              <w:spacing w:line="360" w:lineRule="auto"/>
            </w:pPr>
            <w:r>
              <w:rPr>
                <w:rFonts w:hint="eastAsia"/>
              </w:rPr>
              <w:t>要求整个管理系统必须有较快的响应速度，卖方需要提供能够反映系统响应速度的量化指标以及能够保证得到最快响应速度的条件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shd w:val="clear" w:color="auto" w:fill="auto"/>
            <w:vAlign w:val="center"/>
          </w:tcPr>
          <w:p>
            <w:pPr>
              <w:spacing w:line="360" w:lineRule="auto"/>
            </w:pPr>
            <w:r>
              <w:rPr>
                <w:rFonts w:hint="eastAsia"/>
              </w:rPr>
              <w:t>8</w:t>
            </w:r>
          </w:p>
        </w:tc>
        <w:tc>
          <w:tcPr>
            <w:tcW w:w="9214" w:type="dxa"/>
            <w:shd w:val="clear" w:color="auto" w:fill="auto"/>
            <w:vAlign w:val="center"/>
          </w:tcPr>
          <w:p>
            <w:pPr>
              <w:spacing w:line="360" w:lineRule="auto"/>
            </w:pPr>
            <w:r>
              <w:rPr>
                <w:rFonts w:hint="eastAsia"/>
              </w:rPr>
              <w:t>管理系统应该具有高可靠性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shd w:val="clear" w:color="auto" w:fill="auto"/>
            <w:vAlign w:val="center"/>
          </w:tcPr>
          <w:p>
            <w:pPr>
              <w:spacing w:line="360" w:lineRule="auto"/>
            </w:pPr>
            <w:r>
              <w:rPr>
                <w:rFonts w:hint="eastAsia"/>
              </w:rPr>
              <w:t>9</w:t>
            </w:r>
          </w:p>
        </w:tc>
        <w:tc>
          <w:tcPr>
            <w:tcW w:w="9214" w:type="dxa"/>
            <w:shd w:val="clear" w:color="auto" w:fill="auto"/>
            <w:vAlign w:val="center"/>
          </w:tcPr>
          <w:p>
            <w:pPr>
              <w:spacing w:line="360" w:lineRule="auto"/>
            </w:pPr>
            <w:r>
              <w:rPr>
                <w:rFonts w:hint="eastAsia"/>
              </w:rPr>
              <w:t>管理系统应具有良好的生命力、可扩充性，以满足买方未来业务发展的需要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shd w:val="clear" w:color="auto" w:fill="auto"/>
            <w:vAlign w:val="center"/>
          </w:tcPr>
          <w:p>
            <w:pPr>
              <w:spacing w:line="360" w:lineRule="auto"/>
            </w:pPr>
            <w:r>
              <w:rPr>
                <w:rFonts w:hint="eastAsia"/>
              </w:rPr>
              <w:t>10</w:t>
            </w:r>
          </w:p>
        </w:tc>
        <w:tc>
          <w:tcPr>
            <w:tcW w:w="9214" w:type="dxa"/>
            <w:shd w:val="clear" w:color="auto" w:fill="auto"/>
            <w:vAlign w:val="center"/>
          </w:tcPr>
          <w:p>
            <w:pPr>
              <w:spacing w:line="360" w:lineRule="auto"/>
            </w:pPr>
            <w:r>
              <w:rPr>
                <w:rFonts w:hint="eastAsia"/>
              </w:rPr>
              <w:t>管理系统可用性要求</w:t>
            </w:r>
          </w:p>
        </w:tc>
      </w:tr>
    </w:tbl>
    <w:p>
      <w:pPr>
        <w:spacing w:line="360" w:lineRule="auto"/>
      </w:pPr>
    </w:p>
    <w:p>
      <w:pPr>
        <w:spacing w:line="360" w:lineRule="auto"/>
      </w:pPr>
    </w:p>
    <w:tbl>
      <w:tblPr>
        <w:tblStyle w:val="34"/>
        <w:tblW w:w="9923"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23" w:type="dxa"/>
            <w:gridSpan w:val="2"/>
            <w:shd w:val="clear" w:color="auto" w:fill="auto"/>
            <w:vAlign w:val="center"/>
          </w:tcPr>
          <w:p>
            <w:pPr>
              <w:spacing w:line="360" w:lineRule="auto"/>
            </w:pPr>
            <w:r>
              <w:rPr>
                <w:rFonts w:hint="eastAsia"/>
              </w:rPr>
              <w:t>项目准备责任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shd w:val="clear" w:color="auto" w:fill="auto"/>
            <w:vAlign w:val="center"/>
          </w:tcPr>
          <w:p>
            <w:pPr>
              <w:spacing w:line="360" w:lineRule="auto"/>
            </w:pPr>
            <w:r>
              <w:rPr>
                <w:rFonts w:hint="eastAsia"/>
              </w:rPr>
              <w:t>1</w:t>
            </w:r>
          </w:p>
        </w:tc>
        <w:tc>
          <w:tcPr>
            <w:tcW w:w="9214" w:type="dxa"/>
            <w:shd w:val="clear" w:color="auto" w:fill="auto"/>
            <w:vAlign w:val="center"/>
          </w:tcPr>
          <w:p>
            <w:pPr>
              <w:spacing w:line="360" w:lineRule="auto"/>
            </w:pPr>
            <w:r>
              <w:rPr>
                <w:rFonts w:hint="eastAsia"/>
              </w:rPr>
              <w:t>应当能理解买方业务和技术需求的情况，提出相应的管理系统实施方法论，例如针对本次项目建议采用的实施方法论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shd w:val="clear" w:color="auto" w:fill="auto"/>
            <w:vAlign w:val="center"/>
          </w:tcPr>
          <w:p>
            <w:pPr>
              <w:spacing w:line="360" w:lineRule="auto"/>
            </w:pPr>
            <w:r>
              <w:rPr>
                <w:rFonts w:hint="eastAsia"/>
              </w:rPr>
              <w:t>2</w:t>
            </w:r>
          </w:p>
        </w:tc>
        <w:tc>
          <w:tcPr>
            <w:tcW w:w="9214" w:type="dxa"/>
            <w:shd w:val="clear" w:color="auto" w:fill="auto"/>
            <w:vAlign w:val="center"/>
          </w:tcPr>
          <w:p>
            <w:pPr>
              <w:spacing w:line="360" w:lineRule="auto"/>
            </w:pPr>
            <w:r>
              <w:rPr>
                <w:rFonts w:hint="eastAsia"/>
              </w:rPr>
              <w:t>应提供技术方案及实施方案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shd w:val="clear" w:color="auto" w:fill="auto"/>
            <w:vAlign w:val="center"/>
          </w:tcPr>
          <w:p>
            <w:pPr>
              <w:spacing w:line="360" w:lineRule="auto"/>
            </w:pPr>
            <w:r>
              <w:rPr>
                <w:rFonts w:hint="eastAsia"/>
              </w:rPr>
              <w:t>3</w:t>
            </w:r>
          </w:p>
        </w:tc>
        <w:tc>
          <w:tcPr>
            <w:tcW w:w="9214" w:type="dxa"/>
            <w:shd w:val="clear" w:color="auto" w:fill="auto"/>
            <w:vAlign w:val="center"/>
          </w:tcPr>
          <w:p>
            <w:pPr>
              <w:spacing w:line="360" w:lineRule="auto"/>
            </w:pPr>
            <w:r>
              <w:rPr>
                <w:rFonts w:hint="eastAsia"/>
              </w:rPr>
              <w:t>应提供管理系统软硬件配置方案，局域网组网方案，广域网带宽需求，对买方的配合要求</w:t>
            </w:r>
          </w:p>
        </w:tc>
      </w:tr>
    </w:tbl>
    <w:p>
      <w:pPr>
        <w:spacing w:line="360" w:lineRule="auto"/>
      </w:pPr>
    </w:p>
    <w:tbl>
      <w:tblPr>
        <w:tblStyle w:val="34"/>
        <w:tblW w:w="9923"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23" w:type="dxa"/>
            <w:gridSpan w:val="2"/>
            <w:shd w:val="clear" w:color="auto" w:fill="auto"/>
            <w:vAlign w:val="center"/>
          </w:tcPr>
          <w:p>
            <w:pPr>
              <w:spacing w:line="360" w:lineRule="auto"/>
            </w:pPr>
            <w:r>
              <w:rPr>
                <w:rFonts w:hint="eastAsia"/>
              </w:rPr>
              <w:t>技术</w:t>
            </w:r>
            <w:r>
              <w:t>服务责任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shd w:val="clear" w:color="auto" w:fill="auto"/>
            <w:vAlign w:val="center"/>
          </w:tcPr>
          <w:p>
            <w:pPr>
              <w:spacing w:line="360" w:lineRule="auto"/>
            </w:pPr>
            <w:r>
              <w:rPr>
                <w:rFonts w:hint="eastAsia"/>
              </w:rPr>
              <w:t>1</w:t>
            </w:r>
          </w:p>
        </w:tc>
        <w:tc>
          <w:tcPr>
            <w:tcW w:w="9214" w:type="dxa"/>
            <w:shd w:val="clear" w:color="auto" w:fill="auto"/>
            <w:vAlign w:val="center"/>
          </w:tcPr>
          <w:p>
            <w:pPr>
              <w:spacing w:line="360" w:lineRule="auto"/>
            </w:pPr>
            <w:r>
              <w:t>系统终验后，卖方须提供</w:t>
            </w:r>
            <w:r>
              <w:rPr>
                <w:rFonts w:hint="eastAsia"/>
              </w:rPr>
              <w:t>管理</w:t>
            </w:r>
            <w:r>
              <w:t>系统终验后1年的免费维保（含卖方外购软件），卖方所提供外购软件的技术支持和售后范围均为卖方负责，外购产品与卖方自行开发产品执行同样的保修和服务标准，买方仅针对卖方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shd w:val="clear" w:color="auto" w:fill="auto"/>
            <w:vAlign w:val="center"/>
          </w:tcPr>
          <w:p>
            <w:pPr>
              <w:spacing w:line="360" w:lineRule="auto"/>
            </w:pPr>
            <w:r>
              <w:rPr>
                <w:rFonts w:hint="eastAsia"/>
              </w:rPr>
              <w:t>2</w:t>
            </w:r>
          </w:p>
        </w:tc>
        <w:tc>
          <w:tcPr>
            <w:tcW w:w="9214" w:type="dxa"/>
            <w:shd w:val="clear" w:color="auto" w:fill="auto"/>
            <w:vAlign w:val="center"/>
          </w:tcPr>
          <w:p>
            <w:pPr>
              <w:spacing w:line="360" w:lineRule="auto"/>
            </w:pPr>
            <w:r>
              <w:t>维修的内容至少应包括</w:t>
            </w:r>
            <w:r>
              <w:rPr>
                <w:rFonts w:hint="eastAsia"/>
              </w:rPr>
              <w:t>：</w:t>
            </w:r>
          </w:p>
          <w:p>
            <w:pPr>
              <w:spacing w:line="360" w:lineRule="auto"/>
            </w:pPr>
            <w:r>
              <w:t>应用软件版本升级、打补丁、调测Bug、性能调优等。</w:t>
            </w:r>
          </w:p>
          <w:p>
            <w:pPr>
              <w:spacing w:line="360" w:lineRule="auto"/>
            </w:pPr>
            <w:r>
              <w:t>热线电话支持，主责工程师手机要保证24小时服务。</w:t>
            </w:r>
          </w:p>
          <w:p>
            <w:pPr>
              <w:spacing w:line="360" w:lineRule="auto"/>
            </w:pPr>
            <w:r>
              <w:rPr>
                <w:rFonts w:hint="eastAsia"/>
              </w:rPr>
              <w:t>管理</w:t>
            </w:r>
            <w:r>
              <w:t>系统档案管理，整理归档系统相关信息，并及时更新。</w:t>
            </w:r>
          </w:p>
          <w:p>
            <w:pPr>
              <w:spacing w:line="360" w:lineRule="auto"/>
            </w:pPr>
            <w:r>
              <w:t>定期服务例会，阶段性总结与考核，确定下阶段服务计划以及重大问题探讨。</w:t>
            </w:r>
          </w:p>
          <w:p>
            <w:pPr>
              <w:spacing w:line="360" w:lineRule="auto"/>
            </w:pPr>
            <w:r>
              <w:t>现场支持，维护和排障过程技术指导。</w:t>
            </w:r>
          </w:p>
          <w:p>
            <w:pPr>
              <w:spacing w:line="360" w:lineRule="auto"/>
            </w:pPr>
            <w:r>
              <w:t>定期巡检，每季度1次上门巡检。</w:t>
            </w:r>
          </w:p>
          <w:p>
            <w:pPr>
              <w:spacing w:line="360" w:lineRule="auto"/>
            </w:pPr>
            <w:r>
              <w:rPr>
                <w:rFonts w:hint="eastAsia"/>
              </w:rPr>
              <w:t>管理</w:t>
            </w:r>
            <w:r>
              <w:t>系统安全评估分析，规范化操作，强化安全措施。</w:t>
            </w:r>
          </w:p>
          <w:p>
            <w:pPr>
              <w:spacing w:line="360" w:lineRule="auto"/>
            </w:pPr>
            <w:r>
              <w:rPr>
                <w:rFonts w:hint="eastAsia"/>
              </w:rPr>
              <w:t>管理</w:t>
            </w:r>
            <w:r>
              <w:t>系统优化服务，评估系统性能，</w:t>
            </w:r>
            <w:r>
              <w:rPr>
                <w:rFonts w:hint="eastAsia"/>
              </w:rPr>
              <w:t>管理</w:t>
            </w:r>
            <w:r>
              <w:t>系统优化调整。</w:t>
            </w:r>
          </w:p>
          <w:p>
            <w:pPr>
              <w:spacing w:line="360" w:lineRule="auto"/>
            </w:pPr>
            <w:r>
              <w:t>配置调整服务，包括逻辑卷、表空间、备份策略等的调整。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shd w:val="clear" w:color="auto" w:fill="auto"/>
            <w:vAlign w:val="center"/>
          </w:tcPr>
          <w:p>
            <w:pPr>
              <w:spacing w:line="360" w:lineRule="auto"/>
            </w:pPr>
            <w:r>
              <w:rPr>
                <w:rFonts w:hint="eastAsia"/>
              </w:rPr>
              <w:t>3</w:t>
            </w:r>
          </w:p>
        </w:tc>
        <w:tc>
          <w:tcPr>
            <w:tcW w:w="9214" w:type="dxa"/>
            <w:shd w:val="clear" w:color="auto" w:fill="auto"/>
            <w:vAlign w:val="center"/>
          </w:tcPr>
          <w:p>
            <w:pPr>
              <w:spacing w:line="360" w:lineRule="auto"/>
            </w:pPr>
            <w:r>
              <w:t>卖方应保证不同时期所提供的同类软件互相兼容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shd w:val="clear" w:color="auto" w:fill="auto"/>
            <w:vAlign w:val="center"/>
          </w:tcPr>
          <w:p>
            <w:pPr>
              <w:spacing w:line="360" w:lineRule="auto"/>
            </w:pPr>
            <w:r>
              <w:rPr>
                <w:rFonts w:hint="eastAsia"/>
              </w:rPr>
              <w:t>4</w:t>
            </w:r>
          </w:p>
        </w:tc>
        <w:tc>
          <w:tcPr>
            <w:tcW w:w="9214" w:type="dxa"/>
            <w:shd w:val="clear" w:color="auto" w:fill="auto"/>
            <w:vAlign w:val="center"/>
          </w:tcPr>
          <w:p>
            <w:pPr>
              <w:spacing w:line="360" w:lineRule="auto"/>
            </w:pPr>
            <w:r>
              <w:t>对于目前为止ITU-T、IEEE、ISO等国际组织尚未形成最终建议的规范，卖方应在建议或规范发表一定时期内免费修改及更新软件版本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shd w:val="clear" w:color="auto" w:fill="auto"/>
            <w:vAlign w:val="center"/>
          </w:tcPr>
          <w:p>
            <w:pPr>
              <w:spacing w:line="360" w:lineRule="auto"/>
            </w:pPr>
            <w:r>
              <w:rPr>
                <w:rFonts w:hint="eastAsia"/>
              </w:rPr>
              <w:t>5</w:t>
            </w:r>
          </w:p>
        </w:tc>
        <w:tc>
          <w:tcPr>
            <w:tcW w:w="9214" w:type="dxa"/>
            <w:shd w:val="clear" w:color="auto" w:fill="auto"/>
            <w:vAlign w:val="center"/>
          </w:tcPr>
          <w:p>
            <w:pPr>
              <w:spacing w:line="360" w:lineRule="auto"/>
            </w:pPr>
            <w:r>
              <w:t>在</w:t>
            </w:r>
            <w:r>
              <w:rPr>
                <w:rFonts w:hint="eastAsia"/>
              </w:rPr>
              <w:t>管理</w:t>
            </w:r>
            <w:r>
              <w:t>系统硬件扩容及软件升级时，卖方应派技术人员到现场配合、指导。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shd w:val="clear" w:color="auto" w:fill="auto"/>
            <w:vAlign w:val="center"/>
          </w:tcPr>
          <w:p>
            <w:pPr>
              <w:spacing w:line="360" w:lineRule="auto"/>
            </w:pPr>
            <w:r>
              <w:rPr>
                <w:rFonts w:hint="eastAsia"/>
              </w:rPr>
              <w:t>6</w:t>
            </w:r>
          </w:p>
        </w:tc>
        <w:tc>
          <w:tcPr>
            <w:tcW w:w="9214" w:type="dxa"/>
            <w:shd w:val="clear" w:color="auto" w:fill="auto"/>
            <w:vAlign w:val="center"/>
          </w:tcPr>
          <w:p>
            <w:pPr>
              <w:spacing w:line="360" w:lineRule="auto"/>
            </w:pPr>
            <w:r>
              <w:t>卖方应对其在中国的售后服务、技术支持方面的情况作出说明：在中国有无技术支持中心、地点设在何处、能否针对</w:t>
            </w:r>
            <w:r>
              <w:rPr>
                <w:rFonts w:hint="eastAsia"/>
              </w:rPr>
              <w:t>管理</w:t>
            </w:r>
            <w:r>
              <w:t>系统关键功能或买方特殊要求提供</w:t>
            </w:r>
            <w:r>
              <w:rPr>
                <w:rFonts w:hint="eastAsia"/>
              </w:rPr>
              <w:t>管理端</w:t>
            </w:r>
            <w:r>
              <w:t>7*24小时</w:t>
            </w:r>
            <w:r>
              <w:rPr>
                <w:rFonts w:hint="eastAsia"/>
              </w:rPr>
              <w:t>客户端5*8小时</w:t>
            </w:r>
            <w:r>
              <w:t>技术服务。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shd w:val="clear" w:color="auto" w:fill="auto"/>
            <w:vAlign w:val="center"/>
          </w:tcPr>
          <w:p>
            <w:pPr>
              <w:spacing w:line="360" w:lineRule="auto"/>
            </w:pPr>
            <w:r>
              <w:rPr>
                <w:rFonts w:hint="eastAsia"/>
              </w:rPr>
              <w:t>7</w:t>
            </w:r>
          </w:p>
        </w:tc>
        <w:tc>
          <w:tcPr>
            <w:tcW w:w="9214" w:type="dxa"/>
            <w:shd w:val="clear" w:color="auto" w:fill="auto"/>
            <w:vAlign w:val="center"/>
          </w:tcPr>
          <w:p>
            <w:pPr>
              <w:spacing w:line="360" w:lineRule="auto"/>
            </w:pPr>
            <w:r>
              <w:t>针对一般性故障，卖方必须在4小时内响应，24小时内恢复系</w:t>
            </w:r>
            <w:r>
              <w:rPr>
                <w:rFonts w:hint="eastAsia"/>
              </w:rPr>
              <w:t>管理</w:t>
            </w:r>
            <w:r>
              <w:t>统正常；在</w:t>
            </w:r>
            <w:r>
              <w:rPr>
                <w:rFonts w:hint="eastAsia"/>
              </w:rPr>
              <w:t>管理</w:t>
            </w:r>
            <w:r>
              <w:t>系统发生严重故障的情况下，卖方应承诺在</w:t>
            </w:r>
            <w:r>
              <w:rPr>
                <w:rFonts w:hint="eastAsia"/>
              </w:rPr>
              <w:t>4</w:t>
            </w:r>
            <w:r>
              <w:t>个小时内赶赴现场，承诺在</w:t>
            </w:r>
            <w:r>
              <w:rPr>
                <w:rFonts w:hint="eastAsia"/>
              </w:rPr>
              <w:t>8</w:t>
            </w:r>
            <w:r>
              <w:t>小时内排除故障；在设备发生一般故障的情况下，卖方应承诺在</w:t>
            </w:r>
            <w:r>
              <w:rPr>
                <w:rFonts w:hint="eastAsia"/>
              </w:rPr>
              <w:t>4</w:t>
            </w:r>
            <w:r>
              <w:t>个小时内赶赴现场，承诺在</w:t>
            </w:r>
            <w:r>
              <w:rPr>
                <w:rFonts w:hint="eastAsia"/>
              </w:rPr>
              <w:t>8</w:t>
            </w:r>
            <w:r>
              <w:t>小时内排除故障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shd w:val="clear" w:color="auto" w:fill="auto"/>
            <w:vAlign w:val="center"/>
          </w:tcPr>
          <w:p>
            <w:pPr>
              <w:spacing w:line="360" w:lineRule="auto"/>
            </w:pPr>
            <w:r>
              <w:rPr>
                <w:rFonts w:hint="eastAsia"/>
              </w:rPr>
              <w:t>8</w:t>
            </w:r>
          </w:p>
        </w:tc>
        <w:tc>
          <w:tcPr>
            <w:tcW w:w="9214" w:type="dxa"/>
            <w:shd w:val="clear" w:color="auto" w:fill="auto"/>
            <w:vAlign w:val="center"/>
          </w:tcPr>
          <w:p>
            <w:pPr>
              <w:spacing w:line="360" w:lineRule="auto"/>
            </w:pPr>
            <w:r>
              <w:t>在维保期内，如果</w:t>
            </w:r>
            <w:r>
              <w:rPr>
                <w:rFonts w:hint="eastAsia"/>
              </w:rPr>
              <w:t>管理</w:t>
            </w:r>
            <w:r>
              <w:t>系统发生故障，卖方要调查故障原因并修复直至满足最终验收指标和性能的要求，或者更换整个或部分有缺陷的软件。以上内容都应是免费的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shd w:val="clear" w:color="auto" w:fill="auto"/>
            <w:vAlign w:val="center"/>
          </w:tcPr>
          <w:p>
            <w:pPr>
              <w:spacing w:line="360" w:lineRule="auto"/>
            </w:pPr>
            <w:r>
              <w:rPr>
                <w:rFonts w:hint="eastAsia"/>
              </w:rPr>
              <w:t>9</w:t>
            </w:r>
          </w:p>
        </w:tc>
        <w:tc>
          <w:tcPr>
            <w:tcW w:w="9214" w:type="dxa"/>
            <w:shd w:val="clear" w:color="auto" w:fill="auto"/>
            <w:vAlign w:val="center"/>
          </w:tcPr>
          <w:p>
            <w:pPr>
              <w:spacing w:line="360" w:lineRule="auto"/>
            </w:pPr>
            <w:r>
              <w:t>在维保期内，卖方应提供灵活、多样的通信手段，针对</w:t>
            </w:r>
            <w:r>
              <w:rPr>
                <w:rFonts w:hint="eastAsia"/>
              </w:rPr>
              <w:t>管理</w:t>
            </w:r>
            <w:r>
              <w:t>系统关键功能或买方特殊要求提供7*24小时的响应服务，保证在任何时候买方人员都能及时通知到卖方的工程师，保证在承诺的时间内解决问题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shd w:val="clear" w:color="auto" w:fill="auto"/>
            <w:vAlign w:val="center"/>
          </w:tcPr>
          <w:p>
            <w:pPr>
              <w:spacing w:line="360" w:lineRule="auto"/>
            </w:pPr>
            <w:r>
              <w:rPr>
                <w:rFonts w:hint="eastAsia"/>
              </w:rPr>
              <w:t>10</w:t>
            </w:r>
          </w:p>
        </w:tc>
        <w:tc>
          <w:tcPr>
            <w:tcW w:w="9214" w:type="dxa"/>
            <w:shd w:val="clear" w:color="auto" w:fill="auto"/>
            <w:vAlign w:val="center"/>
          </w:tcPr>
          <w:p>
            <w:pPr>
              <w:spacing w:line="360" w:lineRule="auto"/>
            </w:pPr>
            <w:r>
              <w:t>在维保期内，如软件产品的性能和质量与合同规定不符，卖方将自费排除缺陷。软件产品的保修期将重新计算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shd w:val="clear" w:color="auto" w:fill="auto"/>
            <w:vAlign w:val="center"/>
          </w:tcPr>
          <w:p>
            <w:pPr>
              <w:spacing w:line="360" w:lineRule="auto"/>
            </w:pPr>
            <w:r>
              <w:rPr>
                <w:rFonts w:hint="eastAsia"/>
              </w:rPr>
              <w:t>11</w:t>
            </w:r>
          </w:p>
        </w:tc>
        <w:tc>
          <w:tcPr>
            <w:tcW w:w="9214" w:type="dxa"/>
            <w:shd w:val="clear" w:color="auto" w:fill="auto"/>
            <w:vAlign w:val="center"/>
          </w:tcPr>
          <w:p>
            <w:pPr>
              <w:spacing w:line="360" w:lineRule="auto"/>
            </w:pPr>
            <w:r>
              <w:t>在维保期内，如果卖方对其软件产品进行了技术改进，卖方应积极向买方推广，并应免费向买方提供与这些技术改进有关的详细技术资料。对于增加软件产品新功能所做的技术改进，其具体费用负担须经双方另行协商确定。在保修期内，卖方保证向买方免费进行软件更新，卖方承诺免费进行未增加新功能的软件版本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shd w:val="clear" w:color="auto" w:fill="auto"/>
            <w:vAlign w:val="center"/>
          </w:tcPr>
          <w:p>
            <w:pPr>
              <w:spacing w:line="360" w:lineRule="auto"/>
            </w:pPr>
            <w:r>
              <w:rPr>
                <w:rFonts w:hint="eastAsia"/>
              </w:rPr>
              <w:t>12</w:t>
            </w:r>
          </w:p>
        </w:tc>
        <w:tc>
          <w:tcPr>
            <w:tcW w:w="9214" w:type="dxa"/>
            <w:shd w:val="clear" w:color="auto" w:fill="auto"/>
            <w:vAlign w:val="center"/>
          </w:tcPr>
          <w:p>
            <w:pPr>
              <w:spacing w:line="360" w:lineRule="auto"/>
            </w:pPr>
            <w:r>
              <w:t>维保期满后，如果出现特殊和紧急情况，在买方要求下，卖方承诺将派遣其专家以优惠价格到现场进行对合同设备检查和维修</w:t>
            </w:r>
          </w:p>
        </w:tc>
      </w:tr>
    </w:tbl>
    <w:p>
      <w:pPr>
        <w:spacing w:line="360" w:lineRule="auto"/>
      </w:pPr>
    </w:p>
    <w:tbl>
      <w:tblPr>
        <w:tblStyle w:val="34"/>
        <w:tblW w:w="9923"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23" w:type="dxa"/>
            <w:gridSpan w:val="2"/>
            <w:shd w:val="clear" w:color="auto" w:fill="auto"/>
            <w:vAlign w:val="center"/>
          </w:tcPr>
          <w:p>
            <w:pPr>
              <w:spacing w:line="360" w:lineRule="auto"/>
            </w:pPr>
            <w:r>
              <w:rPr>
                <w:rFonts w:hint="eastAsia"/>
              </w:rPr>
              <w:t>保修</w:t>
            </w:r>
            <w:r>
              <w:t>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shd w:val="clear" w:color="auto" w:fill="auto"/>
            <w:vAlign w:val="center"/>
          </w:tcPr>
          <w:p>
            <w:pPr>
              <w:spacing w:line="360" w:lineRule="auto"/>
            </w:pPr>
            <w:r>
              <w:rPr>
                <w:rFonts w:hint="eastAsia"/>
              </w:rPr>
              <w:t>1</w:t>
            </w:r>
          </w:p>
        </w:tc>
        <w:tc>
          <w:tcPr>
            <w:tcW w:w="9214" w:type="dxa"/>
            <w:shd w:val="clear" w:color="auto" w:fill="auto"/>
          </w:tcPr>
          <w:p>
            <w:pPr>
              <w:spacing w:line="360" w:lineRule="auto"/>
            </w:pPr>
            <w:r>
              <w:rPr>
                <w:rFonts w:hint="eastAsia"/>
              </w:rPr>
              <w:t>管理</w:t>
            </w:r>
            <w:r>
              <w:t>系统终验后，卖方</w:t>
            </w:r>
            <w:r>
              <w:rPr>
                <w:rFonts w:hint="eastAsia"/>
              </w:rPr>
              <w:t>软件系统</w:t>
            </w:r>
            <w:r>
              <w:t>保修</w:t>
            </w:r>
            <w:r>
              <w:rPr>
                <w:rFonts w:hint="eastAsia"/>
              </w:rPr>
              <w:t>1</w:t>
            </w:r>
            <w:r>
              <w:t>年（含卖方外购软件），卖方所提供的外购部分软件的技术支持和售后服务均为原厂服务，且外购产品与卖方自行开发产品执行同样的保修和服务标准，买方仅针对卖方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shd w:val="clear" w:color="auto" w:fill="auto"/>
            <w:vAlign w:val="center"/>
          </w:tcPr>
          <w:p>
            <w:pPr>
              <w:spacing w:line="360" w:lineRule="auto"/>
            </w:pPr>
            <w:r>
              <w:rPr>
                <w:rFonts w:hint="eastAsia"/>
              </w:rPr>
              <w:t>2</w:t>
            </w:r>
          </w:p>
        </w:tc>
        <w:tc>
          <w:tcPr>
            <w:tcW w:w="9214" w:type="dxa"/>
            <w:shd w:val="clear" w:color="auto" w:fill="auto"/>
          </w:tcPr>
          <w:p>
            <w:pPr>
              <w:spacing w:line="360" w:lineRule="auto"/>
            </w:pPr>
            <w:r>
              <w:rPr>
                <w:rFonts w:hint="eastAsia"/>
              </w:rPr>
              <w:t>管理系统上线后，卖方硬件需保修1年，卖方所提供的硬件技术支持和售后服务均为原厂服务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shd w:val="clear" w:color="auto" w:fill="auto"/>
            <w:vAlign w:val="center"/>
          </w:tcPr>
          <w:p>
            <w:pPr>
              <w:spacing w:line="360" w:lineRule="auto"/>
            </w:pPr>
            <w:r>
              <w:rPr>
                <w:rFonts w:hint="eastAsia"/>
              </w:rPr>
              <w:t>3</w:t>
            </w:r>
          </w:p>
        </w:tc>
        <w:tc>
          <w:tcPr>
            <w:tcW w:w="9214" w:type="dxa"/>
            <w:shd w:val="clear" w:color="auto" w:fill="auto"/>
          </w:tcPr>
          <w:p>
            <w:pPr>
              <w:spacing w:line="360" w:lineRule="auto"/>
            </w:pPr>
            <w:r>
              <w:t>在保修期内，如果系统发生故障，卖方要调查故障原因并修复直至满足最终验收指标和性能的要求，或者更换整个或部分有缺陷的软件。以上都应是免费的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shd w:val="clear" w:color="auto" w:fill="auto"/>
            <w:vAlign w:val="center"/>
          </w:tcPr>
          <w:p>
            <w:pPr>
              <w:spacing w:line="360" w:lineRule="auto"/>
            </w:pPr>
            <w:r>
              <w:rPr>
                <w:rFonts w:hint="eastAsia"/>
              </w:rPr>
              <w:t>4</w:t>
            </w:r>
          </w:p>
        </w:tc>
        <w:tc>
          <w:tcPr>
            <w:tcW w:w="9214" w:type="dxa"/>
            <w:shd w:val="clear" w:color="auto" w:fill="auto"/>
          </w:tcPr>
          <w:p>
            <w:pPr>
              <w:spacing w:line="360" w:lineRule="auto"/>
            </w:pPr>
            <w:r>
              <w:rPr>
                <w:rFonts w:hint="eastAsia"/>
              </w:rPr>
              <w:t>在保修期内，卖方应负责软件版本升级、打补丁、调测Bug、性能调优等工作。以上内容都应是免费的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shd w:val="clear" w:color="auto" w:fill="auto"/>
            <w:vAlign w:val="center"/>
          </w:tcPr>
          <w:p>
            <w:pPr>
              <w:spacing w:line="360" w:lineRule="auto"/>
            </w:pPr>
            <w:r>
              <w:rPr>
                <w:rFonts w:hint="eastAsia"/>
              </w:rPr>
              <w:t>5</w:t>
            </w:r>
          </w:p>
        </w:tc>
        <w:tc>
          <w:tcPr>
            <w:tcW w:w="9214" w:type="dxa"/>
            <w:shd w:val="clear" w:color="auto" w:fill="auto"/>
          </w:tcPr>
          <w:p>
            <w:pPr>
              <w:spacing w:line="360" w:lineRule="auto"/>
            </w:pPr>
            <w:r>
              <w:t>在保修期内，卖方应提供灵活、多样的通信手段，针对</w:t>
            </w:r>
            <w:r>
              <w:rPr>
                <w:rFonts w:hint="eastAsia"/>
              </w:rPr>
              <w:t>管理</w:t>
            </w:r>
            <w:r>
              <w:t>系统关键功能或买方特殊要求提供7*24小时的响应服务，保证在任何时候买方人员都能及时找到卖方的工程师</w:t>
            </w:r>
            <w:r>
              <w:rPr>
                <w:rFonts w:hint="eastAsia"/>
              </w:rPr>
              <w:t>，</w:t>
            </w:r>
            <w:r>
              <w:t>保证在买方规定的时间内解决问题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shd w:val="clear" w:color="auto" w:fill="auto"/>
            <w:vAlign w:val="center"/>
          </w:tcPr>
          <w:p>
            <w:pPr>
              <w:spacing w:line="360" w:lineRule="auto"/>
              <w:rPr>
                <w:rFonts w:hint="eastAsia"/>
              </w:rPr>
            </w:pPr>
            <w:r>
              <w:rPr>
                <w:rFonts w:hint="eastAsia"/>
              </w:rPr>
              <w:br w:type="page"/>
            </w:r>
          </w:p>
        </w:tc>
        <w:tc>
          <w:tcPr>
            <w:tcW w:w="9214" w:type="dxa"/>
            <w:shd w:val="clear" w:color="auto" w:fill="auto"/>
          </w:tcPr>
          <w:p>
            <w:pPr>
              <w:spacing w:line="360" w:lineRule="auto"/>
            </w:pPr>
          </w:p>
        </w:tc>
      </w:tr>
    </w:tbl>
    <w:p>
      <w:pPr>
        <w:pStyle w:val="2"/>
        <w:pageBreakBefore/>
        <w:numPr>
          <w:ilvl w:val="0"/>
          <w:numId w:val="3"/>
        </w:numPr>
        <w:spacing w:before="0" w:after="0" w:line="360" w:lineRule="auto"/>
        <w:ind w:left="0" w:leftChars="0" w:firstLine="402" w:firstLineChars="0"/>
      </w:pPr>
      <w:r>
        <w:rPr>
          <w:rFonts w:hint="eastAsia"/>
          <w:lang w:val="en-US" w:eastAsia="zh-CN"/>
        </w:rPr>
        <w:t xml:space="preserve"> </w:t>
      </w:r>
      <w:bookmarkStart w:id="528" w:name="_Toc11702"/>
      <w:r>
        <w:rPr>
          <w:rFonts w:hint="eastAsia"/>
          <w:lang w:val="en-US" w:eastAsia="zh-CN"/>
        </w:rPr>
        <w:t>其他商务文件</w:t>
      </w:r>
      <w:bookmarkEnd w:id="528"/>
    </w:p>
    <w:p>
      <w:pPr>
        <w:pStyle w:val="3"/>
        <w:numPr>
          <w:ilvl w:val="1"/>
          <w:numId w:val="87"/>
        </w:numPr>
        <w:ind w:left="0" w:leftChars="0" w:firstLine="402" w:firstLineChars="0"/>
      </w:pPr>
      <w:bookmarkStart w:id="529" w:name="_Toc25371"/>
      <w:r>
        <w:rPr>
          <w:rFonts w:hint="eastAsia"/>
        </w:rPr>
        <w:t>供应商联系人信息</w:t>
      </w:r>
      <w:bookmarkEnd w:id="529"/>
    </w:p>
    <w:tbl>
      <w:tblPr>
        <w:tblStyle w:val="3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3"/>
        <w:gridCol w:w="6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3" w:type="dxa"/>
          </w:tcPr>
          <w:p>
            <w:pPr>
              <w:rPr>
                <w:b/>
                <w:bCs/>
                <w:sz w:val="24"/>
                <w:szCs w:val="24"/>
                <w:vertAlign w:val="baseline"/>
              </w:rPr>
            </w:pPr>
            <w:r>
              <w:rPr>
                <w:rFonts w:hint="eastAsia"/>
                <w:b/>
                <w:bCs/>
                <w:sz w:val="24"/>
                <w:szCs w:val="24"/>
              </w:rPr>
              <w:t>供应商名称</w:t>
            </w:r>
          </w:p>
        </w:tc>
        <w:tc>
          <w:tcPr>
            <w:tcW w:w="6439" w:type="dxa"/>
          </w:tcPr>
          <w:p>
            <w:pPr>
              <w:rPr>
                <w:rFonts w:hint="eastAsia" w:eastAsiaTheme="minorEastAsia"/>
                <w:b/>
                <w:bCs/>
                <w:sz w:val="24"/>
                <w:szCs w:val="24"/>
                <w:vertAlign w:val="baseline"/>
                <w:lang w:val="en-US" w:eastAsia="zh-CN"/>
              </w:rPr>
            </w:pPr>
            <w:r>
              <w:rPr>
                <w:rFonts w:hint="eastAsia"/>
                <w:b/>
                <w:bCs/>
                <w:sz w:val="24"/>
                <w:szCs w:val="24"/>
                <w:vertAlign w:val="baseline"/>
                <w:lang w:val="en-US" w:eastAsia="zh-CN"/>
              </w:rPr>
              <w:t>北京**信息技术有限公司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3" w:type="dxa"/>
          </w:tcPr>
          <w:p>
            <w:pPr>
              <w:rPr>
                <w:sz w:val="24"/>
                <w:szCs w:val="24"/>
                <w:vertAlign w:val="baseline"/>
              </w:rPr>
            </w:pPr>
            <w:r>
              <w:rPr>
                <w:rFonts w:hint="eastAsia"/>
                <w:sz w:val="24"/>
                <w:szCs w:val="24"/>
              </w:rPr>
              <w:t>总联系人</w:t>
            </w:r>
          </w:p>
        </w:tc>
        <w:tc>
          <w:tcPr>
            <w:tcW w:w="6439" w:type="dxa"/>
          </w:tcPr>
          <w:p>
            <w:pPr>
              <w:rPr>
                <w:rFonts w:hint="eastAsia" w:eastAsia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3" w:type="dxa"/>
          </w:tcPr>
          <w:p>
            <w:pPr>
              <w:rPr>
                <w:rFonts w:hint="eastAsia"/>
                <w:sz w:val="24"/>
                <w:szCs w:val="24"/>
              </w:rPr>
            </w:pPr>
            <w:r>
              <w:rPr>
                <w:rFonts w:hint="eastAsia"/>
                <w:sz w:val="24"/>
                <w:szCs w:val="24"/>
              </w:rPr>
              <w:t>电话</w:t>
            </w:r>
          </w:p>
          <w:p>
            <w:pPr>
              <w:rPr>
                <w:sz w:val="24"/>
                <w:szCs w:val="24"/>
                <w:vertAlign w:val="baseline"/>
              </w:rPr>
            </w:pPr>
            <w:r>
              <w:rPr>
                <w:rFonts w:hint="eastAsia"/>
                <w:sz w:val="24"/>
                <w:szCs w:val="24"/>
              </w:rPr>
              <w:t>（固话和手机）</w:t>
            </w:r>
          </w:p>
        </w:tc>
        <w:tc>
          <w:tcPr>
            <w:tcW w:w="6439" w:type="dxa"/>
          </w:tcPr>
          <w:p>
            <w:pPr>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3" w:type="dxa"/>
          </w:tcPr>
          <w:p>
            <w:pPr>
              <w:rPr>
                <w:rFonts w:hint="eastAsia"/>
                <w:sz w:val="24"/>
                <w:szCs w:val="24"/>
              </w:rPr>
            </w:pPr>
            <w:r>
              <w:rPr>
                <w:rFonts w:hint="eastAsia"/>
                <w:sz w:val="24"/>
                <w:szCs w:val="24"/>
              </w:rPr>
              <w:t>传真</w:t>
            </w:r>
          </w:p>
          <w:p>
            <w:pPr>
              <w:rPr>
                <w:sz w:val="24"/>
                <w:szCs w:val="24"/>
                <w:vertAlign w:val="baseline"/>
              </w:rPr>
            </w:pPr>
            <w:r>
              <w:rPr>
                <w:rFonts w:hint="eastAsia"/>
                <w:sz w:val="24"/>
                <w:szCs w:val="24"/>
              </w:rPr>
              <w:t>邮箱</w:t>
            </w:r>
            <w:r>
              <w:rPr>
                <w:rFonts w:hint="eastAsia"/>
                <w:sz w:val="24"/>
                <w:szCs w:val="24"/>
              </w:rPr>
              <w:tab/>
            </w:r>
          </w:p>
        </w:tc>
        <w:tc>
          <w:tcPr>
            <w:tcW w:w="6439" w:type="dxa"/>
          </w:tcPr>
          <w:p>
            <w:pPr>
              <w:rPr>
                <w:rFonts w:hint="eastAsia" w:eastAsia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3" w:type="dxa"/>
          </w:tcPr>
          <w:p>
            <w:pPr>
              <w:rPr>
                <w:rFonts w:hint="eastAsia"/>
                <w:sz w:val="24"/>
                <w:szCs w:val="24"/>
              </w:rPr>
            </w:pPr>
            <w:r>
              <w:rPr>
                <w:rFonts w:hint="eastAsia"/>
                <w:sz w:val="24"/>
                <w:szCs w:val="24"/>
              </w:rPr>
              <w:t xml:space="preserve"> 公司注册地、</w:t>
            </w:r>
          </w:p>
          <w:p>
            <w:pPr>
              <w:rPr>
                <w:sz w:val="24"/>
                <w:szCs w:val="24"/>
                <w:vertAlign w:val="baseline"/>
              </w:rPr>
            </w:pPr>
            <w:r>
              <w:rPr>
                <w:rFonts w:hint="eastAsia"/>
                <w:sz w:val="24"/>
                <w:szCs w:val="24"/>
              </w:rPr>
              <w:t xml:space="preserve"> 营业执照注册号</w:t>
            </w:r>
          </w:p>
        </w:tc>
        <w:tc>
          <w:tcPr>
            <w:tcW w:w="6439" w:type="dxa"/>
          </w:tcPr>
          <w:p>
            <w:pPr>
              <w:rPr>
                <w:rFonts w:hint="eastAsia"/>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3" w:type="dxa"/>
          </w:tcPr>
          <w:p>
            <w:pPr>
              <w:rPr>
                <w:rFonts w:hint="eastAsia"/>
                <w:sz w:val="24"/>
                <w:szCs w:val="24"/>
              </w:rPr>
            </w:pPr>
            <w:r>
              <w:rPr>
                <w:rFonts w:hint="eastAsia"/>
                <w:sz w:val="24"/>
                <w:szCs w:val="24"/>
              </w:rPr>
              <w:t>公司地址</w:t>
            </w:r>
          </w:p>
          <w:p>
            <w:pPr>
              <w:rPr>
                <w:rFonts w:hint="eastAsia"/>
                <w:sz w:val="24"/>
                <w:szCs w:val="24"/>
              </w:rPr>
            </w:pPr>
            <w:r>
              <w:rPr>
                <w:rFonts w:hint="eastAsia"/>
                <w:sz w:val="24"/>
                <w:szCs w:val="24"/>
              </w:rPr>
              <w:t>法人姓名</w:t>
            </w:r>
          </w:p>
        </w:tc>
        <w:tc>
          <w:tcPr>
            <w:tcW w:w="6439" w:type="dxa"/>
          </w:tcPr>
          <w:p>
            <w:pPr>
              <w:rPr>
                <w:rFonts w:hint="eastAsia" w:eastAsia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3" w:type="dxa"/>
          </w:tcPr>
          <w:p>
            <w:pPr>
              <w:rPr>
                <w:rFonts w:hint="eastAsia"/>
                <w:sz w:val="24"/>
                <w:szCs w:val="24"/>
              </w:rPr>
            </w:pPr>
          </w:p>
          <w:p>
            <w:pPr>
              <w:rPr>
                <w:rFonts w:hint="eastAsia"/>
                <w:sz w:val="24"/>
                <w:szCs w:val="24"/>
              </w:rPr>
            </w:pPr>
          </w:p>
        </w:tc>
        <w:tc>
          <w:tcPr>
            <w:tcW w:w="6439" w:type="dxa"/>
          </w:tcPr>
          <w:p>
            <w:pPr>
              <w:rPr>
                <w:rFonts w:hint="eastAsia"/>
                <w:sz w:val="24"/>
                <w:szCs w:val="24"/>
                <w:vertAlign w:val="baseline"/>
                <w:lang w:val="en-US" w:eastAsia="zh-CN"/>
              </w:rPr>
            </w:pPr>
          </w:p>
        </w:tc>
      </w:tr>
    </w:tbl>
    <w:p>
      <w:pPr>
        <w:rPr>
          <w:rFonts w:hint="eastAsia"/>
        </w:rPr>
      </w:pPr>
      <w:r>
        <w:rPr>
          <w:rFonts w:hint="eastAsia"/>
        </w:rPr>
        <w:t xml:space="preserve"> </w:t>
      </w:r>
      <w:r>
        <w:rPr>
          <w:rFonts w:hint="eastAsia"/>
        </w:rPr>
        <w:tab/>
      </w:r>
    </w:p>
    <w:p>
      <w:pPr>
        <w:rPr>
          <w:rFonts w:hint="eastAsia"/>
        </w:rPr>
      </w:pPr>
      <w:r>
        <w:rPr>
          <w:rFonts w:hint="eastAsia"/>
        </w:rPr>
        <w:t xml:space="preserve"> </w:t>
      </w:r>
      <w:r>
        <w:rPr>
          <w:rFonts w:hint="eastAsia"/>
        </w:rPr>
        <w:tab/>
      </w:r>
    </w:p>
    <w:p>
      <w:pPr>
        <w:rPr>
          <w:rFonts w:hint="eastAsia"/>
        </w:rPr>
      </w:pPr>
      <w:r>
        <w:rPr>
          <w:rFonts w:hint="eastAsia"/>
        </w:rPr>
        <w:t xml:space="preserve"> </w:t>
      </w:r>
      <w:r>
        <w:rPr>
          <w:rFonts w:hint="eastAsia"/>
        </w:rPr>
        <w:tab/>
      </w:r>
    </w:p>
    <w:p>
      <w:pPr>
        <w:rPr>
          <w:rFonts w:hint="eastAsia"/>
        </w:rPr>
      </w:pPr>
      <w:r>
        <w:rPr>
          <w:rFonts w:hint="eastAsia"/>
        </w:rPr>
        <w:t xml:space="preserve"> </w:t>
      </w:r>
    </w:p>
    <w:p>
      <w:pPr>
        <w:rPr>
          <w:rFonts w:hint="eastAsia"/>
        </w:rPr>
      </w:pPr>
      <w:r>
        <w:rPr>
          <w:rFonts w:hint="eastAsia"/>
        </w:rPr>
        <w:tab/>
      </w:r>
    </w:p>
    <w:p>
      <w:r>
        <w:rPr>
          <w:rFonts w:hint="eastAsia"/>
        </w:rPr>
        <w:t xml:space="preserve"> </w:t>
      </w:r>
      <w:r>
        <w:br w:type="page"/>
      </w:r>
    </w:p>
    <w:p/>
    <w:p>
      <w:pPr>
        <w:pStyle w:val="3"/>
        <w:numPr>
          <w:ilvl w:val="1"/>
          <w:numId w:val="87"/>
        </w:numPr>
        <w:ind w:left="0" w:leftChars="0" w:firstLine="402" w:firstLineChars="0"/>
      </w:pPr>
      <w:bookmarkStart w:id="530" w:name="_Toc14412"/>
      <w:r>
        <w:rPr>
          <w:rFonts w:hint="eastAsia" w:ascii="宋体" w:hAnsi="宋体" w:eastAsia="宋体"/>
          <w:b/>
          <w:sz w:val="32"/>
        </w:rPr>
        <w:t>法定代表人授权委托书</w:t>
      </w:r>
      <w:bookmarkEnd w:id="530"/>
    </w:p>
    <w:p>
      <w:pPr>
        <w:pStyle w:val="14"/>
        <w:adjustRightInd w:val="0"/>
        <w:snapToGrid w:val="0"/>
        <w:spacing w:after="0" w:line="460" w:lineRule="exact"/>
        <w:rPr>
          <w:rFonts w:ascii="宋体" w:hAnsi="宋体" w:eastAsia="宋体"/>
        </w:rPr>
      </w:pPr>
      <w:r>
        <w:rPr>
          <w:rFonts w:hint="eastAsia" w:ascii="宋体" w:hAnsi="宋体"/>
          <w:lang w:eastAsia="zh-CN"/>
        </w:rPr>
        <w:t>xx</w:t>
      </w:r>
      <w:r>
        <w:rPr>
          <w:rFonts w:hint="eastAsia" w:ascii="宋体" w:hAnsi="宋体" w:eastAsia="宋体"/>
        </w:rPr>
        <w:t>集团有限公司电子收费分公司：</w:t>
      </w:r>
    </w:p>
    <w:p>
      <w:pPr>
        <w:pStyle w:val="14"/>
        <w:adjustRightInd w:val="0"/>
        <w:snapToGrid w:val="0"/>
        <w:spacing w:after="0" w:line="460" w:lineRule="exact"/>
        <w:rPr>
          <w:rFonts w:ascii="宋体" w:hAnsi="宋体" w:eastAsia="宋体"/>
        </w:rPr>
      </w:pPr>
    </w:p>
    <w:p>
      <w:pPr>
        <w:pStyle w:val="14"/>
        <w:adjustRightInd w:val="0"/>
        <w:snapToGrid w:val="0"/>
        <w:spacing w:after="0" w:line="460" w:lineRule="exact"/>
        <w:ind w:firstLine="480"/>
        <w:rPr>
          <w:rFonts w:ascii="宋体" w:hAnsi="宋体" w:eastAsia="宋体"/>
        </w:rPr>
      </w:pPr>
      <w:r>
        <w:rPr>
          <w:rFonts w:hint="eastAsia" w:ascii="宋体" w:hAnsi="宋体" w:eastAsia="宋体"/>
          <w:u w:val="single"/>
          <w:lang w:val="en-US" w:eastAsia="zh-CN"/>
        </w:rPr>
        <w:t xml:space="preserve">  北京</w:t>
      </w:r>
      <w:r>
        <w:rPr>
          <w:rFonts w:hint="eastAsia" w:ascii="宋体" w:hAnsi="宋体"/>
          <w:u w:val="single"/>
          <w:lang w:val="en-US" w:eastAsia="zh-CN"/>
        </w:rPr>
        <w:t>**</w:t>
      </w:r>
      <w:r>
        <w:rPr>
          <w:rFonts w:hint="eastAsia" w:ascii="宋体" w:hAnsi="宋体" w:eastAsia="宋体"/>
          <w:u w:val="single"/>
          <w:lang w:val="en-US" w:eastAsia="zh-CN"/>
        </w:rPr>
        <w:t xml:space="preserve">信息技术有限公司   </w:t>
      </w:r>
      <w:r>
        <w:rPr>
          <w:rFonts w:hint="eastAsia" w:ascii="宋体" w:hAnsi="宋体" w:eastAsia="宋体"/>
        </w:rPr>
        <w:t>法定代表人</w:t>
      </w:r>
      <w:r>
        <w:rPr>
          <w:rFonts w:hint="eastAsia" w:ascii="宋体" w:hAnsi="宋体" w:eastAsia="宋体"/>
          <w:u w:val="single"/>
        </w:rPr>
        <w:t xml:space="preserve"> </w:t>
      </w:r>
      <w:r>
        <w:rPr>
          <w:rFonts w:hint="eastAsia" w:ascii="宋体" w:hAnsi="宋体" w:eastAsia="宋体"/>
          <w:u w:val="single"/>
          <w:lang w:val="en-US" w:eastAsia="zh-CN"/>
        </w:rPr>
        <w:t xml:space="preserve"> 郭</w:t>
      </w:r>
      <w:r>
        <w:rPr>
          <w:rFonts w:hint="eastAsia" w:ascii="宋体" w:hAnsi="宋体"/>
          <w:u w:val="single"/>
          <w:lang w:val="en-US" w:eastAsia="zh-CN"/>
        </w:rPr>
        <w:t>xx</w:t>
      </w:r>
      <w:r>
        <w:rPr>
          <w:rFonts w:hint="eastAsia" w:ascii="宋体" w:hAnsi="宋体" w:eastAsia="宋体"/>
          <w:u w:val="single"/>
        </w:rPr>
        <w:t xml:space="preserve">  </w:t>
      </w:r>
      <w:r>
        <w:rPr>
          <w:rFonts w:hint="eastAsia" w:ascii="宋体" w:hAnsi="宋体" w:eastAsia="宋体"/>
        </w:rPr>
        <w:t>授权我公司</w:t>
      </w:r>
      <w:r>
        <w:rPr>
          <w:rFonts w:hint="eastAsia" w:ascii="宋体" w:hAnsi="宋体" w:eastAsia="宋体"/>
          <w:u w:val="single"/>
        </w:rPr>
        <w:t xml:space="preserve">  </w:t>
      </w:r>
      <w:r>
        <w:rPr>
          <w:rFonts w:hint="eastAsia" w:ascii="宋体" w:hAnsi="宋体" w:eastAsia="宋体"/>
          <w:u w:val="single"/>
          <w:lang w:val="en-US" w:eastAsia="zh-CN"/>
        </w:rPr>
        <w:t xml:space="preserve">  </w:t>
      </w:r>
      <w:r>
        <w:rPr>
          <w:rFonts w:hint="eastAsia" w:ascii="宋体" w:hAnsi="宋体" w:eastAsia="宋体"/>
          <w:u w:val="single"/>
        </w:rPr>
        <w:t xml:space="preserve">   </w:t>
      </w:r>
      <w:r>
        <w:rPr>
          <w:rFonts w:hint="eastAsia" w:ascii="宋体" w:hAnsi="宋体"/>
          <w:u w:val="single"/>
          <w:lang w:val="en-US" w:eastAsia="zh-CN"/>
        </w:rPr>
        <w:t xml:space="preserve">       副总经理 </w:t>
      </w:r>
      <w:r>
        <w:rPr>
          <w:rFonts w:hint="eastAsia" w:ascii="宋体" w:hAnsi="宋体" w:eastAsia="宋体"/>
        </w:rPr>
        <w:t>（职务或职称）</w:t>
      </w:r>
      <w:r>
        <w:rPr>
          <w:rFonts w:hint="eastAsia" w:ascii="宋体" w:hAnsi="宋体" w:eastAsia="宋体"/>
          <w:u w:val="single"/>
        </w:rPr>
        <w:t xml:space="preserve">  </w:t>
      </w:r>
      <w:r>
        <w:rPr>
          <w:rFonts w:hint="eastAsia" w:ascii="宋体" w:hAnsi="宋体" w:eastAsia="宋体"/>
        </w:rPr>
        <w:t>为我单位本次磋商授权代理人，全权处</w:t>
      </w:r>
      <w:r>
        <w:rPr>
          <w:rFonts w:hint="eastAsia" w:ascii="宋体" w:hAnsi="宋体" w:eastAsia="宋体" w:cs="宋体"/>
          <w:sz w:val="24"/>
          <w:szCs w:val="24"/>
        </w:rPr>
        <w:t>理此次</w:t>
      </w:r>
      <w:r>
        <w:rPr>
          <w:rFonts w:hint="eastAsia" w:ascii="宋体" w:hAnsi="宋体" w:eastAsia="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cs="宋体"/>
          <w:sz w:val="24"/>
          <w:szCs w:val="24"/>
          <w:u w:val="single"/>
          <w:lang w:eastAsia="zh-CN"/>
        </w:rPr>
        <w:t>xx</w:t>
      </w:r>
      <w:r>
        <w:rPr>
          <w:rFonts w:hint="eastAsia" w:ascii="宋体" w:hAnsi="宋体"/>
          <w:sz w:val="24"/>
          <w:szCs w:val="24"/>
          <w:u w:val="single"/>
        </w:rPr>
        <w:t>集团有限公司电子收费分公司发票管理系统开发</w:t>
      </w:r>
      <w:r>
        <w:rPr>
          <w:rFonts w:hint="eastAsia" w:ascii="宋体" w:hAnsi="宋体" w:eastAsia="宋体"/>
          <w:u w:val="single"/>
        </w:rPr>
        <w:t xml:space="preserve">  </w:t>
      </w:r>
      <w:r>
        <w:rPr>
          <w:rFonts w:hint="eastAsia" w:ascii="宋体" w:hAnsi="宋体" w:eastAsia="宋体"/>
        </w:rPr>
        <w:t>项目竞争性磋商（项目编号：</w:t>
      </w:r>
      <w:r>
        <w:rPr>
          <w:rFonts w:ascii="宋体" w:hAnsi="宋体"/>
          <w:sz w:val="28"/>
          <w:u w:val="single"/>
        </w:rPr>
        <w:t>SDHDC2016-107</w:t>
      </w:r>
      <w:r>
        <w:rPr>
          <w:rFonts w:hint="eastAsia" w:ascii="宋体" w:hAnsi="宋体" w:eastAsia="宋体"/>
        </w:rPr>
        <w:t xml:space="preserve"> ）的一切事宜。</w:t>
      </w:r>
    </w:p>
    <w:p>
      <w:pPr>
        <w:pStyle w:val="14"/>
        <w:adjustRightInd w:val="0"/>
        <w:snapToGrid w:val="0"/>
        <w:spacing w:after="0" w:line="460" w:lineRule="exact"/>
        <w:rPr>
          <w:rFonts w:ascii="宋体" w:hAnsi="宋体" w:eastAsia="宋体"/>
        </w:rPr>
      </w:pPr>
    </w:p>
    <w:p>
      <w:pPr>
        <w:pStyle w:val="14"/>
        <w:adjustRightInd w:val="0"/>
        <w:snapToGrid w:val="0"/>
        <w:spacing w:after="0" w:line="460" w:lineRule="exact"/>
        <w:rPr>
          <w:rFonts w:ascii="宋体" w:hAnsi="宋体" w:eastAsia="宋体"/>
        </w:rPr>
      </w:pPr>
    </w:p>
    <w:p>
      <w:pPr>
        <w:pStyle w:val="14"/>
        <w:adjustRightInd w:val="0"/>
        <w:snapToGrid w:val="0"/>
        <w:spacing w:after="0" w:line="240" w:lineRule="auto"/>
        <w:rPr>
          <w:rFonts w:hint="eastAsia" w:ascii="宋体" w:hAnsi="宋体" w:eastAsia="宋体"/>
          <w:lang w:eastAsia="zh-CN"/>
        </w:rPr>
      </w:pPr>
      <w:r>
        <w:rPr>
          <w:rFonts w:hint="eastAsia" w:ascii="宋体" w:hAnsi="宋体" w:eastAsia="宋体"/>
        </w:rPr>
        <w:t>特此授权。</w:t>
      </w:r>
    </w:p>
    <w:p>
      <w:pPr>
        <w:pStyle w:val="14"/>
        <w:adjustRightInd w:val="0"/>
        <w:snapToGrid w:val="0"/>
        <w:spacing w:after="0" w:line="460" w:lineRule="exact"/>
        <w:rPr>
          <w:rFonts w:ascii="宋体" w:hAnsi="宋体" w:eastAsia="宋体"/>
        </w:rPr>
      </w:pPr>
    </w:p>
    <w:p>
      <w:pPr>
        <w:pStyle w:val="14"/>
        <w:adjustRightInd w:val="0"/>
        <w:snapToGrid w:val="0"/>
        <w:spacing w:after="0" w:line="460" w:lineRule="exact"/>
        <w:rPr>
          <w:rFonts w:ascii="宋体" w:hAnsi="宋体" w:eastAsia="宋体"/>
        </w:rPr>
      </w:pPr>
    </w:p>
    <w:p>
      <w:pPr>
        <w:pStyle w:val="14"/>
        <w:adjustRightInd w:val="0"/>
        <w:snapToGrid w:val="0"/>
        <w:spacing w:after="0" w:line="460" w:lineRule="exact"/>
        <w:rPr>
          <w:rFonts w:ascii="宋体" w:hAnsi="宋体" w:eastAsia="宋体"/>
        </w:rPr>
      </w:pPr>
    </w:p>
    <w:p>
      <w:pPr>
        <w:pStyle w:val="14"/>
        <w:adjustRightInd w:val="0"/>
        <w:snapToGrid w:val="0"/>
        <w:spacing w:after="0" w:line="460" w:lineRule="exact"/>
        <w:jc w:val="left"/>
        <w:rPr>
          <w:rFonts w:ascii="宋体" w:hAnsi="宋体" w:eastAsia="宋体"/>
        </w:rPr>
      </w:pPr>
      <w:r>
        <w:rPr>
          <w:rFonts w:hint="eastAsia" w:ascii="宋体" w:hAnsi="宋体"/>
          <w:lang w:val="en-US" w:eastAsia="zh-CN"/>
        </w:rPr>
        <w:t xml:space="preserve">                                   </w:t>
      </w:r>
      <w:r>
        <w:rPr>
          <w:rFonts w:hint="eastAsia" w:ascii="宋体" w:hAnsi="宋体" w:eastAsia="宋体"/>
        </w:rPr>
        <w:t>单位名称（公章）：</w:t>
      </w:r>
    </w:p>
    <w:p>
      <w:pPr>
        <w:pStyle w:val="14"/>
        <w:adjustRightInd w:val="0"/>
        <w:snapToGrid w:val="0"/>
        <w:spacing w:after="0" w:line="460" w:lineRule="exact"/>
        <w:rPr>
          <w:rFonts w:ascii="宋体" w:hAnsi="宋体" w:eastAsia="宋体"/>
        </w:rPr>
      </w:pPr>
      <w:r>
        <w:rPr>
          <w:rFonts w:hint="eastAsia" w:ascii="宋体" w:hAnsi="宋体"/>
          <w:lang w:val="en-US" w:eastAsia="zh-CN"/>
        </w:rPr>
        <w:t xml:space="preserve">                                   </w:t>
      </w:r>
      <w:r>
        <w:rPr>
          <w:rFonts w:hint="eastAsia" w:ascii="宋体" w:hAnsi="宋体" w:eastAsia="宋体"/>
        </w:rPr>
        <w:t>法定代表人签字：</w:t>
      </w:r>
    </w:p>
    <w:p>
      <w:pPr>
        <w:pStyle w:val="14"/>
        <w:adjustRightInd w:val="0"/>
        <w:snapToGrid w:val="0"/>
        <w:spacing w:after="0" w:line="460" w:lineRule="exact"/>
        <w:rPr>
          <w:rFonts w:ascii="宋体" w:hAnsi="宋体" w:eastAsia="宋体"/>
        </w:rPr>
      </w:pPr>
      <w:r>
        <w:rPr>
          <w:rFonts w:hint="eastAsia" w:ascii="宋体" w:hAnsi="宋体"/>
          <w:lang w:val="en-US" w:eastAsia="zh-CN"/>
        </w:rPr>
        <w:t xml:space="preserve">                                   </w:t>
      </w:r>
      <w:r>
        <w:rPr>
          <w:rFonts w:hint="eastAsia" w:ascii="宋体" w:hAnsi="宋体" w:eastAsia="宋体"/>
        </w:rPr>
        <w:t>授权代理人签字：</w:t>
      </w:r>
    </w:p>
    <w:p>
      <w:pPr>
        <w:pStyle w:val="14"/>
        <w:adjustRightInd w:val="0"/>
        <w:snapToGrid w:val="0"/>
        <w:spacing w:after="0" w:line="460" w:lineRule="exact"/>
        <w:rPr>
          <w:rFonts w:ascii="宋体" w:hAnsi="宋体" w:eastAsia="宋体"/>
        </w:rPr>
      </w:pPr>
    </w:p>
    <w:p>
      <w:pPr>
        <w:pStyle w:val="14"/>
        <w:wordWrap w:val="0"/>
        <w:adjustRightInd w:val="0"/>
        <w:snapToGrid w:val="0"/>
        <w:spacing w:after="0" w:line="460" w:lineRule="exact"/>
        <w:ind w:right="283" w:rightChars="135"/>
        <w:jc w:val="both"/>
        <w:rPr>
          <w:rFonts w:ascii="宋体" w:hAnsi="宋体" w:eastAsia="宋体"/>
        </w:rPr>
      </w:pPr>
      <w:r>
        <w:rPr>
          <w:rFonts w:hint="eastAsia" w:ascii="宋体" w:hAnsi="宋体"/>
          <w:lang w:val="en-US" w:eastAsia="zh-CN"/>
        </w:rPr>
        <w:t xml:space="preserve">                                        2016</w:t>
      </w:r>
      <w:r>
        <w:rPr>
          <w:rFonts w:hint="eastAsia" w:ascii="宋体" w:hAnsi="宋体" w:eastAsia="宋体"/>
        </w:rPr>
        <w:t xml:space="preserve">年 </w:t>
      </w:r>
      <w:r>
        <w:rPr>
          <w:rFonts w:hint="eastAsia" w:ascii="宋体" w:hAnsi="宋体"/>
          <w:lang w:val="en-US" w:eastAsia="zh-CN"/>
        </w:rPr>
        <w:t>10</w:t>
      </w:r>
      <w:r>
        <w:rPr>
          <w:rFonts w:hint="eastAsia" w:ascii="宋体" w:hAnsi="宋体" w:eastAsia="宋体"/>
        </w:rPr>
        <w:t xml:space="preserve"> 月 </w:t>
      </w:r>
      <w:r>
        <w:rPr>
          <w:rFonts w:hint="eastAsia" w:ascii="宋体" w:hAnsi="宋体"/>
          <w:lang w:val="en-US" w:eastAsia="zh-CN"/>
        </w:rPr>
        <w:t>26</w:t>
      </w:r>
      <w:r>
        <w:rPr>
          <w:rFonts w:hint="eastAsia" w:ascii="宋体" w:hAnsi="宋体" w:eastAsia="宋体"/>
        </w:rPr>
        <w:t xml:space="preserve"> 日</w:t>
      </w:r>
    </w:p>
    <w:p/>
    <w:p>
      <w:pPr>
        <w:pStyle w:val="3"/>
        <w:numPr>
          <w:ilvl w:val="1"/>
          <w:numId w:val="87"/>
        </w:numPr>
        <w:ind w:left="0" w:leftChars="0" w:firstLine="402" w:firstLineChars="0"/>
      </w:pPr>
      <w:bookmarkStart w:id="531" w:name="_Toc25997"/>
      <w:r>
        <w:rPr>
          <w:rFonts w:hint="eastAsia"/>
          <w:lang w:val="en-US" w:eastAsia="zh-CN"/>
        </w:rPr>
        <w:t>经营业绩一览表</w:t>
      </w:r>
      <w:bookmarkEnd w:id="531"/>
    </w:p>
    <w:tbl>
      <w:tblPr>
        <w:tblStyle w:val="3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983"/>
        <w:gridCol w:w="960"/>
        <w:gridCol w:w="968"/>
        <w:gridCol w:w="1332"/>
        <w:gridCol w:w="1528"/>
        <w:gridCol w:w="1306"/>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trPr>
        <w:tc>
          <w:tcPr>
            <w:tcW w:w="969" w:type="dxa"/>
            <w:vAlign w:val="center"/>
          </w:tcPr>
          <w:p>
            <w:pPr>
              <w:tabs>
                <w:tab w:val="left" w:pos="720"/>
                <w:tab w:val="left" w:pos="1440"/>
                <w:tab w:val="left" w:pos="1620"/>
              </w:tabs>
              <w:adjustRightInd w:val="0"/>
              <w:snapToGrid w:val="0"/>
              <w:ind w:right="187"/>
              <w:jc w:val="center"/>
              <w:rPr>
                <w:rFonts w:asciiTheme="minorEastAsia" w:hAnsiTheme="minorEastAsia"/>
                <w:bCs/>
                <w:sz w:val="24"/>
              </w:rPr>
            </w:pPr>
            <w:r>
              <w:rPr>
                <w:rFonts w:hint="eastAsia" w:asciiTheme="minorEastAsia" w:hAnsiTheme="minorEastAsia"/>
                <w:bCs/>
                <w:sz w:val="24"/>
              </w:rPr>
              <w:t>项目名称</w:t>
            </w:r>
          </w:p>
        </w:tc>
        <w:tc>
          <w:tcPr>
            <w:tcW w:w="983" w:type="dxa"/>
            <w:vAlign w:val="center"/>
          </w:tcPr>
          <w:p>
            <w:pPr>
              <w:tabs>
                <w:tab w:val="left" w:pos="720"/>
                <w:tab w:val="left" w:pos="1440"/>
                <w:tab w:val="left" w:pos="1620"/>
              </w:tabs>
              <w:adjustRightInd w:val="0"/>
              <w:snapToGrid w:val="0"/>
              <w:ind w:right="187"/>
              <w:jc w:val="center"/>
              <w:rPr>
                <w:rFonts w:asciiTheme="minorEastAsia" w:hAnsiTheme="minorEastAsia"/>
                <w:bCs/>
                <w:sz w:val="24"/>
              </w:rPr>
            </w:pPr>
            <w:r>
              <w:rPr>
                <w:rFonts w:hint="eastAsia" w:asciiTheme="minorEastAsia" w:hAnsiTheme="minorEastAsia"/>
                <w:bCs/>
                <w:sz w:val="24"/>
              </w:rPr>
              <w:t>设备</w:t>
            </w:r>
          </w:p>
          <w:p>
            <w:pPr>
              <w:tabs>
                <w:tab w:val="left" w:pos="720"/>
                <w:tab w:val="left" w:pos="1440"/>
                <w:tab w:val="left" w:pos="1620"/>
              </w:tabs>
              <w:adjustRightInd w:val="0"/>
              <w:snapToGrid w:val="0"/>
              <w:ind w:right="187"/>
              <w:jc w:val="center"/>
              <w:rPr>
                <w:rFonts w:asciiTheme="minorEastAsia" w:hAnsiTheme="minorEastAsia"/>
                <w:bCs/>
                <w:sz w:val="24"/>
              </w:rPr>
            </w:pPr>
            <w:r>
              <w:rPr>
                <w:rFonts w:hint="eastAsia" w:asciiTheme="minorEastAsia" w:hAnsiTheme="minorEastAsia"/>
                <w:bCs/>
                <w:sz w:val="24"/>
              </w:rPr>
              <w:t>名称</w:t>
            </w:r>
          </w:p>
        </w:tc>
        <w:tc>
          <w:tcPr>
            <w:tcW w:w="960" w:type="dxa"/>
            <w:vAlign w:val="center"/>
          </w:tcPr>
          <w:p>
            <w:pPr>
              <w:tabs>
                <w:tab w:val="left" w:pos="720"/>
                <w:tab w:val="left" w:pos="1440"/>
                <w:tab w:val="left" w:pos="1620"/>
              </w:tabs>
              <w:adjustRightInd w:val="0"/>
              <w:snapToGrid w:val="0"/>
              <w:ind w:right="187"/>
              <w:jc w:val="center"/>
              <w:rPr>
                <w:rFonts w:asciiTheme="minorEastAsia" w:hAnsiTheme="minorEastAsia"/>
                <w:bCs/>
                <w:sz w:val="24"/>
              </w:rPr>
            </w:pPr>
            <w:r>
              <w:rPr>
                <w:rFonts w:hint="eastAsia" w:asciiTheme="minorEastAsia" w:hAnsiTheme="minorEastAsia"/>
                <w:bCs/>
                <w:sz w:val="24"/>
              </w:rPr>
              <w:t>型号</w:t>
            </w:r>
          </w:p>
        </w:tc>
        <w:tc>
          <w:tcPr>
            <w:tcW w:w="968" w:type="dxa"/>
            <w:vAlign w:val="center"/>
          </w:tcPr>
          <w:p>
            <w:pPr>
              <w:tabs>
                <w:tab w:val="left" w:pos="720"/>
                <w:tab w:val="left" w:pos="1440"/>
                <w:tab w:val="left" w:pos="1620"/>
              </w:tabs>
              <w:adjustRightInd w:val="0"/>
              <w:snapToGrid w:val="0"/>
              <w:ind w:right="187"/>
              <w:jc w:val="center"/>
              <w:rPr>
                <w:rFonts w:asciiTheme="minorEastAsia" w:hAnsiTheme="minorEastAsia"/>
                <w:bCs/>
                <w:sz w:val="24"/>
              </w:rPr>
            </w:pPr>
            <w:r>
              <w:rPr>
                <w:rFonts w:hint="eastAsia" w:asciiTheme="minorEastAsia" w:hAnsiTheme="minorEastAsia"/>
                <w:bCs/>
                <w:sz w:val="24"/>
              </w:rPr>
              <w:t>规模</w:t>
            </w:r>
          </w:p>
        </w:tc>
        <w:tc>
          <w:tcPr>
            <w:tcW w:w="1332" w:type="dxa"/>
            <w:vAlign w:val="center"/>
          </w:tcPr>
          <w:p>
            <w:pPr>
              <w:tabs>
                <w:tab w:val="left" w:pos="720"/>
                <w:tab w:val="left" w:pos="1440"/>
                <w:tab w:val="left" w:pos="1620"/>
              </w:tabs>
              <w:adjustRightInd w:val="0"/>
              <w:snapToGrid w:val="0"/>
              <w:ind w:right="-76"/>
              <w:jc w:val="center"/>
              <w:rPr>
                <w:rFonts w:asciiTheme="minorEastAsia" w:hAnsiTheme="minorEastAsia"/>
                <w:bCs/>
                <w:sz w:val="24"/>
              </w:rPr>
            </w:pPr>
            <w:r>
              <w:rPr>
                <w:rFonts w:hint="eastAsia" w:asciiTheme="minorEastAsia" w:hAnsiTheme="minorEastAsia"/>
                <w:bCs/>
                <w:sz w:val="24"/>
              </w:rPr>
              <w:t>施工时间</w:t>
            </w:r>
          </w:p>
        </w:tc>
        <w:tc>
          <w:tcPr>
            <w:tcW w:w="1528" w:type="dxa"/>
            <w:vAlign w:val="center"/>
          </w:tcPr>
          <w:p>
            <w:pPr>
              <w:tabs>
                <w:tab w:val="left" w:pos="720"/>
                <w:tab w:val="left" w:pos="1440"/>
                <w:tab w:val="left" w:pos="1620"/>
              </w:tabs>
              <w:adjustRightInd w:val="0"/>
              <w:snapToGrid w:val="0"/>
              <w:ind w:right="187"/>
              <w:jc w:val="center"/>
              <w:rPr>
                <w:rFonts w:asciiTheme="minorEastAsia" w:hAnsiTheme="minorEastAsia"/>
                <w:bCs/>
                <w:sz w:val="24"/>
              </w:rPr>
            </w:pPr>
            <w:r>
              <w:rPr>
                <w:rFonts w:hint="eastAsia" w:asciiTheme="minorEastAsia" w:hAnsiTheme="minorEastAsia"/>
                <w:bCs/>
                <w:sz w:val="24"/>
              </w:rPr>
              <w:t>使用单位</w:t>
            </w:r>
          </w:p>
        </w:tc>
        <w:tc>
          <w:tcPr>
            <w:tcW w:w="1306" w:type="dxa"/>
            <w:vAlign w:val="center"/>
          </w:tcPr>
          <w:p>
            <w:pPr>
              <w:tabs>
                <w:tab w:val="left" w:pos="720"/>
                <w:tab w:val="left" w:pos="1440"/>
                <w:tab w:val="left" w:pos="1620"/>
              </w:tabs>
              <w:adjustRightInd w:val="0"/>
              <w:snapToGrid w:val="0"/>
              <w:ind w:right="187"/>
              <w:jc w:val="center"/>
              <w:rPr>
                <w:rFonts w:asciiTheme="minorEastAsia" w:hAnsiTheme="minorEastAsia"/>
                <w:bCs/>
                <w:sz w:val="24"/>
              </w:rPr>
            </w:pPr>
            <w:r>
              <w:rPr>
                <w:rFonts w:hint="eastAsia" w:asciiTheme="minorEastAsia" w:hAnsiTheme="minorEastAsia"/>
                <w:bCs/>
                <w:sz w:val="24"/>
              </w:rPr>
              <w:t>联系人</w:t>
            </w:r>
          </w:p>
        </w:tc>
        <w:tc>
          <w:tcPr>
            <w:tcW w:w="1418" w:type="dxa"/>
            <w:vAlign w:val="center"/>
          </w:tcPr>
          <w:p>
            <w:pPr>
              <w:tabs>
                <w:tab w:val="left" w:pos="720"/>
                <w:tab w:val="left" w:pos="1440"/>
                <w:tab w:val="left" w:pos="1620"/>
              </w:tabs>
              <w:adjustRightInd w:val="0"/>
              <w:snapToGrid w:val="0"/>
              <w:ind w:right="187"/>
              <w:jc w:val="center"/>
              <w:rPr>
                <w:rFonts w:asciiTheme="minorEastAsia" w:hAnsiTheme="minorEastAsia"/>
                <w:bCs/>
                <w:sz w:val="24"/>
              </w:rPr>
            </w:pPr>
            <w:r>
              <w:rPr>
                <w:rFonts w:hint="eastAsia" w:asciiTheme="minorEastAsia" w:hAnsiTheme="minorEastAsia"/>
                <w:bCs/>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969" w:type="dxa"/>
          </w:tcPr>
          <w:p>
            <w:pPr>
              <w:tabs>
                <w:tab w:val="left" w:pos="720"/>
                <w:tab w:val="left" w:pos="1440"/>
                <w:tab w:val="left" w:pos="1620"/>
              </w:tabs>
              <w:adjustRightInd w:val="0"/>
              <w:snapToGrid w:val="0"/>
              <w:ind w:right="187"/>
              <w:rPr>
                <w:rFonts w:hint="eastAsia" w:asciiTheme="minorEastAsia" w:hAnsiTheme="minorEastAsia"/>
                <w:sz w:val="24"/>
                <w:lang w:val="en-US" w:eastAsia="zh-CN"/>
              </w:rPr>
            </w:pPr>
            <w:r>
              <w:rPr>
                <w:rFonts w:hint="eastAsia" w:asciiTheme="minorEastAsia" w:hAnsiTheme="minorEastAsia"/>
                <w:sz w:val="24"/>
                <w:lang w:val="en-US" w:eastAsia="zh-CN"/>
              </w:rPr>
              <w:t>电子发票系统建设项目</w:t>
            </w:r>
          </w:p>
        </w:tc>
        <w:tc>
          <w:tcPr>
            <w:tcW w:w="983" w:type="dxa"/>
            <w:vAlign w:val="center"/>
          </w:tcPr>
          <w:p>
            <w:pPr>
              <w:tabs>
                <w:tab w:val="left" w:pos="720"/>
                <w:tab w:val="left" w:pos="1440"/>
                <w:tab w:val="left" w:pos="1620"/>
              </w:tabs>
              <w:adjustRightInd w:val="0"/>
              <w:snapToGrid w:val="0"/>
              <w:ind w:right="187"/>
              <w:jc w:val="center"/>
              <w:rPr>
                <w:rFonts w:asciiTheme="minorEastAsia" w:hAnsiTheme="minorEastAsia"/>
                <w:sz w:val="24"/>
              </w:rPr>
            </w:pPr>
          </w:p>
        </w:tc>
        <w:tc>
          <w:tcPr>
            <w:tcW w:w="960" w:type="dxa"/>
            <w:vAlign w:val="center"/>
          </w:tcPr>
          <w:p>
            <w:pPr>
              <w:tabs>
                <w:tab w:val="left" w:pos="720"/>
                <w:tab w:val="left" w:pos="1440"/>
                <w:tab w:val="left" w:pos="1620"/>
              </w:tabs>
              <w:adjustRightInd w:val="0"/>
              <w:snapToGrid w:val="0"/>
              <w:ind w:right="187"/>
              <w:jc w:val="center"/>
              <w:rPr>
                <w:rFonts w:asciiTheme="minorEastAsia" w:hAnsiTheme="minorEastAsia"/>
                <w:sz w:val="24"/>
              </w:rPr>
            </w:pPr>
          </w:p>
        </w:tc>
        <w:tc>
          <w:tcPr>
            <w:tcW w:w="968" w:type="dxa"/>
          </w:tcPr>
          <w:p>
            <w:pPr>
              <w:tabs>
                <w:tab w:val="left" w:pos="720"/>
                <w:tab w:val="left" w:pos="1440"/>
                <w:tab w:val="left" w:pos="1620"/>
              </w:tabs>
              <w:adjustRightInd w:val="0"/>
              <w:snapToGrid w:val="0"/>
              <w:ind w:right="187"/>
              <w:rPr>
                <w:rFonts w:hint="eastAsia" w:asciiTheme="minorEastAsia" w:hAnsiTheme="minorEastAsia" w:eastAsiaTheme="minorEastAsia"/>
                <w:sz w:val="24"/>
                <w:lang w:val="en-US" w:eastAsia="zh-CN"/>
              </w:rPr>
            </w:pPr>
            <w:r>
              <w:rPr>
                <w:rFonts w:hint="eastAsia" w:asciiTheme="minorEastAsia" w:hAnsiTheme="minorEastAsia"/>
                <w:sz w:val="24"/>
                <w:lang w:val="en-US" w:eastAsia="zh-CN"/>
              </w:rPr>
              <w:t>10万张/年</w:t>
            </w:r>
          </w:p>
        </w:tc>
        <w:tc>
          <w:tcPr>
            <w:tcW w:w="1332" w:type="dxa"/>
          </w:tcPr>
          <w:p>
            <w:pPr>
              <w:tabs>
                <w:tab w:val="left" w:pos="720"/>
                <w:tab w:val="left" w:pos="1440"/>
                <w:tab w:val="left" w:pos="1620"/>
              </w:tabs>
              <w:adjustRightInd w:val="0"/>
              <w:snapToGrid w:val="0"/>
              <w:ind w:right="187"/>
              <w:rPr>
                <w:rFonts w:hint="eastAsia" w:asciiTheme="minorEastAsia" w:hAnsiTheme="minorEastAsia"/>
                <w:sz w:val="24"/>
                <w:lang w:val="en-US" w:eastAsia="zh-CN"/>
              </w:rPr>
            </w:pPr>
            <w:r>
              <w:rPr>
                <w:rFonts w:hint="eastAsia" w:asciiTheme="minorEastAsia" w:hAnsiTheme="minorEastAsia"/>
                <w:sz w:val="24"/>
                <w:lang w:val="en-US" w:eastAsia="zh-CN"/>
              </w:rPr>
              <w:t>2016.6</w:t>
            </w:r>
          </w:p>
        </w:tc>
        <w:tc>
          <w:tcPr>
            <w:tcW w:w="1528" w:type="dxa"/>
          </w:tcPr>
          <w:p>
            <w:pPr>
              <w:tabs>
                <w:tab w:val="left" w:pos="720"/>
                <w:tab w:val="left" w:pos="1440"/>
                <w:tab w:val="left" w:pos="1620"/>
              </w:tabs>
              <w:adjustRightInd w:val="0"/>
              <w:snapToGrid w:val="0"/>
              <w:ind w:right="187"/>
              <w:rPr>
                <w:rFonts w:hint="eastAsia" w:asciiTheme="minorEastAsia" w:hAnsiTheme="minorEastAsia"/>
                <w:sz w:val="24"/>
                <w:lang w:val="en-US" w:eastAsia="zh-CN"/>
              </w:rPr>
            </w:pPr>
            <w:r>
              <w:rPr>
                <w:rFonts w:hint="eastAsia" w:asciiTheme="minorEastAsia" w:hAnsiTheme="minorEastAsia"/>
                <w:sz w:val="24"/>
                <w:lang w:val="en-US" w:eastAsia="zh-CN"/>
              </w:rPr>
              <w:t>北京欧若微兰服饰有限公司</w:t>
            </w:r>
          </w:p>
        </w:tc>
        <w:tc>
          <w:tcPr>
            <w:tcW w:w="1306" w:type="dxa"/>
          </w:tcPr>
          <w:p>
            <w:pPr>
              <w:tabs>
                <w:tab w:val="left" w:pos="720"/>
                <w:tab w:val="left" w:pos="1440"/>
                <w:tab w:val="left" w:pos="1620"/>
              </w:tabs>
              <w:adjustRightInd w:val="0"/>
              <w:snapToGrid w:val="0"/>
              <w:ind w:right="187"/>
              <w:rPr>
                <w:rFonts w:hint="eastAsia" w:asciiTheme="minorEastAsia" w:hAnsiTheme="minorEastAsia" w:eastAsiaTheme="minorEastAsia"/>
                <w:sz w:val="24"/>
                <w:lang w:val="en-US" w:eastAsia="zh-CN"/>
              </w:rPr>
            </w:pPr>
            <w:r>
              <w:rPr>
                <w:rFonts w:hint="eastAsia" w:asciiTheme="minorEastAsia" w:hAnsiTheme="minorEastAsia"/>
                <w:sz w:val="24"/>
                <w:lang w:val="en-US" w:eastAsia="zh-CN"/>
              </w:rPr>
              <w:t>姜崇钦</w:t>
            </w:r>
          </w:p>
        </w:tc>
        <w:tc>
          <w:tcPr>
            <w:tcW w:w="1418" w:type="dxa"/>
          </w:tcPr>
          <w:p>
            <w:pPr>
              <w:tabs>
                <w:tab w:val="left" w:pos="720"/>
                <w:tab w:val="left" w:pos="1440"/>
                <w:tab w:val="left" w:pos="1620"/>
              </w:tabs>
              <w:adjustRightInd w:val="0"/>
              <w:snapToGrid w:val="0"/>
              <w:ind w:right="187"/>
              <w:rPr>
                <w:rFonts w:hint="eastAsia" w:asciiTheme="minorEastAsia" w:hAnsiTheme="minorEastAsia" w:eastAsiaTheme="minorEastAsia"/>
                <w:sz w:val="24"/>
                <w:lang w:val="en-US" w:eastAsia="zh-CN"/>
              </w:rPr>
            </w:pPr>
            <w:r>
              <w:rPr>
                <w:rFonts w:hint="eastAsia" w:asciiTheme="minorEastAsia" w:hAnsiTheme="minorEastAsia"/>
                <w:sz w:val="24"/>
                <w:lang w:val="en-US" w:eastAsia="zh-CN"/>
              </w:rPr>
              <w:t>13901030834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969" w:type="dxa"/>
          </w:tcPr>
          <w:p>
            <w:pPr>
              <w:tabs>
                <w:tab w:val="left" w:pos="720"/>
                <w:tab w:val="left" w:pos="1440"/>
                <w:tab w:val="left" w:pos="1620"/>
              </w:tabs>
              <w:adjustRightInd w:val="0"/>
              <w:snapToGrid w:val="0"/>
              <w:ind w:right="187"/>
              <w:rPr>
                <w:rFonts w:hint="eastAsia" w:asciiTheme="minorEastAsia" w:hAnsiTheme="minorEastAsia" w:eastAsiaTheme="minorEastAsia"/>
                <w:sz w:val="24"/>
                <w:lang w:val="en-US" w:eastAsia="zh-CN"/>
              </w:rPr>
            </w:pPr>
            <w:r>
              <w:rPr>
                <w:rFonts w:hint="eastAsia" w:asciiTheme="minorEastAsia" w:hAnsiTheme="minorEastAsia"/>
                <w:sz w:val="24"/>
                <w:lang w:val="en-US" w:eastAsia="zh-CN"/>
              </w:rPr>
              <w:t>电子发票系统建设项目</w:t>
            </w:r>
          </w:p>
        </w:tc>
        <w:tc>
          <w:tcPr>
            <w:tcW w:w="983" w:type="dxa"/>
            <w:vAlign w:val="center"/>
          </w:tcPr>
          <w:p>
            <w:pPr>
              <w:tabs>
                <w:tab w:val="left" w:pos="720"/>
                <w:tab w:val="left" w:pos="1440"/>
                <w:tab w:val="left" w:pos="1620"/>
              </w:tabs>
              <w:adjustRightInd w:val="0"/>
              <w:snapToGrid w:val="0"/>
              <w:ind w:right="187"/>
              <w:jc w:val="center"/>
              <w:rPr>
                <w:rFonts w:asciiTheme="minorEastAsia" w:hAnsiTheme="minorEastAsia"/>
                <w:sz w:val="24"/>
              </w:rPr>
            </w:pPr>
          </w:p>
        </w:tc>
        <w:tc>
          <w:tcPr>
            <w:tcW w:w="960" w:type="dxa"/>
            <w:vAlign w:val="center"/>
          </w:tcPr>
          <w:p>
            <w:pPr>
              <w:tabs>
                <w:tab w:val="left" w:pos="720"/>
                <w:tab w:val="left" w:pos="1440"/>
                <w:tab w:val="left" w:pos="1620"/>
              </w:tabs>
              <w:adjustRightInd w:val="0"/>
              <w:snapToGrid w:val="0"/>
              <w:ind w:right="187"/>
              <w:jc w:val="center"/>
              <w:rPr>
                <w:rFonts w:asciiTheme="minorEastAsia" w:hAnsiTheme="minorEastAsia"/>
                <w:sz w:val="24"/>
              </w:rPr>
            </w:pPr>
          </w:p>
        </w:tc>
        <w:tc>
          <w:tcPr>
            <w:tcW w:w="968" w:type="dxa"/>
          </w:tcPr>
          <w:p>
            <w:pPr>
              <w:tabs>
                <w:tab w:val="left" w:pos="720"/>
                <w:tab w:val="left" w:pos="1440"/>
                <w:tab w:val="left" w:pos="1620"/>
              </w:tabs>
              <w:adjustRightInd w:val="0"/>
              <w:snapToGrid w:val="0"/>
              <w:ind w:right="187"/>
              <w:rPr>
                <w:rFonts w:asciiTheme="minorEastAsia" w:hAnsiTheme="minorEastAsia"/>
                <w:sz w:val="24"/>
              </w:rPr>
            </w:pPr>
            <w:r>
              <w:rPr>
                <w:rFonts w:hint="eastAsia" w:asciiTheme="minorEastAsia" w:hAnsiTheme="minorEastAsia"/>
                <w:sz w:val="24"/>
                <w:lang w:val="en-US" w:eastAsia="zh-CN"/>
              </w:rPr>
              <w:t>10万张/年</w:t>
            </w:r>
          </w:p>
        </w:tc>
        <w:tc>
          <w:tcPr>
            <w:tcW w:w="1332" w:type="dxa"/>
          </w:tcPr>
          <w:p>
            <w:pPr>
              <w:tabs>
                <w:tab w:val="left" w:pos="720"/>
                <w:tab w:val="left" w:pos="1440"/>
                <w:tab w:val="left" w:pos="1620"/>
              </w:tabs>
              <w:adjustRightInd w:val="0"/>
              <w:snapToGrid w:val="0"/>
              <w:ind w:right="187"/>
              <w:rPr>
                <w:rFonts w:hint="eastAsia" w:asciiTheme="minorEastAsia" w:hAnsiTheme="minorEastAsia" w:eastAsiaTheme="minorEastAsia"/>
                <w:sz w:val="24"/>
                <w:lang w:val="en-US" w:eastAsia="zh-CN"/>
              </w:rPr>
            </w:pPr>
            <w:r>
              <w:rPr>
                <w:rFonts w:hint="eastAsia" w:asciiTheme="minorEastAsia" w:hAnsiTheme="minorEastAsia"/>
                <w:sz w:val="24"/>
                <w:lang w:val="en-US" w:eastAsia="zh-CN"/>
              </w:rPr>
              <w:t>2016.5</w:t>
            </w:r>
          </w:p>
        </w:tc>
        <w:tc>
          <w:tcPr>
            <w:tcW w:w="1528" w:type="dxa"/>
          </w:tcPr>
          <w:p>
            <w:pPr>
              <w:tabs>
                <w:tab w:val="left" w:pos="720"/>
                <w:tab w:val="left" w:pos="1440"/>
                <w:tab w:val="left" w:pos="1620"/>
              </w:tabs>
              <w:adjustRightInd w:val="0"/>
              <w:snapToGrid w:val="0"/>
              <w:ind w:right="187"/>
              <w:rPr>
                <w:rFonts w:hint="eastAsia" w:asciiTheme="minorEastAsia" w:hAnsiTheme="minorEastAsia" w:eastAsiaTheme="minorEastAsia"/>
                <w:sz w:val="24"/>
                <w:lang w:val="en-US" w:eastAsia="zh-CN"/>
              </w:rPr>
            </w:pPr>
            <w:r>
              <w:rPr>
                <w:rFonts w:hint="eastAsia" w:asciiTheme="minorEastAsia" w:hAnsiTheme="minorEastAsia"/>
                <w:sz w:val="24"/>
                <w:lang w:val="en-US" w:eastAsia="zh-CN"/>
              </w:rPr>
              <w:t>北京广智星诚科技有限公司</w:t>
            </w:r>
          </w:p>
        </w:tc>
        <w:tc>
          <w:tcPr>
            <w:tcW w:w="1306" w:type="dxa"/>
          </w:tcPr>
          <w:p>
            <w:pPr>
              <w:tabs>
                <w:tab w:val="left" w:pos="720"/>
                <w:tab w:val="left" w:pos="1440"/>
                <w:tab w:val="left" w:pos="1620"/>
              </w:tabs>
              <w:adjustRightInd w:val="0"/>
              <w:snapToGrid w:val="0"/>
              <w:ind w:right="187"/>
              <w:rPr>
                <w:rFonts w:hint="eastAsia" w:asciiTheme="minorEastAsia" w:hAnsiTheme="minorEastAsia" w:eastAsiaTheme="minorEastAsia"/>
                <w:sz w:val="24"/>
                <w:lang w:val="en-US" w:eastAsia="zh-CN"/>
              </w:rPr>
            </w:pPr>
            <w:r>
              <w:rPr>
                <w:rFonts w:hint="eastAsia" w:asciiTheme="minorEastAsia" w:hAnsiTheme="minorEastAsia"/>
                <w:sz w:val="24"/>
                <w:lang w:val="en-US" w:eastAsia="zh-CN"/>
              </w:rPr>
              <w:t>陈云华</w:t>
            </w:r>
          </w:p>
        </w:tc>
        <w:tc>
          <w:tcPr>
            <w:tcW w:w="1418" w:type="dxa"/>
          </w:tcPr>
          <w:p>
            <w:pPr>
              <w:tabs>
                <w:tab w:val="left" w:pos="720"/>
                <w:tab w:val="left" w:pos="1440"/>
                <w:tab w:val="left" w:pos="1620"/>
              </w:tabs>
              <w:adjustRightInd w:val="0"/>
              <w:snapToGrid w:val="0"/>
              <w:ind w:right="187"/>
              <w:rPr>
                <w:rFonts w:hint="eastAsia" w:asciiTheme="minorEastAsia" w:hAnsiTheme="minorEastAsia" w:eastAsiaTheme="minorEastAsia"/>
                <w:sz w:val="24"/>
                <w:lang w:val="en-US" w:eastAsia="zh-CN"/>
              </w:rPr>
            </w:pPr>
            <w:r>
              <w:rPr>
                <w:rFonts w:hint="eastAsia" w:asciiTheme="minorEastAsia" w:hAnsiTheme="minorEastAsia"/>
                <w:sz w:val="24"/>
                <w:lang w:val="en-US" w:eastAsia="zh-CN"/>
              </w:rPr>
              <w:t>18610932992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969" w:type="dxa"/>
          </w:tcPr>
          <w:p>
            <w:pPr>
              <w:tabs>
                <w:tab w:val="left" w:pos="720"/>
                <w:tab w:val="left" w:pos="1440"/>
                <w:tab w:val="left" w:pos="1620"/>
              </w:tabs>
              <w:adjustRightInd w:val="0"/>
              <w:snapToGrid w:val="0"/>
              <w:ind w:right="187"/>
              <w:rPr>
                <w:rFonts w:hint="eastAsia" w:asciiTheme="minorEastAsia" w:hAnsiTheme="minorEastAsia" w:eastAsiaTheme="minorEastAsia"/>
                <w:sz w:val="24"/>
                <w:lang w:val="en-US" w:eastAsia="zh-CN"/>
              </w:rPr>
            </w:pPr>
          </w:p>
        </w:tc>
        <w:tc>
          <w:tcPr>
            <w:tcW w:w="983" w:type="dxa"/>
            <w:vAlign w:val="center"/>
          </w:tcPr>
          <w:p>
            <w:pPr>
              <w:tabs>
                <w:tab w:val="left" w:pos="720"/>
                <w:tab w:val="left" w:pos="1440"/>
                <w:tab w:val="left" w:pos="1620"/>
              </w:tabs>
              <w:adjustRightInd w:val="0"/>
              <w:snapToGrid w:val="0"/>
              <w:ind w:right="187"/>
              <w:jc w:val="center"/>
              <w:rPr>
                <w:rFonts w:asciiTheme="minorEastAsia" w:hAnsiTheme="minorEastAsia"/>
                <w:sz w:val="24"/>
              </w:rPr>
            </w:pPr>
          </w:p>
        </w:tc>
        <w:tc>
          <w:tcPr>
            <w:tcW w:w="960" w:type="dxa"/>
            <w:vAlign w:val="center"/>
          </w:tcPr>
          <w:p>
            <w:pPr>
              <w:tabs>
                <w:tab w:val="left" w:pos="720"/>
                <w:tab w:val="left" w:pos="1440"/>
                <w:tab w:val="left" w:pos="1620"/>
              </w:tabs>
              <w:adjustRightInd w:val="0"/>
              <w:snapToGrid w:val="0"/>
              <w:ind w:right="187"/>
              <w:jc w:val="center"/>
              <w:rPr>
                <w:rFonts w:asciiTheme="minorEastAsia" w:hAnsiTheme="minorEastAsia"/>
                <w:sz w:val="24"/>
              </w:rPr>
            </w:pPr>
          </w:p>
        </w:tc>
        <w:tc>
          <w:tcPr>
            <w:tcW w:w="968" w:type="dxa"/>
          </w:tcPr>
          <w:p>
            <w:pPr>
              <w:tabs>
                <w:tab w:val="left" w:pos="720"/>
                <w:tab w:val="left" w:pos="1440"/>
                <w:tab w:val="left" w:pos="1620"/>
              </w:tabs>
              <w:adjustRightInd w:val="0"/>
              <w:snapToGrid w:val="0"/>
              <w:ind w:right="187"/>
              <w:rPr>
                <w:rFonts w:asciiTheme="minorEastAsia" w:hAnsiTheme="minorEastAsia"/>
                <w:sz w:val="24"/>
              </w:rPr>
            </w:pPr>
          </w:p>
        </w:tc>
        <w:tc>
          <w:tcPr>
            <w:tcW w:w="1332" w:type="dxa"/>
          </w:tcPr>
          <w:p>
            <w:pPr>
              <w:tabs>
                <w:tab w:val="left" w:pos="720"/>
                <w:tab w:val="left" w:pos="1440"/>
                <w:tab w:val="left" w:pos="1620"/>
              </w:tabs>
              <w:adjustRightInd w:val="0"/>
              <w:snapToGrid w:val="0"/>
              <w:ind w:right="187"/>
              <w:rPr>
                <w:rFonts w:asciiTheme="minorEastAsia" w:hAnsiTheme="minorEastAsia"/>
                <w:sz w:val="24"/>
              </w:rPr>
            </w:pPr>
          </w:p>
        </w:tc>
        <w:tc>
          <w:tcPr>
            <w:tcW w:w="1528" w:type="dxa"/>
          </w:tcPr>
          <w:p>
            <w:pPr>
              <w:tabs>
                <w:tab w:val="left" w:pos="720"/>
                <w:tab w:val="left" w:pos="1440"/>
                <w:tab w:val="left" w:pos="1620"/>
              </w:tabs>
              <w:adjustRightInd w:val="0"/>
              <w:snapToGrid w:val="0"/>
              <w:ind w:right="187"/>
              <w:rPr>
                <w:rFonts w:hint="eastAsia" w:asciiTheme="minorEastAsia" w:hAnsiTheme="minorEastAsia" w:eastAsiaTheme="minorEastAsia"/>
                <w:sz w:val="24"/>
                <w:lang w:val="en-US" w:eastAsia="zh-CN"/>
              </w:rPr>
            </w:pPr>
          </w:p>
        </w:tc>
        <w:tc>
          <w:tcPr>
            <w:tcW w:w="1306" w:type="dxa"/>
          </w:tcPr>
          <w:p>
            <w:pPr>
              <w:tabs>
                <w:tab w:val="left" w:pos="720"/>
                <w:tab w:val="left" w:pos="1440"/>
                <w:tab w:val="left" w:pos="1620"/>
              </w:tabs>
              <w:adjustRightInd w:val="0"/>
              <w:snapToGrid w:val="0"/>
              <w:ind w:right="187"/>
              <w:rPr>
                <w:rFonts w:asciiTheme="minorEastAsia" w:hAnsiTheme="minorEastAsia"/>
                <w:sz w:val="24"/>
              </w:rPr>
            </w:pPr>
          </w:p>
        </w:tc>
        <w:tc>
          <w:tcPr>
            <w:tcW w:w="1418" w:type="dxa"/>
          </w:tcPr>
          <w:p>
            <w:pPr>
              <w:tabs>
                <w:tab w:val="left" w:pos="720"/>
                <w:tab w:val="left" w:pos="1440"/>
                <w:tab w:val="left" w:pos="1620"/>
              </w:tabs>
              <w:adjustRightInd w:val="0"/>
              <w:snapToGrid w:val="0"/>
              <w:ind w:right="187"/>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trPr>
        <w:tc>
          <w:tcPr>
            <w:tcW w:w="969" w:type="dxa"/>
          </w:tcPr>
          <w:p>
            <w:pPr>
              <w:tabs>
                <w:tab w:val="left" w:pos="720"/>
                <w:tab w:val="left" w:pos="1440"/>
                <w:tab w:val="left" w:pos="1620"/>
              </w:tabs>
              <w:adjustRightInd w:val="0"/>
              <w:snapToGrid w:val="0"/>
              <w:ind w:right="187"/>
              <w:rPr>
                <w:rFonts w:asciiTheme="minorEastAsia" w:hAnsiTheme="minorEastAsia"/>
                <w:sz w:val="24"/>
              </w:rPr>
            </w:pPr>
          </w:p>
        </w:tc>
        <w:tc>
          <w:tcPr>
            <w:tcW w:w="983" w:type="dxa"/>
            <w:vAlign w:val="center"/>
          </w:tcPr>
          <w:p>
            <w:pPr>
              <w:tabs>
                <w:tab w:val="left" w:pos="720"/>
                <w:tab w:val="left" w:pos="1440"/>
                <w:tab w:val="left" w:pos="1620"/>
              </w:tabs>
              <w:adjustRightInd w:val="0"/>
              <w:snapToGrid w:val="0"/>
              <w:ind w:right="187"/>
              <w:jc w:val="center"/>
              <w:rPr>
                <w:rFonts w:asciiTheme="minorEastAsia" w:hAnsiTheme="minorEastAsia"/>
                <w:sz w:val="24"/>
              </w:rPr>
            </w:pPr>
          </w:p>
        </w:tc>
        <w:tc>
          <w:tcPr>
            <w:tcW w:w="960" w:type="dxa"/>
            <w:vAlign w:val="center"/>
          </w:tcPr>
          <w:p>
            <w:pPr>
              <w:tabs>
                <w:tab w:val="left" w:pos="720"/>
                <w:tab w:val="left" w:pos="1440"/>
                <w:tab w:val="left" w:pos="1620"/>
              </w:tabs>
              <w:adjustRightInd w:val="0"/>
              <w:snapToGrid w:val="0"/>
              <w:ind w:right="187"/>
              <w:jc w:val="center"/>
              <w:rPr>
                <w:rFonts w:asciiTheme="minorEastAsia" w:hAnsiTheme="minorEastAsia"/>
                <w:sz w:val="24"/>
              </w:rPr>
            </w:pPr>
          </w:p>
        </w:tc>
        <w:tc>
          <w:tcPr>
            <w:tcW w:w="968" w:type="dxa"/>
          </w:tcPr>
          <w:p>
            <w:pPr>
              <w:tabs>
                <w:tab w:val="left" w:pos="720"/>
                <w:tab w:val="left" w:pos="1440"/>
                <w:tab w:val="left" w:pos="1620"/>
              </w:tabs>
              <w:adjustRightInd w:val="0"/>
              <w:snapToGrid w:val="0"/>
              <w:ind w:right="187"/>
              <w:rPr>
                <w:rFonts w:asciiTheme="minorEastAsia" w:hAnsiTheme="minorEastAsia"/>
                <w:sz w:val="24"/>
              </w:rPr>
            </w:pPr>
          </w:p>
        </w:tc>
        <w:tc>
          <w:tcPr>
            <w:tcW w:w="1332" w:type="dxa"/>
          </w:tcPr>
          <w:p>
            <w:pPr>
              <w:tabs>
                <w:tab w:val="left" w:pos="720"/>
                <w:tab w:val="left" w:pos="1440"/>
                <w:tab w:val="left" w:pos="1620"/>
              </w:tabs>
              <w:adjustRightInd w:val="0"/>
              <w:snapToGrid w:val="0"/>
              <w:ind w:right="187"/>
              <w:rPr>
                <w:rFonts w:asciiTheme="minorEastAsia" w:hAnsiTheme="minorEastAsia"/>
                <w:sz w:val="24"/>
              </w:rPr>
            </w:pPr>
          </w:p>
        </w:tc>
        <w:tc>
          <w:tcPr>
            <w:tcW w:w="1528" w:type="dxa"/>
          </w:tcPr>
          <w:p>
            <w:pPr>
              <w:tabs>
                <w:tab w:val="left" w:pos="720"/>
                <w:tab w:val="left" w:pos="1440"/>
                <w:tab w:val="left" w:pos="1620"/>
              </w:tabs>
              <w:adjustRightInd w:val="0"/>
              <w:snapToGrid w:val="0"/>
              <w:ind w:right="187"/>
              <w:rPr>
                <w:rFonts w:asciiTheme="minorEastAsia" w:hAnsiTheme="minorEastAsia"/>
                <w:sz w:val="24"/>
              </w:rPr>
            </w:pPr>
          </w:p>
        </w:tc>
        <w:tc>
          <w:tcPr>
            <w:tcW w:w="1306" w:type="dxa"/>
          </w:tcPr>
          <w:p>
            <w:pPr>
              <w:tabs>
                <w:tab w:val="left" w:pos="720"/>
                <w:tab w:val="left" w:pos="1440"/>
                <w:tab w:val="left" w:pos="1620"/>
              </w:tabs>
              <w:adjustRightInd w:val="0"/>
              <w:snapToGrid w:val="0"/>
              <w:ind w:right="187"/>
              <w:rPr>
                <w:rFonts w:asciiTheme="minorEastAsia" w:hAnsiTheme="minorEastAsia"/>
                <w:sz w:val="24"/>
              </w:rPr>
            </w:pPr>
          </w:p>
        </w:tc>
        <w:tc>
          <w:tcPr>
            <w:tcW w:w="1418" w:type="dxa"/>
          </w:tcPr>
          <w:p>
            <w:pPr>
              <w:tabs>
                <w:tab w:val="left" w:pos="720"/>
                <w:tab w:val="left" w:pos="1440"/>
                <w:tab w:val="left" w:pos="1620"/>
              </w:tabs>
              <w:adjustRightInd w:val="0"/>
              <w:snapToGrid w:val="0"/>
              <w:ind w:right="187"/>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969" w:type="dxa"/>
          </w:tcPr>
          <w:p>
            <w:pPr>
              <w:tabs>
                <w:tab w:val="left" w:pos="720"/>
                <w:tab w:val="left" w:pos="1440"/>
                <w:tab w:val="left" w:pos="1620"/>
              </w:tabs>
              <w:adjustRightInd w:val="0"/>
              <w:snapToGrid w:val="0"/>
              <w:ind w:right="187"/>
              <w:rPr>
                <w:rFonts w:asciiTheme="minorEastAsia" w:hAnsiTheme="minorEastAsia"/>
                <w:sz w:val="24"/>
              </w:rPr>
            </w:pPr>
          </w:p>
        </w:tc>
        <w:tc>
          <w:tcPr>
            <w:tcW w:w="983" w:type="dxa"/>
            <w:vAlign w:val="center"/>
          </w:tcPr>
          <w:p>
            <w:pPr>
              <w:tabs>
                <w:tab w:val="left" w:pos="720"/>
                <w:tab w:val="left" w:pos="1440"/>
                <w:tab w:val="left" w:pos="1620"/>
              </w:tabs>
              <w:adjustRightInd w:val="0"/>
              <w:snapToGrid w:val="0"/>
              <w:ind w:right="187"/>
              <w:jc w:val="center"/>
              <w:rPr>
                <w:rFonts w:asciiTheme="minorEastAsia" w:hAnsiTheme="minorEastAsia"/>
                <w:sz w:val="24"/>
              </w:rPr>
            </w:pPr>
          </w:p>
        </w:tc>
        <w:tc>
          <w:tcPr>
            <w:tcW w:w="960" w:type="dxa"/>
            <w:vAlign w:val="center"/>
          </w:tcPr>
          <w:p>
            <w:pPr>
              <w:tabs>
                <w:tab w:val="left" w:pos="720"/>
                <w:tab w:val="left" w:pos="1440"/>
                <w:tab w:val="left" w:pos="1620"/>
              </w:tabs>
              <w:adjustRightInd w:val="0"/>
              <w:snapToGrid w:val="0"/>
              <w:ind w:right="187"/>
              <w:jc w:val="center"/>
              <w:rPr>
                <w:rFonts w:asciiTheme="minorEastAsia" w:hAnsiTheme="minorEastAsia"/>
                <w:sz w:val="24"/>
              </w:rPr>
            </w:pPr>
          </w:p>
        </w:tc>
        <w:tc>
          <w:tcPr>
            <w:tcW w:w="968" w:type="dxa"/>
          </w:tcPr>
          <w:p>
            <w:pPr>
              <w:tabs>
                <w:tab w:val="left" w:pos="720"/>
                <w:tab w:val="left" w:pos="1440"/>
                <w:tab w:val="left" w:pos="1620"/>
              </w:tabs>
              <w:adjustRightInd w:val="0"/>
              <w:snapToGrid w:val="0"/>
              <w:ind w:right="187"/>
              <w:rPr>
                <w:rFonts w:asciiTheme="minorEastAsia" w:hAnsiTheme="minorEastAsia"/>
                <w:sz w:val="24"/>
              </w:rPr>
            </w:pPr>
          </w:p>
        </w:tc>
        <w:tc>
          <w:tcPr>
            <w:tcW w:w="1332" w:type="dxa"/>
          </w:tcPr>
          <w:p>
            <w:pPr>
              <w:tabs>
                <w:tab w:val="left" w:pos="720"/>
                <w:tab w:val="left" w:pos="1440"/>
                <w:tab w:val="left" w:pos="1620"/>
              </w:tabs>
              <w:adjustRightInd w:val="0"/>
              <w:snapToGrid w:val="0"/>
              <w:ind w:right="187"/>
              <w:rPr>
                <w:rFonts w:asciiTheme="minorEastAsia" w:hAnsiTheme="minorEastAsia"/>
                <w:sz w:val="24"/>
              </w:rPr>
            </w:pPr>
          </w:p>
        </w:tc>
        <w:tc>
          <w:tcPr>
            <w:tcW w:w="1528" w:type="dxa"/>
          </w:tcPr>
          <w:p>
            <w:pPr>
              <w:tabs>
                <w:tab w:val="left" w:pos="720"/>
                <w:tab w:val="left" w:pos="1440"/>
                <w:tab w:val="left" w:pos="1620"/>
              </w:tabs>
              <w:adjustRightInd w:val="0"/>
              <w:snapToGrid w:val="0"/>
              <w:ind w:right="187"/>
              <w:rPr>
                <w:rFonts w:asciiTheme="minorEastAsia" w:hAnsiTheme="minorEastAsia"/>
                <w:sz w:val="24"/>
              </w:rPr>
            </w:pPr>
          </w:p>
        </w:tc>
        <w:tc>
          <w:tcPr>
            <w:tcW w:w="1306" w:type="dxa"/>
          </w:tcPr>
          <w:p>
            <w:pPr>
              <w:tabs>
                <w:tab w:val="left" w:pos="720"/>
                <w:tab w:val="left" w:pos="1440"/>
                <w:tab w:val="left" w:pos="1620"/>
              </w:tabs>
              <w:adjustRightInd w:val="0"/>
              <w:snapToGrid w:val="0"/>
              <w:ind w:right="187"/>
              <w:rPr>
                <w:rFonts w:asciiTheme="minorEastAsia" w:hAnsiTheme="minorEastAsia"/>
                <w:sz w:val="24"/>
              </w:rPr>
            </w:pPr>
          </w:p>
        </w:tc>
        <w:tc>
          <w:tcPr>
            <w:tcW w:w="1418" w:type="dxa"/>
          </w:tcPr>
          <w:p>
            <w:pPr>
              <w:tabs>
                <w:tab w:val="left" w:pos="720"/>
                <w:tab w:val="left" w:pos="1440"/>
                <w:tab w:val="left" w:pos="1620"/>
              </w:tabs>
              <w:adjustRightInd w:val="0"/>
              <w:snapToGrid w:val="0"/>
              <w:ind w:right="187"/>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trPr>
        <w:tc>
          <w:tcPr>
            <w:tcW w:w="969" w:type="dxa"/>
          </w:tcPr>
          <w:p>
            <w:pPr>
              <w:tabs>
                <w:tab w:val="left" w:pos="720"/>
                <w:tab w:val="left" w:pos="1440"/>
                <w:tab w:val="left" w:pos="1620"/>
              </w:tabs>
              <w:adjustRightInd w:val="0"/>
              <w:snapToGrid w:val="0"/>
              <w:ind w:right="187"/>
              <w:rPr>
                <w:rFonts w:asciiTheme="minorEastAsia" w:hAnsiTheme="minorEastAsia"/>
                <w:sz w:val="24"/>
              </w:rPr>
            </w:pPr>
          </w:p>
        </w:tc>
        <w:tc>
          <w:tcPr>
            <w:tcW w:w="983" w:type="dxa"/>
            <w:vAlign w:val="center"/>
          </w:tcPr>
          <w:p>
            <w:pPr>
              <w:tabs>
                <w:tab w:val="left" w:pos="720"/>
                <w:tab w:val="left" w:pos="1440"/>
                <w:tab w:val="left" w:pos="1620"/>
              </w:tabs>
              <w:adjustRightInd w:val="0"/>
              <w:snapToGrid w:val="0"/>
              <w:ind w:right="187"/>
              <w:jc w:val="center"/>
              <w:rPr>
                <w:rFonts w:asciiTheme="minorEastAsia" w:hAnsiTheme="minorEastAsia"/>
                <w:sz w:val="24"/>
              </w:rPr>
            </w:pPr>
          </w:p>
        </w:tc>
        <w:tc>
          <w:tcPr>
            <w:tcW w:w="960" w:type="dxa"/>
            <w:vAlign w:val="center"/>
          </w:tcPr>
          <w:p>
            <w:pPr>
              <w:tabs>
                <w:tab w:val="left" w:pos="720"/>
                <w:tab w:val="left" w:pos="1440"/>
                <w:tab w:val="left" w:pos="1620"/>
              </w:tabs>
              <w:adjustRightInd w:val="0"/>
              <w:snapToGrid w:val="0"/>
              <w:ind w:right="187"/>
              <w:jc w:val="center"/>
              <w:rPr>
                <w:rFonts w:asciiTheme="minorEastAsia" w:hAnsiTheme="minorEastAsia"/>
                <w:sz w:val="24"/>
              </w:rPr>
            </w:pPr>
          </w:p>
        </w:tc>
        <w:tc>
          <w:tcPr>
            <w:tcW w:w="968" w:type="dxa"/>
          </w:tcPr>
          <w:p>
            <w:pPr>
              <w:tabs>
                <w:tab w:val="left" w:pos="720"/>
                <w:tab w:val="left" w:pos="1440"/>
                <w:tab w:val="left" w:pos="1620"/>
              </w:tabs>
              <w:adjustRightInd w:val="0"/>
              <w:snapToGrid w:val="0"/>
              <w:ind w:right="187"/>
              <w:rPr>
                <w:rFonts w:asciiTheme="minorEastAsia" w:hAnsiTheme="minorEastAsia"/>
                <w:sz w:val="24"/>
              </w:rPr>
            </w:pPr>
          </w:p>
        </w:tc>
        <w:tc>
          <w:tcPr>
            <w:tcW w:w="1332" w:type="dxa"/>
          </w:tcPr>
          <w:p>
            <w:pPr>
              <w:tabs>
                <w:tab w:val="left" w:pos="720"/>
                <w:tab w:val="left" w:pos="1440"/>
                <w:tab w:val="left" w:pos="1620"/>
              </w:tabs>
              <w:adjustRightInd w:val="0"/>
              <w:snapToGrid w:val="0"/>
              <w:ind w:right="187"/>
              <w:rPr>
                <w:rFonts w:asciiTheme="minorEastAsia" w:hAnsiTheme="minorEastAsia"/>
                <w:sz w:val="24"/>
              </w:rPr>
            </w:pPr>
          </w:p>
        </w:tc>
        <w:tc>
          <w:tcPr>
            <w:tcW w:w="1528" w:type="dxa"/>
          </w:tcPr>
          <w:p>
            <w:pPr>
              <w:tabs>
                <w:tab w:val="left" w:pos="720"/>
                <w:tab w:val="left" w:pos="1440"/>
                <w:tab w:val="left" w:pos="1620"/>
              </w:tabs>
              <w:adjustRightInd w:val="0"/>
              <w:snapToGrid w:val="0"/>
              <w:ind w:right="187"/>
              <w:rPr>
                <w:rFonts w:asciiTheme="minorEastAsia" w:hAnsiTheme="minorEastAsia"/>
                <w:sz w:val="24"/>
              </w:rPr>
            </w:pPr>
          </w:p>
        </w:tc>
        <w:tc>
          <w:tcPr>
            <w:tcW w:w="1306" w:type="dxa"/>
          </w:tcPr>
          <w:p>
            <w:pPr>
              <w:tabs>
                <w:tab w:val="left" w:pos="720"/>
                <w:tab w:val="left" w:pos="1440"/>
                <w:tab w:val="left" w:pos="1620"/>
              </w:tabs>
              <w:adjustRightInd w:val="0"/>
              <w:snapToGrid w:val="0"/>
              <w:ind w:right="187"/>
              <w:rPr>
                <w:rFonts w:asciiTheme="minorEastAsia" w:hAnsiTheme="minorEastAsia"/>
                <w:sz w:val="24"/>
              </w:rPr>
            </w:pPr>
          </w:p>
        </w:tc>
        <w:tc>
          <w:tcPr>
            <w:tcW w:w="1418" w:type="dxa"/>
          </w:tcPr>
          <w:p>
            <w:pPr>
              <w:tabs>
                <w:tab w:val="left" w:pos="720"/>
                <w:tab w:val="left" w:pos="1440"/>
                <w:tab w:val="left" w:pos="1620"/>
              </w:tabs>
              <w:adjustRightInd w:val="0"/>
              <w:snapToGrid w:val="0"/>
              <w:ind w:right="187"/>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969" w:type="dxa"/>
          </w:tcPr>
          <w:p>
            <w:pPr>
              <w:tabs>
                <w:tab w:val="left" w:pos="720"/>
                <w:tab w:val="left" w:pos="1440"/>
                <w:tab w:val="left" w:pos="1620"/>
              </w:tabs>
              <w:adjustRightInd w:val="0"/>
              <w:snapToGrid w:val="0"/>
              <w:ind w:right="187"/>
              <w:rPr>
                <w:rFonts w:asciiTheme="minorEastAsia" w:hAnsiTheme="minorEastAsia"/>
                <w:sz w:val="24"/>
              </w:rPr>
            </w:pPr>
          </w:p>
        </w:tc>
        <w:tc>
          <w:tcPr>
            <w:tcW w:w="983" w:type="dxa"/>
            <w:vAlign w:val="center"/>
          </w:tcPr>
          <w:p>
            <w:pPr>
              <w:tabs>
                <w:tab w:val="left" w:pos="720"/>
                <w:tab w:val="left" w:pos="1440"/>
                <w:tab w:val="left" w:pos="1620"/>
              </w:tabs>
              <w:adjustRightInd w:val="0"/>
              <w:snapToGrid w:val="0"/>
              <w:ind w:right="187"/>
              <w:jc w:val="center"/>
              <w:rPr>
                <w:rFonts w:asciiTheme="minorEastAsia" w:hAnsiTheme="minorEastAsia"/>
                <w:sz w:val="24"/>
              </w:rPr>
            </w:pPr>
          </w:p>
        </w:tc>
        <w:tc>
          <w:tcPr>
            <w:tcW w:w="960" w:type="dxa"/>
            <w:vAlign w:val="center"/>
          </w:tcPr>
          <w:p>
            <w:pPr>
              <w:tabs>
                <w:tab w:val="left" w:pos="720"/>
                <w:tab w:val="left" w:pos="1440"/>
                <w:tab w:val="left" w:pos="1620"/>
              </w:tabs>
              <w:adjustRightInd w:val="0"/>
              <w:snapToGrid w:val="0"/>
              <w:ind w:right="187"/>
              <w:jc w:val="center"/>
              <w:rPr>
                <w:rFonts w:asciiTheme="minorEastAsia" w:hAnsiTheme="minorEastAsia"/>
                <w:sz w:val="24"/>
              </w:rPr>
            </w:pPr>
          </w:p>
        </w:tc>
        <w:tc>
          <w:tcPr>
            <w:tcW w:w="968" w:type="dxa"/>
          </w:tcPr>
          <w:p>
            <w:pPr>
              <w:tabs>
                <w:tab w:val="left" w:pos="720"/>
                <w:tab w:val="left" w:pos="1440"/>
                <w:tab w:val="left" w:pos="1620"/>
              </w:tabs>
              <w:adjustRightInd w:val="0"/>
              <w:snapToGrid w:val="0"/>
              <w:ind w:right="187"/>
              <w:rPr>
                <w:rFonts w:asciiTheme="minorEastAsia" w:hAnsiTheme="minorEastAsia"/>
                <w:sz w:val="24"/>
              </w:rPr>
            </w:pPr>
          </w:p>
        </w:tc>
        <w:tc>
          <w:tcPr>
            <w:tcW w:w="1332" w:type="dxa"/>
          </w:tcPr>
          <w:p>
            <w:pPr>
              <w:tabs>
                <w:tab w:val="left" w:pos="720"/>
                <w:tab w:val="left" w:pos="1440"/>
                <w:tab w:val="left" w:pos="1620"/>
              </w:tabs>
              <w:adjustRightInd w:val="0"/>
              <w:snapToGrid w:val="0"/>
              <w:ind w:right="187"/>
              <w:rPr>
                <w:rFonts w:asciiTheme="minorEastAsia" w:hAnsiTheme="minorEastAsia"/>
                <w:sz w:val="24"/>
              </w:rPr>
            </w:pPr>
          </w:p>
        </w:tc>
        <w:tc>
          <w:tcPr>
            <w:tcW w:w="1528" w:type="dxa"/>
          </w:tcPr>
          <w:p>
            <w:pPr>
              <w:tabs>
                <w:tab w:val="left" w:pos="720"/>
                <w:tab w:val="left" w:pos="1440"/>
                <w:tab w:val="left" w:pos="1620"/>
              </w:tabs>
              <w:adjustRightInd w:val="0"/>
              <w:snapToGrid w:val="0"/>
              <w:ind w:right="187"/>
              <w:rPr>
                <w:rFonts w:asciiTheme="minorEastAsia" w:hAnsiTheme="minorEastAsia"/>
                <w:sz w:val="24"/>
              </w:rPr>
            </w:pPr>
          </w:p>
        </w:tc>
        <w:tc>
          <w:tcPr>
            <w:tcW w:w="1306" w:type="dxa"/>
          </w:tcPr>
          <w:p>
            <w:pPr>
              <w:tabs>
                <w:tab w:val="left" w:pos="720"/>
                <w:tab w:val="left" w:pos="1440"/>
                <w:tab w:val="left" w:pos="1620"/>
              </w:tabs>
              <w:adjustRightInd w:val="0"/>
              <w:snapToGrid w:val="0"/>
              <w:ind w:right="187"/>
              <w:rPr>
                <w:rFonts w:asciiTheme="minorEastAsia" w:hAnsiTheme="minorEastAsia"/>
                <w:sz w:val="24"/>
              </w:rPr>
            </w:pPr>
          </w:p>
        </w:tc>
        <w:tc>
          <w:tcPr>
            <w:tcW w:w="1418" w:type="dxa"/>
          </w:tcPr>
          <w:p>
            <w:pPr>
              <w:tabs>
                <w:tab w:val="left" w:pos="720"/>
                <w:tab w:val="left" w:pos="1440"/>
                <w:tab w:val="left" w:pos="1620"/>
              </w:tabs>
              <w:adjustRightInd w:val="0"/>
              <w:snapToGrid w:val="0"/>
              <w:ind w:right="187"/>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trPr>
        <w:tc>
          <w:tcPr>
            <w:tcW w:w="969" w:type="dxa"/>
          </w:tcPr>
          <w:p>
            <w:pPr>
              <w:tabs>
                <w:tab w:val="left" w:pos="720"/>
                <w:tab w:val="left" w:pos="1440"/>
                <w:tab w:val="left" w:pos="1620"/>
              </w:tabs>
              <w:adjustRightInd w:val="0"/>
              <w:snapToGrid w:val="0"/>
              <w:ind w:right="187"/>
              <w:rPr>
                <w:rFonts w:asciiTheme="minorEastAsia" w:hAnsiTheme="minorEastAsia"/>
                <w:sz w:val="24"/>
              </w:rPr>
            </w:pPr>
          </w:p>
        </w:tc>
        <w:tc>
          <w:tcPr>
            <w:tcW w:w="983" w:type="dxa"/>
            <w:vAlign w:val="center"/>
          </w:tcPr>
          <w:p>
            <w:pPr>
              <w:tabs>
                <w:tab w:val="left" w:pos="720"/>
                <w:tab w:val="left" w:pos="1440"/>
                <w:tab w:val="left" w:pos="1620"/>
              </w:tabs>
              <w:adjustRightInd w:val="0"/>
              <w:snapToGrid w:val="0"/>
              <w:ind w:right="187"/>
              <w:jc w:val="center"/>
              <w:rPr>
                <w:rFonts w:asciiTheme="minorEastAsia" w:hAnsiTheme="minorEastAsia"/>
                <w:sz w:val="24"/>
              </w:rPr>
            </w:pPr>
          </w:p>
        </w:tc>
        <w:tc>
          <w:tcPr>
            <w:tcW w:w="960" w:type="dxa"/>
            <w:vAlign w:val="center"/>
          </w:tcPr>
          <w:p>
            <w:pPr>
              <w:tabs>
                <w:tab w:val="left" w:pos="720"/>
                <w:tab w:val="left" w:pos="1440"/>
                <w:tab w:val="left" w:pos="1620"/>
              </w:tabs>
              <w:adjustRightInd w:val="0"/>
              <w:snapToGrid w:val="0"/>
              <w:ind w:right="187"/>
              <w:jc w:val="center"/>
              <w:rPr>
                <w:rFonts w:asciiTheme="minorEastAsia" w:hAnsiTheme="minorEastAsia"/>
                <w:sz w:val="24"/>
              </w:rPr>
            </w:pPr>
          </w:p>
        </w:tc>
        <w:tc>
          <w:tcPr>
            <w:tcW w:w="968" w:type="dxa"/>
          </w:tcPr>
          <w:p>
            <w:pPr>
              <w:tabs>
                <w:tab w:val="left" w:pos="720"/>
                <w:tab w:val="left" w:pos="1440"/>
                <w:tab w:val="left" w:pos="1620"/>
              </w:tabs>
              <w:adjustRightInd w:val="0"/>
              <w:snapToGrid w:val="0"/>
              <w:ind w:right="187"/>
              <w:rPr>
                <w:rFonts w:asciiTheme="minorEastAsia" w:hAnsiTheme="minorEastAsia"/>
                <w:sz w:val="24"/>
              </w:rPr>
            </w:pPr>
          </w:p>
        </w:tc>
        <w:tc>
          <w:tcPr>
            <w:tcW w:w="1332" w:type="dxa"/>
          </w:tcPr>
          <w:p>
            <w:pPr>
              <w:tabs>
                <w:tab w:val="left" w:pos="720"/>
                <w:tab w:val="left" w:pos="1440"/>
                <w:tab w:val="left" w:pos="1620"/>
              </w:tabs>
              <w:adjustRightInd w:val="0"/>
              <w:snapToGrid w:val="0"/>
              <w:ind w:right="187"/>
              <w:rPr>
                <w:rFonts w:asciiTheme="minorEastAsia" w:hAnsiTheme="minorEastAsia"/>
                <w:sz w:val="24"/>
              </w:rPr>
            </w:pPr>
          </w:p>
        </w:tc>
        <w:tc>
          <w:tcPr>
            <w:tcW w:w="1528" w:type="dxa"/>
          </w:tcPr>
          <w:p>
            <w:pPr>
              <w:tabs>
                <w:tab w:val="left" w:pos="720"/>
                <w:tab w:val="left" w:pos="1440"/>
                <w:tab w:val="left" w:pos="1620"/>
              </w:tabs>
              <w:adjustRightInd w:val="0"/>
              <w:snapToGrid w:val="0"/>
              <w:ind w:right="187"/>
              <w:rPr>
                <w:rFonts w:asciiTheme="minorEastAsia" w:hAnsiTheme="minorEastAsia"/>
                <w:sz w:val="24"/>
              </w:rPr>
            </w:pPr>
          </w:p>
        </w:tc>
        <w:tc>
          <w:tcPr>
            <w:tcW w:w="1306" w:type="dxa"/>
          </w:tcPr>
          <w:p>
            <w:pPr>
              <w:tabs>
                <w:tab w:val="left" w:pos="720"/>
                <w:tab w:val="left" w:pos="1440"/>
                <w:tab w:val="left" w:pos="1620"/>
              </w:tabs>
              <w:adjustRightInd w:val="0"/>
              <w:snapToGrid w:val="0"/>
              <w:ind w:right="187"/>
              <w:rPr>
                <w:rFonts w:asciiTheme="minorEastAsia" w:hAnsiTheme="minorEastAsia"/>
                <w:sz w:val="24"/>
              </w:rPr>
            </w:pPr>
          </w:p>
        </w:tc>
        <w:tc>
          <w:tcPr>
            <w:tcW w:w="1418" w:type="dxa"/>
          </w:tcPr>
          <w:p>
            <w:pPr>
              <w:tabs>
                <w:tab w:val="left" w:pos="720"/>
                <w:tab w:val="left" w:pos="1440"/>
                <w:tab w:val="left" w:pos="1620"/>
              </w:tabs>
              <w:adjustRightInd w:val="0"/>
              <w:snapToGrid w:val="0"/>
              <w:ind w:right="187"/>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969" w:type="dxa"/>
          </w:tcPr>
          <w:p>
            <w:pPr>
              <w:tabs>
                <w:tab w:val="left" w:pos="720"/>
                <w:tab w:val="left" w:pos="1440"/>
                <w:tab w:val="left" w:pos="1620"/>
              </w:tabs>
              <w:adjustRightInd w:val="0"/>
              <w:snapToGrid w:val="0"/>
              <w:ind w:right="187"/>
              <w:rPr>
                <w:rFonts w:asciiTheme="minorEastAsia" w:hAnsiTheme="minorEastAsia"/>
                <w:sz w:val="24"/>
              </w:rPr>
            </w:pPr>
          </w:p>
        </w:tc>
        <w:tc>
          <w:tcPr>
            <w:tcW w:w="983" w:type="dxa"/>
            <w:vAlign w:val="center"/>
          </w:tcPr>
          <w:p>
            <w:pPr>
              <w:tabs>
                <w:tab w:val="left" w:pos="720"/>
                <w:tab w:val="left" w:pos="1440"/>
                <w:tab w:val="left" w:pos="1620"/>
              </w:tabs>
              <w:adjustRightInd w:val="0"/>
              <w:snapToGrid w:val="0"/>
              <w:ind w:right="187"/>
              <w:jc w:val="center"/>
              <w:rPr>
                <w:rFonts w:asciiTheme="minorEastAsia" w:hAnsiTheme="minorEastAsia"/>
                <w:sz w:val="24"/>
              </w:rPr>
            </w:pPr>
          </w:p>
        </w:tc>
        <w:tc>
          <w:tcPr>
            <w:tcW w:w="960" w:type="dxa"/>
            <w:vAlign w:val="center"/>
          </w:tcPr>
          <w:p>
            <w:pPr>
              <w:tabs>
                <w:tab w:val="left" w:pos="720"/>
                <w:tab w:val="left" w:pos="1440"/>
                <w:tab w:val="left" w:pos="1620"/>
              </w:tabs>
              <w:adjustRightInd w:val="0"/>
              <w:snapToGrid w:val="0"/>
              <w:ind w:right="187"/>
              <w:jc w:val="center"/>
              <w:rPr>
                <w:rFonts w:asciiTheme="minorEastAsia" w:hAnsiTheme="minorEastAsia"/>
                <w:sz w:val="24"/>
              </w:rPr>
            </w:pPr>
          </w:p>
        </w:tc>
        <w:tc>
          <w:tcPr>
            <w:tcW w:w="968" w:type="dxa"/>
          </w:tcPr>
          <w:p>
            <w:pPr>
              <w:tabs>
                <w:tab w:val="left" w:pos="720"/>
                <w:tab w:val="left" w:pos="1440"/>
                <w:tab w:val="left" w:pos="1620"/>
              </w:tabs>
              <w:adjustRightInd w:val="0"/>
              <w:snapToGrid w:val="0"/>
              <w:ind w:right="187"/>
              <w:rPr>
                <w:rFonts w:asciiTheme="minorEastAsia" w:hAnsiTheme="minorEastAsia"/>
                <w:sz w:val="24"/>
              </w:rPr>
            </w:pPr>
          </w:p>
        </w:tc>
        <w:tc>
          <w:tcPr>
            <w:tcW w:w="1332" w:type="dxa"/>
          </w:tcPr>
          <w:p>
            <w:pPr>
              <w:tabs>
                <w:tab w:val="left" w:pos="720"/>
                <w:tab w:val="left" w:pos="1440"/>
                <w:tab w:val="left" w:pos="1620"/>
              </w:tabs>
              <w:adjustRightInd w:val="0"/>
              <w:snapToGrid w:val="0"/>
              <w:ind w:right="187"/>
              <w:rPr>
                <w:rFonts w:asciiTheme="minorEastAsia" w:hAnsiTheme="minorEastAsia"/>
                <w:sz w:val="24"/>
              </w:rPr>
            </w:pPr>
          </w:p>
        </w:tc>
        <w:tc>
          <w:tcPr>
            <w:tcW w:w="1528" w:type="dxa"/>
          </w:tcPr>
          <w:p>
            <w:pPr>
              <w:tabs>
                <w:tab w:val="left" w:pos="720"/>
                <w:tab w:val="left" w:pos="1440"/>
                <w:tab w:val="left" w:pos="1620"/>
              </w:tabs>
              <w:adjustRightInd w:val="0"/>
              <w:snapToGrid w:val="0"/>
              <w:ind w:right="187"/>
              <w:rPr>
                <w:rFonts w:asciiTheme="minorEastAsia" w:hAnsiTheme="minorEastAsia"/>
                <w:sz w:val="24"/>
              </w:rPr>
            </w:pPr>
          </w:p>
        </w:tc>
        <w:tc>
          <w:tcPr>
            <w:tcW w:w="1306" w:type="dxa"/>
          </w:tcPr>
          <w:p>
            <w:pPr>
              <w:tabs>
                <w:tab w:val="left" w:pos="720"/>
                <w:tab w:val="left" w:pos="1440"/>
                <w:tab w:val="left" w:pos="1620"/>
              </w:tabs>
              <w:adjustRightInd w:val="0"/>
              <w:snapToGrid w:val="0"/>
              <w:ind w:right="187"/>
              <w:rPr>
                <w:rFonts w:asciiTheme="minorEastAsia" w:hAnsiTheme="minorEastAsia"/>
                <w:sz w:val="24"/>
              </w:rPr>
            </w:pPr>
          </w:p>
        </w:tc>
        <w:tc>
          <w:tcPr>
            <w:tcW w:w="1418" w:type="dxa"/>
          </w:tcPr>
          <w:p>
            <w:pPr>
              <w:tabs>
                <w:tab w:val="left" w:pos="720"/>
                <w:tab w:val="left" w:pos="1440"/>
                <w:tab w:val="left" w:pos="1620"/>
              </w:tabs>
              <w:adjustRightInd w:val="0"/>
              <w:snapToGrid w:val="0"/>
              <w:ind w:right="187"/>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trPr>
        <w:tc>
          <w:tcPr>
            <w:tcW w:w="969" w:type="dxa"/>
          </w:tcPr>
          <w:p>
            <w:pPr>
              <w:tabs>
                <w:tab w:val="left" w:pos="720"/>
                <w:tab w:val="left" w:pos="1440"/>
                <w:tab w:val="left" w:pos="1620"/>
              </w:tabs>
              <w:adjustRightInd w:val="0"/>
              <w:snapToGrid w:val="0"/>
              <w:ind w:right="187"/>
              <w:rPr>
                <w:rFonts w:asciiTheme="minorEastAsia" w:hAnsiTheme="minorEastAsia"/>
                <w:sz w:val="24"/>
              </w:rPr>
            </w:pPr>
          </w:p>
        </w:tc>
        <w:tc>
          <w:tcPr>
            <w:tcW w:w="983" w:type="dxa"/>
            <w:vAlign w:val="center"/>
          </w:tcPr>
          <w:p>
            <w:pPr>
              <w:tabs>
                <w:tab w:val="left" w:pos="720"/>
                <w:tab w:val="left" w:pos="1440"/>
                <w:tab w:val="left" w:pos="1620"/>
              </w:tabs>
              <w:adjustRightInd w:val="0"/>
              <w:snapToGrid w:val="0"/>
              <w:ind w:right="187"/>
              <w:jc w:val="center"/>
              <w:rPr>
                <w:rFonts w:asciiTheme="minorEastAsia" w:hAnsiTheme="minorEastAsia"/>
                <w:sz w:val="24"/>
              </w:rPr>
            </w:pPr>
          </w:p>
        </w:tc>
        <w:tc>
          <w:tcPr>
            <w:tcW w:w="960" w:type="dxa"/>
            <w:vAlign w:val="center"/>
          </w:tcPr>
          <w:p>
            <w:pPr>
              <w:tabs>
                <w:tab w:val="left" w:pos="720"/>
                <w:tab w:val="left" w:pos="1440"/>
                <w:tab w:val="left" w:pos="1620"/>
              </w:tabs>
              <w:adjustRightInd w:val="0"/>
              <w:snapToGrid w:val="0"/>
              <w:ind w:right="187"/>
              <w:jc w:val="center"/>
              <w:rPr>
                <w:rFonts w:asciiTheme="minorEastAsia" w:hAnsiTheme="minorEastAsia"/>
                <w:sz w:val="24"/>
              </w:rPr>
            </w:pPr>
          </w:p>
        </w:tc>
        <w:tc>
          <w:tcPr>
            <w:tcW w:w="968" w:type="dxa"/>
          </w:tcPr>
          <w:p>
            <w:pPr>
              <w:tabs>
                <w:tab w:val="left" w:pos="720"/>
                <w:tab w:val="left" w:pos="1440"/>
                <w:tab w:val="left" w:pos="1620"/>
              </w:tabs>
              <w:adjustRightInd w:val="0"/>
              <w:snapToGrid w:val="0"/>
              <w:ind w:right="187"/>
              <w:rPr>
                <w:rFonts w:asciiTheme="minorEastAsia" w:hAnsiTheme="minorEastAsia"/>
                <w:sz w:val="24"/>
              </w:rPr>
            </w:pPr>
          </w:p>
        </w:tc>
        <w:tc>
          <w:tcPr>
            <w:tcW w:w="1332" w:type="dxa"/>
          </w:tcPr>
          <w:p>
            <w:pPr>
              <w:tabs>
                <w:tab w:val="left" w:pos="720"/>
                <w:tab w:val="left" w:pos="1440"/>
                <w:tab w:val="left" w:pos="1620"/>
              </w:tabs>
              <w:adjustRightInd w:val="0"/>
              <w:snapToGrid w:val="0"/>
              <w:ind w:right="187"/>
              <w:rPr>
                <w:rFonts w:asciiTheme="minorEastAsia" w:hAnsiTheme="minorEastAsia"/>
                <w:sz w:val="24"/>
              </w:rPr>
            </w:pPr>
          </w:p>
        </w:tc>
        <w:tc>
          <w:tcPr>
            <w:tcW w:w="1528" w:type="dxa"/>
          </w:tcPr>
          <w:p>
            <w:pPr>
              <w:tabs>
                <w:tab w:val="left" w:pos="720"/>
                <w:tab w:val="left" w:pos="1440"/>
                <w:tab w:val="left" w:pos="1620"/>
              </w:tabs>
              <w:adjustRightInd w:val="0"/>
              <w:snapToGrid w:val="0"/>
              <w:ind w:right="187"/>
              <w:rPr>
                <w:rFonts w:asciiTheme="minorEastAsia" w:hAnsiTheme="minorEastAsia"/>
                <w:sz w:val="24"/>
              </w:rPr>
            </w:pPr>
          </w:p>
        </w:tc>
        <w:tc>
          <w:tcPr>
            <w:tcW w:w="1306" w:type="dxa"/>
          </w:tcPr>
          <w:p>
            <w:pPr>
              <w:tabs>
                <w:tab w:val="left" w:pos="720"/>
                <w:tab w:val="left" w:pos="1440"/>
                <w:tab w:val="left" w:pos="1620"/>
              </w:tabs>
              <w:adjustRightInd w:val="0"/>
              <w:snapToGrid w:val="0"/>
              <w:ind w:right="187"/>
              <w:rPr>
                <w:rFonts w:asciiTheme="minorEastAsia" w:hAnsiTheme="minorEastAsia"/>
                <w:sz w:val="24"/>
              </w:rPr>
            </w:pPr>
          </w:p>
        </w:tc>
        <w:tc>
          <w:tcPr>
            <w:tcW w:w="1418" w:type="dxa"/>
          </w:tcPr>
          <w:p>
            <w:pPr>
              <w:tabs>
                <w:tab w:val="left" w:pos="720"/>
                <w:tab w:val="left" w:pos="1440"/>
                <w:tab w:val="left" w:pos="1620"/>
              </w:tabs>
              <w:adjustRightInd w:val="0"/>
              <w:snapToGrid w:val="0"/>
              <w:ind w:right="187"/>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969" w:type="dxa"/>
          </w:tcPr>
          <w:p>
            <w:pPr>
              <w:tabs>
                <w:tab w:val="left" w:pos="720"/>
                <w:tab w:val="left" w:pos="1440"/>
                <w:tab w:val="left" w:pos="1620"/>
              </w:tabs>
              <w:adjustRightInd w:val="0"/>
              <w:snapToGrid w:val="0"/>
              <w:ind w:right="187"/>
              <w:rPr>
                <w:rFonts w:asciiTheme="minorEastAsia" w:hAnsiTheme="minorEastAsia"/>
                <w:sz w:val="24"/>
              </w:rPr>
            </w:pPr>
          </w:p>
        </w:tc>
        <w:tc>
          <w:tcPr>
            <w:tcW w:w="983" w:type="dxa"/>
            <w:vAlign w:val="center"/>
          </w:tcPr>
          <w:p>
            <w:pPr>
              <w:tabs>
                <w:tab w:val="left" w:pos="720"/>
                <w:tab w:val="left" w:pos="1440"/>
                <w:tab w:val="left" w:pos="1620"/>
              </w:tabs>
              <w:adjustRightInd w:val="0"/>
              <w:snapToGrid w:val="0"/>
              <w:ind w:right="187"/>
              <w:jc w:val="center"/>
              <w:rPr>
                <w:rFonts w:asciiTheme="minorEastAsia" w:hAnsiTheme="minorEastAsia"/>
                <w:sz w:val="24"/>
              </w:rPr>
            </w:pPr>
          </w:p>
        </w:tc>
        <w:tc>
          <w:tcPr>
            <w:tcW w:w="960" w:type="dxa"/>
            <w:vAlign w:val="center"/>
          </w:tcPr>
          <w:p>
            <w:pPr>
              <w:tabs>
                <w:tab w:val="left" w:pos="720"/>
                <w:tab w:val="left" w:pos="1440"/>
                <w:tab w:val="left" w:pos="1620"/>
              </w:tabs>
              <w:adjustRightInd w:val="0"/>
              <w:snapToGrid w:val="0"/>
              <w:ind w:right="187"/>
              <w:jc w:val="center"/>
              <w:rPr>
                <w:rFonts w:asciiTheme="minorEastAsia" w:hAnsiTheme="minorEastAsia"/>
                <w:sz w:val="24"/>
              </w:rPr>
            </w:pPr>
          </w:p>
        </w:tc>
        <w:tc>
          <w:tcPr>
            <w:tcW w:w="968" w:type="dxa"/>
          </w:tcPr>
          <w:p>
            <w:pPr>
              <w:tabs>
                <w:tab w:val="left" w:pos="720"/>
                <w:tab w:val="left" w:pos="1440"/>
                <w:tab w:val="left" w:pos="1620"/>
              </w:tabs>
              <w:adjustRightInd w:val="0"/>
              <w:snapToGrid w:val="0"/>
              <w:ind w:right="187"/>
              <w:rPr>
                <w:rFonts w:asciiTheme="minorEastAsia" w:hAnsiTheme="minorEastAsia"/>
                <w:sz w:val="24"/>
              </w:rPr>
            </w:pPr>
          </w:p>
        </w:tc>
        <w:tc>
          <w:tcPr>
            <w:tcW w:w="1332" w:type="dxa"/>
          </w:tcPr>
          <w:p>
            <w:pPr>
              <w:tabs>
                <w:tab w:val="left" w:pos="720"/>
                <w:tab w:val="left" w:pos="1440"/>
                <w:tab w:val="left" w:pos="1620"/>
              </w:tabs>
              <w:adjustRightInd w:val="0"/>
              <w:snapToGrid w:val="0"/>
              <w:ind w:right="187"/>
              <w:rPr>
                <w:rFonts w:asciiTheme="minorEastAsia" w:hAnsiTheme="minorEastAsia"/>
                <w:sz w:val="24"/>
              </w:rPr>
            </w:pPr>
          </w:p>
        </w:tc>
        <w:tc>
          <w:tcPr>
            <w:tcW w:w="1528" w:type="dxa"/>
          </w:tcPr>
          <w:p>
            <w:pPr>
              <w:tabs>
                <w:tab w:val="left" w:pos="720"/>
                <w:tab w:val="left" w:pos="1440"/>
                <w:tab w:val="left" w:pos="1620"/>
              </w:tabs>
              <w:adjustRightInd w:val="0"/>
              <w:snapToGrid w:val="0"/>
              <w:ind w:right="187"/>
              <w:rPr>
                <w:rFonts w:asciiTheme="minorEastAsia" w:hAnsiTheme="minorEastAsia"/>
                <w:sz w:val="24"/>
              </w:rPr>
            </w:pPr>
          </w:p>
        </w:tc>
        <w:tc>
          <w:tcPr>
            <w:tcW w:w="1306" w:type="dxa"/>
          </w:tcPr>
          <w:p>
            <w:pPr>
              <w:tabs>
                <w:tab w:val="left" w:pos="720"/>
                <w:tab w:val="left" w:pos="1440"/>
                <w:tab w:val="left" w:pos="1620"/>
              </w:tabs>
              <w:adjustRightInd w:val="0"/>
              <w:snapToGrid w:val="0"/>
              <w:ind w:right="187"/>
              <w:rPr>
                <w:rFonts w:asciiTheme="minorEastAsia" w:hAnsiTheme="minorEastAsia"/>
                <w:sz w:val="24"/>
              </w:rPr>
            </w:pPr>
          </w:p>
        </w:tc>
        <w:tc>
          <w:tcPr>
            <w:tcW w:w="1418" w:type="dxa"/>
          </w:tcPr>
          <w:p>
            <w:pPr>
              <w:tabs>
                <w:tab w:val="left" w:pos="720"/>
                <w:tab w:val="left" w:pos="1440"/>
                <w:tab w:val="left" w:pos="1620"/>
              </w:tabs>
              <w:adjustRightInd w:val="0"/>
              <w:snapToGrid w:val="0"/>
              <w:ind w:right="187"/>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trPr>
        <w:tc>
          <w:tcPr>
            <w:tcW w:w="969" w:type="dxa"/>
          </w:tcPr>
          <w:p>
            <w:pPr>
              <w:tabs>
                <w:tab w:val="left" w:pos="720"/>
                <w:tab w:val="left" w:pos="1440"/>
                <w:tab w:val="left" w:pos="1620"/>
              </w:tabs>
              <w:adjustRightInd w:val="0"/>
              <w:snapToGrid w:val="0"/>
              <w:ind w:right="187"/>
              <w:rPr>
                <w:rFonts w:asciiTheme="minorEastAsia" w:hAnsiTheme="minorEastAsia"/>
                <w:sz w:val="24"/>
              </w:rPr>
            </w:pPr>
          </w:p>
        </w:tc>
        <w:tc>
          <w:tcPr>
            <w:tcW w:w="983" w:type="dxa"/>
            <w:vAlign w:val="center"/>
          </w:tcPr>
          <w:p>
            <w:pPr>
              <w:tabs>
                <w:tab w:val="left" w:pos="720"/>
                <w:tab w:val="left" w:pos="1440"/>
                <w:tab w:val="left" w:pos="1620"/>
              </w:tabs>
              <w:adjustRightInd w:val="0"/>
              <w:snapToGrid w:val="0"/>
              <w:ind w:right="187"/>
              <w:jc w:val="center"/>
              <w:rPr>
                <w:rFonts w:asciiTheme="minorEastAsia" w:hAnsiTheme="minorEastAsia"/>
                <w:sz w:val="24"/>
              </w:rPr>
            </w:pPr>
          </w:p>
        </w:tc>
        <w:tc>
          <w:tcPr>
            <w:tcW w:w="960" w:type="dxa"/>
            <w:vAlign w:val="center"/>
          </w:tcPr>
          <w:p>
            <w:pPr>
              <w:tabs>
                <w:tab w:val="left" w:pos="720"/>
                <w:tab w:val="left" w:pos="1440"/>
                <w:tab w:val="left" w:pos="1620"/>
              </w:tabs>
              <w:adjustRightInd w:val="0"/>
              <w:snapToGrid w:val="0"/>
              <w:ind w:right="187"/>
              <w:jc w:val="center"/>
              <w:rPr>
                <w:rFonts w:asciiTheme="minorEastAsia" w:hAnsiTheme="minorEastAsia"/>
                <w:sz w:val="24"/>
              </w:rPr>
            </w:pPr>
          </w:p>
        </w:tc>
        <w:tc>
          <w:tcPr>
            <w:tcW w:w="968" w:type="dxa"/>
          </w:tcPr>
          <w:p>
            <w:pPr>
              <w:tabs>
                <w:tab w:val="left" w:pos="720"/>
                <w:tab w:val="left" w:pos="1440"/>
                <w:tab w:val="left" w:pos="1620"/>
              </w:tabs>
              <w:adjustRightInd w:val="0"/>
              <w:snapToGrid w:val="0"/>
              <w:ind w:right="187"/>
              <w:rPr>
                <w:rFonts w:asciiTheme="minorEastAsia" w:hAnsiTheme="minorEastAsia"/>
                <w:sz w:val="24"/>
              </w:rPr>
            </w:pPr>
          </w:p>
        </w:tc>
        <w:tc>
          <w:tcPr>
            <w:tcW w:w="1332" w:type="dxa"/>
          </w:tcPr>
          <w:p>
            <w:pPr>
              <w:tabs>
                <w:tab w:val="left" w:pos="720"/>
                <w:tab w:val="left" w:pos="1440"/>
                <w:tab w:val="left" w:pos="1620"/>
              </w:tabs>
              <w:adjustRightInd w:val="0"/>
              <w:snapToGrid w:val="0"/>
              <w:ind w:right="187"/>
              <w:rPr>
                <w:rFonts w:asciiTheme="minorEastAsia" w:hAnsiTheme="minorEastAsia"/>
                <w:sz w:val="24"/>
              </w:rPr>
            </w:pPr>
          </w:p>
        </w:tc>
        <w:tc>
          <w:tcPr>
            <w:tcW w:w="1528" w:type="dxa"/>
          </w:tcPr>
          <w:p>
            <w:pPr>
              <w:tabs>
                <w:tab w:val="left" w:pos="720"/>
                <w:tab w:val="left" w:pos="1440"/>
                <w:tab w:val="left" w:pos="1620"/>
              </w:tabs>
              <w:adjustRightInd w:val="0"/>
              <w:snapToGrid w:val="0"/>
              <w:ind w:right="187"/>
              <w:rPr>
                <w:rFonts w:asciiTheme="minorEastAsia" w:hAnsiTheme="minorEastAsia"/>
                <w:sz w:val="24"/>
              </w:rPr>
            </w:pPr>
          </w:p>
        </w:tc>
        <w:tc>
          <w:tcPr>
            <w:tcW w:w="1306" w:type="dxa"/>
          </w:tcPr>
          <w:p>
            <w:pPr>
              <w:tabs>
                <w:tab w:val="left" w:pos="720"/>
                <w:tab w:val="left" w:pos="1440"/>
                <w:tab w:val="left" w:pos="1620"/>
              </w:tabs>
              <w:adjustRightInd w:val="0"/>
              <w:snapToGrid w:val="0"/>
              <w:ind w:right="187"/>
              <w:rPr>
                <w:rFonts w:asciiTheme="minorEastAsia" w:hAnsiTheme="minorEastAsia"/>
                <w:sz w:val="24"/>
              </w:rPr>
            </w:pPr>
          </w:p>
        </w:tc>
        <w:tc>
          <w:tcPr>
            <w:tcW w:w="1418" w:type="dxa"/>
          </w:tcPr>
          <w:p>
            <w:pPr>
              <w:tabs>
                <w:tab w:val="left" w:pos="720"/>
                <w:tab w:val="left" w:pos="1440"/>
                <w:tab w:val="left" w:pos="1620"/>
              </w:tabs>
              <w:adjustRightInd w:val="0"/>
              <w:snapToGrid w:val="0"/>
              <w:ind w:right="187"/>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969" w:type="dxa"/>
          </w:tcPr>
          <w:p>
            <w:pPr>
              <w:tabs>
                <w:tab w:val="left" w:pos="720"/>
                <w:tab w:val="left" w:pos="1440"/>
                <w:tab w:val="left" w:pos="1620"/>
              </w:tabs>
              <w:adjustRightInd w:val="0"/>
              <w:snapToGrid w:val="0"/>
              <w:ind w:right="187"/>
              <w:rPr>
                <w:rFonts w:asciiTheme="minorEastAsia" w:hAnsiTheme="minorEastAsia"/>
                <w:sz w:val="24"/>
              </w:rPr>
            </w:pPr>
          </w:p>
        </w:tc>
        <w:tc>
          <w:tcPr>
            <w:tcW w:w="983" w:type="dxa"/>
            <w:vAlign w:val="center"/>
          </w:tcPr>
          <w:p>
            <w:pPr>
              <w:tabs>
                <w:tab w:val="left" w:pos="720"/>
                <w:tab w:val="left" w:pos="1440"/>
                <w:tab w:val="left" w:pos="1620"/>
              </w:tabs>
              <w:adjustRightInd w:val="0"/>
              <w:snapToGrid w:val="0"/>
              <w:ind w:right="187"/>
              <w:jc w:val="center"/>
              <w:rPr>
                <w:rFonts w:asciiTheme="minorEastAsia" w:hAnsiTheme="minorEastAsia"/>
                <w:sz w:val="24"/>
              </w:rPr>
            </w:pPr>
          </w:p>
        </w:tc>
        <w:tc>
          <w:tcPr>
            <w:tcW w:w="960" w:type="dxa"/>
            <w:vAlign w:val="center"/>
          </w:tcPr>
          <w:p>
            <w:pPr>
              <w:tabs>
                <w:tab w:val="left" w:pos="720"/>
                <w:tab w:val="left" w:pos="1440"/>
                <w:tab w:val="left" w:pos="1620"/>
              </w:tabs>
              <w:adjustRightInd w:val="0"/>
              <w:snapToGrid w:val="0"/>
              <w:ind w:right="187"/>
              <w:jc w:val="center"/>
              <w:rPr>
                <w:rFonts w:asciiTheme="minorEastAsia" w:hAnsiTheme="minorEastAsia"/>
                <w:sz w:val="24"/>
              </w:rPr>
            </w:pPr>
          </w:p>
        </w:tc>
        <w:tc>
          <w:tcPr>
            <w:tcW w:w="968" w:type="dxa"/>
          </w:tcPr>
          <w:p>
            <w:pPr>
              <w:tabs>
                <w:tab w:val="left" w:pos="720"/>
                <w:tab w:val="left" w:pos="1440"/>
                <w:tab w:val="left" w:pos="1620"/>
              </w:tabs>
              <w:adjustRightInd w:val="0"/>
              <w:snapToGrid w:val="0"/>
              <w:ind w:right="187"/>
              <w:rPr>
                <w:rFonts w:asciiTheme="minorEastAsia" w:hAnsiTheme="minorEastAsia"/>
                <w:sz w:val="24"/>
              </w:rPr>
            </w:pPr>
          </w:p>
        </w:tc>
        <w:tc>
          <w:tcPr>
            <w:tcW w:w="1332" w:type="dxa"/>
          </w:tcPr>
          <w:p>
            <w:pPr>
              <w:tabs>
                <w:tab w:val="left" w:pos="720"/>
                <w:tab w:val="left" w:pos="1440"/>
                <w:tab w:val="left" w:pos="1620"/>
              </w:tabs>
              <w:adjustRightInd w:val="0"/>
              <w:snapToGrid w:val="0"/>
              <w:ind w:right="187"/>
              <w:rPr>
                <w:rFonts w:asciiTheme="minorEastAsia" w:hAnsiTheme="minorEastAsia"/>
                <w:sz w:val="24"/>
              </w:rPr>
            </w:pPr>
          </w:p>
        </w:tc>
        <w:tc>
          <w:tcPr>
            <w:tcW w:w="1528" w:type="dxa"/>
          </w:tcPr>
          <w:p>
            <w:pPr>
              <w:tabs>
                <w:tab w:val="left" w:pos="720"/>
                <w:tab w:val="left" w:pos="1440"/>
                <w:tab w:val="left" w:pos="1620"/>
              </w:tabs>
              <w:adjustRightInd w:val="0"/>
              <w:snapToGrid w:val="0"/>
              <w:ind w:right="187"/>
              <w:rPr>
                <w:rFonts w:asciiTheme="minorEastAsia" w:hAnsiTheme="minorEastAsia"/>
                <w:sz w:val="24"/>
              </w:rPr>
            </w:pPr>
          </w:p>
        </w:tc>
        <w:tc>
          <w:tcPr>
            <w:tcW w:w="1306" w:type="dxa"/>
          </w:tcPr>
          <w:p>
            <w:pPr>
              <w:tabs>
                <w:tab w:val="left" w:pos="720"/>
                <w:tab w:val="left" w:pos="1440"/>
                <w:tab w:val="left" w:pos="1620"/>
              </w:tabs>
              <w:adjustRightInd w:val="0"/>
              <w:snapToGrid w:val="0"/>
              <w:ind w:right="187"/>
              <w:rPr>
                <w:rFonts w:asciiTheme="minorEastAsia" w:hAnsiTheme="minorEastAsia"/>
                <w:sz w:val="24"/>
              </w:rPr>
            </w:pPr>
          </w:p>
        </w:tc>
        <w:tc>
          <w:tcPr>
            <w:tcW w:w="1418" w:type="dxa"/>
          </w:tcPr>
          <w:p>
            <w:pPr>
              <w:tabs>
                <w:tab w:val="left" w:pos="720"/>
                <w:tab w:val="left" w:pos="1440"/>
                <w:tab w:val="left" w:pos="1620"/>
              </w:tabs>
              <w:adjustRightInd w:val="0"/>
              <w:snapToGrid w:val="0"/>
              <w:ind w:right="187"/>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trPr>
        <w:tc>
          <w:tcPr>
            <w:tcW w:w="969" w:type="dxa"/>
          </w:tcPr>
          <w:p>
            <w:pPr>
              <w:tabs>
                <w:tab w:val="left" w:pos="720"/>
                <w:tab w:val="left" w:pos="1440"/>
                <w:tab w:val="left" w:pos="1620"/>
              </w:tabs>
              <w:adjustRightInd w:val="0"/>
              <w:snapToGrid w:val="0"/>
              <w:ind w:right="187"/>
              <w:rPr>
                <w:rFonts w:asciiTheme="minorEastAsia" w:hAnsiTheme="minorEastAsia"/>
                <w:sz w:val="24"/>
              </w:rPr>
            </w:pPr>
          </w:p>
        </w:tc>
        <w:tc>
          <w:tcPr>
            <w:tcW w:w="983" w:type="dxa"/>
            <w:vAlign w:val="center"/>
          </w:tcPr>
          <w:p>
            <w:pPr>
              <w:tabs>
                <w:tab w:val="left" w:pos="720"/>
                <w:tab w:val="left" w:pos="1440"/>
                <w:tab w:val="left" w:pos="1620"/>
              </w:tabs>
              <w:adjustRightInd w:val="0"/>
              <w:snapToGrid w:val="0"/>
              <w:ind w:right="187"/>
              <w:jc w:val="center"/>
              <w:rPr>
                <w:rFonts w:asciiTheme="minorEastAsia" w:hAnsiTheme="minorEastAsia"/>
                <w:sz w:val="24"/>
              </w:rPr>
            </w:pPr>
          </w:p>
        </w:tc>
        <w:tc>
          <w:tcPr>
            <w:tcW w:w="960" w:type="dxa"/>
            <w:vAlign w:val="center"/>
          </w:tcPr>
          <w:p>
            <w:pPr>
              <w:tabs>
                <w:tab w:val="left" w:pos="720"/>
                <w:tab w:val="left" w:pos="1440"/>
                <w:tab w:val="left" w:pos="1620"/>
              </w:tabs>
              <w:adjustRightInd w:val="0"/>
              <w:snapToGrid w:val="0"/>
              <w:ind w:right="187"/>
              <w:jc w:val="center"/>
              <w:rPr>
                <w:rFonts w:asciiTheme="minorEastAsia" w:hAnsiTheme="minorEastAsia"/>
                <w:sz w:val="24"/>
              </w:rPr>
            </w:pPr>
          </w:p>
        </w:tc>
        <w:tc>
          <w:tcPr>
            <w:tcW w:w="968" w:type="dxa"/>
          </w:tcPr>
          <w:p>
            <w:pPr>
              <w:tabs>
                <w:tab w:val="left" w:pos="720"/>
                <w:tab w:val="left" w:pos="1440"/>
                <w:tab w:val="left" w:pos="1620"/>
              </w:tabs>
              <w:adjustRightInd w:val="0"/>
              <w:snapToGrid w:val="0"/>
              <w:ind w:right="187"/>
              <w:rPr>
                <w:rFonts w:asciiTheme="minorEastAsia" w:hAnsiTheme="minorEastAsia"/>
                <w:sz w:val="24"/>
              </w:rPr>
            </w:pPr>
          </w:p>
        </w:tc>
        <w:tc>
          <w:tcPr>
            <w:tcW w:w="1332" w:type="dxa"/>
          </w:tcPr>
          <w:p>
            <w:pPr>
              <w:tabs>
                <w:tab w:val="left" w:pos="720"/>
                <w:tab w:val="left" w:pos="1440"/>
                <w:tab w:val="left" w:pos="1620"/>
              </w:tabs>
              <w:adjustRightInd w:val="0"/>
              <w:snapToGrid w:val="0"/>
              <w:ind w:right="187"/>
              <w:rPr>
                <w:rFonts w:asciiTheme="minorEastAsia" w:hAnsiTheme="minorEastAsia"/>
                <w:sz w:val="24"/>
              </w:rPr>
            </w:pPr>
          </w:p>
        </w:tc>
        <w:tc>
          <w:tcPr>
            <w:tcW w:w="1528" w:type="dxa"/>
          </w:tcPr>
          <w:p>
            <w:pPr>
              <w:tabs>
                <w:tab w:val="left" w:pos="720"/>
                <w:tab w:val="left" w:pos="1440"/>
                <w:tab w:val="left" w:pos="1620"/>
              </w:tabs>
              <w:adjustRightInd w:val="0"/>
              <w:snapToGrid w:val="0"/>
              <w:ind w:right="187"/>
              <w:rPr>
                <w:rFonts w:asciiTheme="minorEastAsia" w:hAnsiTheme="minorEastAsia"/>
                <w:sz w:val="24"/>
              </w:rPr>
            </w:pPr>
          </w:p>
        </w:tc>
        <w:tc>
          <w:tcPr>
            <w:tcW w:w="1306" w:type="dxa"/>
          </w:tcPr>
          <w:p>
            <w:pPr>
              <w:tabs>
                <w:tab w:val="left" w:pos="720"/>
                <w:tab w:val="left" w:pos="1440"/>
                <w:tab w:val="left" w:pos="1620"/>
              </w:tabs>
              <w:adjustRightInd w:val="0"/>
              <w:snapToGrid w:val="0"/>
              <w:ind w:right="187"/>
              <w:rPr>
                <w:rFonts w:asciiTheme="minorEastAsia" w:hAnsiTheme="minorEastAsia"/>
                <w:sz w:val="24"/>
              </w:rPr>
            </w:pPr>
          </w:p>
        </w:tc>
        <w:tc>
          <w:tcPr>
            <w:tcW w:w="1418" w:type="dxa"/>
          </w:tcPr>
          <w:p>
            <w:pPr>
              <w:tabs>
                <w:tab w:val="left" w:pos="720"/>
                <w:tab w:val="left" w:pos="1440"/>
                <w:tab w:val="left" w:pos="1620"/>
              </w:tabs>
              <w:adjustRightInd w:val="0"/>
              <w:snapToGrid w:val="0"/>
              <w:ind w:right="187"/>
              <w:rPr>
                <w:rFonts w:asciiTheme="minorEastAsia" w:hAnsiTheme="minorEastAsia"/>
                <w:sz w:val="24"/>
              </w:rPr>
            </w:pPr>
          </w:p>
        </w:tc>
      </w:tr>
    </w:tbl>
    <w:p/>
    <w:p>
      <w:pPr>
        <w:jc w:val="center"/>
        <w:rPr>
          <w:rFonts w:ascii="Times New Roman" w:hAnsi="Times New Roman" w:eastAsia="宋体" w:cs="Times New Roman"/>
          <w:b/>
          <w:bCs/>
          <w:sz w:val="32"/>
          <w:szCs w:val="32"/>
        </w:rPr>
      </w:pPr>
    </w:p>
    <w:p>
      <w:pPr>
        <w:jc w:val="center"/>
        <w:rPr>
          <w:rFonts w:ascii="Times New Roman" w:hAnsi="Times New Roman" w:eastAsia="宋体" w:cs="Times New Roman"/>
          <w:b/>
          <w:bCs/>
          <w:sz w:val="32"/>
          <w:szCs w:val="32"/>
        </w:rPr>
      </w:pPr>
    </w:p>
    <w:p>
      <w:pPr>
        <w:jc w:val="left"/>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业务合同一</w:t>
      </w:r>
    </w:p>
    <w:p>
      <w:pPr>
        <w:jc w:val="left"/>
        <w:rPr>
          <w:rFonts w:hint="eastAsia" w:ascii="Times New Roman" w:hAnsi="Times New Roman" w:eastAsia="宋体" w:cs="Times New Roman"/>
          <w:b w:val="0"/>
          <w:bCs w:val="0"/>
          <w:sz w:val="24"/>
          <w:szCs w:val="24"/>
          <w:lang w:val="en-US" w:eastAsia="zh-CN"/>
        </w:rPr>
      </w:pPr>
    </w:p>
    <w:p>
      <w:pPr>
        <w:jc w:val="left"/>
        <w:rPr>
          <w:rFonts w:hint="eastAsia" w:ascii="Times New Roman" w:hAnsi="Times New Roman" w:eastAsia="宋体" w:cs="Times New Roman"/>
          <w:b w:val="0"/>
          <w:bCs w:val="0"/>
          <w:sz w:val="24"/>
          <w:szCs w:val="24"/>
          <w:lang w:val="en-US" w:eastAsia="zh-CN"/>
        </w:rPr>
      </w:pPr>
    </w:p>
    <w:p>
      <w:pPr>
        <w:jc w:val="left"/>
        <w:rPr>
          <w:rFonts w:hint="eastAsia" w:ascii="Times New Roman" w:hAnsi="Times New Roman" w:eastAsia="宋体" w:cs="Times New Roman"/>
          <w:b w:val="0"/>
          <w:bCs w:val="0"/>
          <w:sz w:val="24"/>
          <w:szCs w:val="24"/>
          <w:lang w:val="en-US" w:eastAsia="zh-CN"/>
        </w:rPr>
      </w:pPr>
    </w:p>
    <w:p>
      <w:pPr>
        <w:jc w:val="left"/>
        <w:rPr>
          <w:rFonts w:hint="eastAsia" w:ascii="Times New Roman" w:hAnsi="Times New Roman" w:eastAsia="宋体" w:cs="Times New Roman"/>
          <w:b w:val="0"/>
          <w:bCs w:val="0"/>
          <w:sz w:val="24"/>
          <w:szCs w:val="24"/>
          <w:lang w:val="en-US" w:eastAsia="zh-CN"/>
        </w:rPr>
      </w:pPr>
    </w:p>
    <w:p>
      <w:pPr>
        <w:jc w:val="left"/>
        <w:rPr>
          <w:rFonts w:hint="eastAsia" w:ascii="Times New Roman" w:hAnsi="Times New Roman" w:eastAsia="宋体" w:cs="Times New Roman"/>
          <w:b w:val="0"/>
          <w:bCs w:val="0"/>
          <w:sz w:val="24"/>
          <w:szCs w:val="24"/>
          <w:lang w:val="en-US" w:eastAsia="zh-CN"/>
        </w:rPr>
      </w:pPr>
    </w:p>
    <w:p>
      <w:pPr>
        <w:jc w:val="left"/>
        <w:rPr>
          <w:rFonts w:hint="eastAsia" w:ascii="Times New Roman" w:hAnsi="Times New Roman" w:eastAsia="宋体" w:cs="Times New Roman"/>
          <w:b w:val="0"/>
          <w:bCs w:val="0"/>
          <w:sz w:val="24"/>
          <w:szCs w:val="24"/>
          <w:lang w:val="en-US" w:eastAsia="zh-CN"/>
        </w:rPr>
      </w:pPr>
    </w:p>
    <w:p>
      <w:pPr>
        <w:jc w:val="left"/>
        <w:rPr>
          <w:rFonts w:hint="eastAsia" w:ascii="Times New Roman" w:hAnsi="Times New Roman" w:eastAsia="宋体" w:cs="Times New Roman"/>
          <w:b w:val="0"/>
          <w:bCs w:val="0"/>
          <w:sz w:val="24"/>
          <w:szCs w:val="24"/>
          <w:lang w:val="en-US" w:eastAsia="zh-CN"/>
        </w:rPr>
      </w:pPr>
    </w:p>
    <w:p>
      <w:pPr>
        <w:jc w:val="left"/>
        <w:rPr>
          <w:rFonts w:hint="eastAsia" w:ascii="Times New Roman" w:hAnsi="Times New Roman" w:eastAsia="宋体" w:cs="Times New Roman"/>
          <w:b w:val="0"/>
          <w:bCs w:val="0"/>
          <w:sz w:val="24"/>
          <w:szCs w:val="24"/>
          <w:lang w:val="en-US" w:eastAsia="zh-CN"/>
        </w:rPr>
      </w:pPr>
    </w:p>
    <w:p>
      <w:pPr>
        <w:jc w:val="left"/>
        <w:rPr>
          <w:rFonts w:hint="eastAsia" w:ascii="Times New Roman" w:hAnsi="Times New Roman" w:eastAsia="宋体" w:cs="Times New Roman"/>
          <w:b w:val="0"/>
          <w:bCs w:val="0"/>
          <w:sz w:val="24"/>
          <w:szCs w:val="24"/>
          <w:lang w:val="en-US" w:eastAsia="zh-CN"/>
        </w:rPr>
      </w:pPr>
    </w:p>
    <w:p>
      <w:pPr>
        <w:jc w:val="left"/>
        <w:rPr>
          <w:rFonts w:hint="eastAsia" w:ascii="Times New Roman" w:hAnsi="Times New Roman" w:eastAsia="宋体" w:cs="Times New Roman"/>
          <w:b w:val="0"/>
          <w:bCs w:val="0"/>
          <w:sz w:val="24"/>
          <w:szCs w:val="24"/>
          <w:lang w:val="en-US" w:eastAsia="zh-CN"/>
        </w:rPr>
      </w:pPr>
    </w:p>
    <w:p>
      <w:pPr>
        <w:jc w:val="left"/>
        <w:rPr>
          <w:rFonts w:hint="eastAsia" w:ascii="Times New Roman" w:hAnsi="Times New Roman" w:eastAsia="宋体" w:cs="Times New Roman"/>
          <w:b w:val="0"/>
          <w:bCs w:val="0"/>
          <w:sz w:val="24"/>
          <w:szCs w:val="24"/>
          <w:lang w:val="en-US" w:eastAsia="zh-CN"/>
        </w:rPr>
      </w:pPr>
    </w:p>
    <w:p>
      <w:pPr>
        <w:jc w:val="left"/>
        <w:rPr>
          <w:rFonts w:hint="eastAsia" w:ascii="Times New Roman" w:hAnsi="Times New Roman" w:eastAsia="宋体" w:cs="Times New Roman"/>
          <w:b w:val="0"/>
          <w:bCs w:val="0"/>
          <w:sz w:val="24"/>
          <w:szCs w:val="24"/>
          <w:lang w:val="en-US" w:eastAsia="zh-CN"/>
        </w:rPr>
      </w:pPr>
    </w:p>
    <w:p>
      <w:pPr>
        <w:jc w:val="left"/>
        <w:rPr>
          <w:rFonts w:hint="eastAsia" w:ascii="Times New Roman" w:hAnsi="Times New Roman" w:eastAsia="宋体" w:cs="Times New Roman"/>
          <w:b w:val="0"/>
          <w:bCs w:val="0"/>
          <w:sz w:val="24"/>
          <w:szCs w:val="24"/>
          <w:lang w:val="en-US" w:eastAsia="zh-CN"/>
        </w:rPr>
      </w:pPr>
    </w:p>
    <w:p>
      <w:pPr>
        <w:pStyle w:val="3"/>
        <w:numPr>
          <w:ilvl w:val="1"/>
          <w:numId w:val="87"/>
        </w:numPr>
        <w:ind w:left="0" w:leftChars="0" w:firstLine="402" w:firstLineChars="0"/>
      </w:pPr>
      <w:bookmarkStart w:id="532" w:name="_Toc28797"/>
      <w:r>
        <w:rPr>
          <w:rFonts w:hint="eastAsia"/>
        </w:rPr>
        <w:t>资产负债表、损益表、现金流量表</w:t>
      </w:r>
      <w:bookmarkEnd w:id="532"/>
    </w:p>
    <w:p>
      <w:r>
        <w:drawing>
          <wp:inline distT="0" distB="0" distL="114300" distR="114300">
            <wp:extent cx="5098415" cy="5060315"/>
            <wp:effectExtent l="0" t="0" r="6985" b="1460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60"/>
                    <a:stretch>
                      <a:fillRect/>
                    </a:stretch>
                  </pic:blipFill>
                  <pic:spPr>
                    <a:xfrm>
                      <a:off x="0" y="0"/>
                      <a:ext cx="5098415" cy="5060315"/>
                    </a:xfrm>
                    <a:prstGeom prst="rect">
                      <a:avLst/>
                    </a:prstGeom>
                    <a:noFill/>
                    <a:ln w="9525">
                      <a:noFill/>
                    </a:ln>
                  </pic:spPr>
                </pic:pic>
              </a:graphicData>
            </a:graphic>
          </wp:inline>
        </w:drawing>
      </w:r>
    </w:p>
    <w:p>
      <w:r>
        <w:drawing>
          <wp:inline distT="0" distB="0" distL="114300" distR="114300">
            <wp:extent cx="5267325" cy="3218180"/>
            <wp:effectExtent l="0" t="0" r="5715" b="1270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61"/>
                    <a:stretch>
                      <a:fillRect/>
                    </a:stretch>
                  </pic:blipFill>
                  <pic:spPr>
                    <a:xfrm>
                      <a:off x="0" y="0"/>
                      <a:ext cx="5267325" cy="3218180"/>
                    </a:xfrm>
                    <a:prstGeom prst="rect">
                      <a:avLst/>
                    </a:prstGeom>
                    <a:noFill/>
                    <a:ln w="9525">
                      <a:noFill/>
                    </a:ln>
                  </pic:spPr>
                </pic:pic>
              </a:graphicData>
            </a:graphic>
          </wp:inline>
        </w:drawing>
      </w:r>
    </w:p>
    <w:p>
      <w:r>
        <w:drawing>
          <wp:inline distT="0" distB="0" distL="114300" distR="114300">
            <wp:extent cx="5266690" cy="3245485"/>
            <wp:effectExtent l="0" t="0" r="6350" b="63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62"/>
                    <a:stretch>
                      <a:fillRect/>
                    </a:stretch>
                  </pic:blipFill>
                  <pic:spPr>
                    <a:xfrm>
                      <a:off x="0" y="0"/>
                      <a:ext cx="5266690" cy="3245485"/>
                    </a:xfrm>
                    <a:prstGeom prst="rect">
                      <a:avLst/>
                    </a:prstGeom>
                    <a:noFill/>
                    <a:ln w="9525">
                      <a:noFill/>
                    </a:ln>
                  </pic:spPr>
                </pic:pic>
              </a:graphicData>
            </a:graphic>
          </wp:inline>
        </w:drawing>
      </w:r>
    </w:p>
    <w:p/>
    <w:p/>
    <w:p/>
    <w:p>
      <w:pPr>
        <w:pStyle w:val="2"/>
        <w:numPr>
          <w:ilvl w:val="0"/>
          <w:numId w:val="0"/>
        </w:numPr>
        <w:ind w:leftChars="0"/>
        <w:rPr>
          <w:rFonts w:hint="eastAsia"/>
          <w:lang w:val="en-US" w:eastAsia="zh-CN"/>
        </w:rPr>
      </w:pP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Courier">
    <w:altName w:val="Courier New"/>
    <w:panose1 w:val="02070409020205020404"/>
    <w:charset w:val="00"/>
    <w:family w:val="modern"/>
    <w:pitch w:val="default"/>
    <w:sig w:usb0="00000000" w:usb1="00000000" w:usb2="00000000" w:usb3="00000000" w:csb0="00000001" w:csb1="00000000"/>
  </w:font>
  <w:font w:name="微软雅黑">
    <w:panose1 w:val="020B0503020204020204"/>
    <w:charset w:val="86"/>
    <w:family w:val="swiss"/>
    <w:pitch w:val="default"/>
    <w:sig w:usb0="80000287" w:usb1="28CF3C50" w:usb2="00000016" w:usb3="00000000" w:csb0="0004001F" w:csb1="00000000"/>
  </w:font>
  <w:font w:name="PMingLiU">
    <w:altName w:val="PMingLiU-ExtB"/>
    <w:panose1 w:val="02020500000000000000"/>
    <w:charset w:val="88"/>
    <w:family w:val="auto"/>
    <w:pitch w:val="default"/>
    <w:sig w:usb0="00000000" w:usb1="00000000" w:usb2="00000016" w:usb3="00000000" w:csb0="00100001"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8" w:usb3="00000000" w:csb0="000001FF" w:csb1="00000000"/>
  </w:font>
  <w:font w:name="楷体_GB2312">
    <w:altName w:val="楷体"/>
    <w:panose1 w:val="02010609030101010101"/>
    <w:charset w:val="86"/>
    <w:family w:val="modern"/>
    <w:pitch w:val="default"/>
    <w:sig w:usb0="00000000" w:usb1="00000000" w:usb2="00000010" w:usb3="00000000" w:csb0="00040000" w:csb1="00000000"/>
  </w:font>
  <w:font w:name="长城仿宋">
    <w:altName w:val="宋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华文中宋">
    <w:panose1 w:val="02010600040101010101"/>
    <w:charset w:val="86"/>
    <w:family w:val="auto"/>
    <w:pitch w:val="default"/>
    <w:sig w:usb0="00000287" w:usb1="080F0000" w:usb2="00000000" w:usb3="00000000" w:csb0="0004009F" w:csb1="DFD70000"/>
  </w:font>
  <w:font w:name="Open Sans">
    <w:panose1 w:val="020B0606030504020204"/>
    <w:charset w:val="86"/>
    <w:family w:val="auto"/>
    <w:pitch w:val="default"/>
    <w:sig w:usb0="E00002EF" w:usb1="4000205B" w:usb2="00000028" w:usb3="00000000" w:csb0="2000019F" w:csb1="00000000"/>
  </w:font>
  <w:font w:name="Wingdings">
    <w:panose1 w:val="05000000000000000000"/>
    <w:charset w:val="00"/>
    <w:family w:val="auto"/>
    <w:pitch w:val="default"/>
    <w:sig w:usb0="00000000" w:usb1="00000000" w:usb2="00000000" w:usb3="00000000" w:csb0="80000000" w:csb1="00000000"/>
  </w:font>
  <w:font w:name="Calibri Light">
    <w:panose1 w:val="020F0302020204030204"/>
    <w:charset w:val="00"/>
    <w:family w:val="swiss"/>
    <w:pitch w:val="default"/>
    <w:sig w:usb0="E0002AFF" w:usb1="C000247B" w:usb2="00000009" w:usb3="00000000" w:csb0="200001FF" w:csb1="00000000"/>
  </w:font>
  <w:font w:name="FZHei-B01S">
    <w:altName w:val="方正舒体"/>
    <w:panose1 w:val="00000000000000000000"/>
    <w:charset w:val="86"/>
    <w:family w:val="auto"/>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2501330"/>
    </w:sdtPr>
    <w:sdtContent>
      <w:p>
        <w:pPr>
          <w:pStyle w:val="48"/>
          <w:pBdr>
            <w:top w:val="single" w:color="auto" w:sz="4" w:space="1"/>
          </w:pBdr>
          <w:tabs>
            <w:tab w:val="right" w:pos="8931"/>
            <w:tab w:val="clear" w:pos="8306"/>
          </w:tabs>
          <w:ind w:right="-98"/>
        </w:pPr>
        <w:r>
          <w:rPr>
            <w:rFonts w:hint="eastAsia"/>
          </w:rPr>
          <w:t xml:space="preserve">                                         第</w:t>
        </w:r>
        <w:r>
          <w:fldChar w:fldCharType="begin"/>
        </w:r>
        <w:r>
          <w:instrText xml:space="preserve">PAGE   \* MERGEFORMAT</w:instrText>
        </w:r>
        <w:r>
          <w:fldChar w:fldCharType="separate"/>
        </w:r>
        <w:r>
          <w:rPr>
            <w:lang w:val="zh-CN"/>
          </w:rPr>
          <w:t>199</w:t>
        </w:r>
        <w:r>
          <w:fldChar w:fldCharType="end"/>
        </w:r>
        <w:r>
          <w:rPr>
            <w:rFonts w:hint="eastAsia"/>
          </w:rPr>
          <w:t>页</w:t>
        </w:r>
      </w:p>
    </w:sdtContent>
  </w:sdt>
  <w:p>
    <w:pPr>
      <w:pStyle w:val="23"/>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98943518"/>
    </w:sdtPr>
    <w:sdtContent>
      <w:p>
        <w:pPr>
          <w:pStyle w:val="24"/>
          <w:pBdr>
            <w:bottom w:val="single" w:color="auto" w:sz="6" w:space="0"/>
          </w:pBdr>
          <w:jc w:val="both"/>
        </w:pPr>
        <w:r>
          <w:rPr>
            <w:rFonts w:hint="eastAsia"/>
          </w:rPr>
          <w:t xml:space="preserve">  </w:t>
        </w:r>
      </w:p>
    </w:sdtContent>
  </w:sdt>
  <w:p>
    <w:pPr>
      <w:pStyle w:val="23"/>
      <w:rPr>
        <w:rFonts w:asciiTheme="minorEastAsia" w:hAnsiTheme="minorEastAsia"/>
        <w:b/>
      </w:rPr>
    </w:pPr>
    <w:r>
      <w:rPr>
        <w:rFonts w:hint="eastAsia"/>
        <w:lang w:val="en-US" w:eastAsia="zh-CN"/>
      </w:rPr>
      <w:t>北京**</w:t>
    </w:r>
    <w:r>
      <w:rPr>
        <w:rFonts w:hint="eastAsia"/>
      </w:rPr>
      <w:t xml:space="preserve">信息软件技术有限公司      </w:t>
    </w:r>
    <w:r>
      <w:rPr>
        <w:rFonts w:hint="eastAsia" w:asciiTheme="minorEastAsia" w:hAnsiTheme="minorEastAsia"/>
        <w:b/>
      </w:rPr>
      <w:t xml:space="preserve">                                                  第</w:t>
    </w:r>
    <w:r>
      <w:rPr>
        <w:rFonts w:asciiTheme="minorEastAsia" w:hAnsiTheme="minorEastAsia"/>
        <w:b/>
      </w:rPr>
      <w:fldChar w:fldCharType="begin"/>
    </w:r>
    <w:r>
      <w:rPr>
        <w:rFonts w:asciiTheme="minorEastAsia" w:hAnsiTheme="minorEastAsia"/>
        <w:b/>
      </w:rPr>
      <w:instrText xml:space="preserve">PAGE   \* MERGEFORMAT</w:instrText>
    </w:r>
    <w:r>
      <w:rPr>
        <w:rFonts w:asciiTheme="minorEastAsia" w:hAnsiTheme="minorEastAsia"/>
        <w:b/>
      </w:rPr>
      <w:fldChar w:fldCharType="separate"/>
    </w:r>
    <w:r>
      <w:rPr>
        <w:rFonts w:asciiTheme="minorEastAsia" w:hAnsiTheme="minorEastAsia"/>
        <w:b/>
        <w:lang w:val="zh-CN"/>
      </w:rPr>
      <w:t>983</w:t>
    </w:r>
    <w:r>
      <w:rPr>
        <w:rFonts w:asciiTheme="minorEastAsia" w:hAnsiTheme="minorEastAsia"/>
        <w:b/>
      </w:rPr>
      <w:fldChar w:fldCharType="end"/>
    </w:r>
    <w:r>
      <w:rPr>
        <w:rFonts w:hint="eastAsia" w:asciiTheme="minorEastAsia" w:hAnsiTheme="minorEastAsia"/>
        <w:b/>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both"/>
    </w:pPr>
    <w:r>
      <w:rPr>
        <w:rFonts w:hint="eastAsia"/>
        <w:lang w:val="en-US" w:eastAsia="zh-CN"/>
      </w:rPr>
      <w:t xml:space="preserve">     </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left"/>
    </w:pPr>
    <w:r>
      <w:rPr>
        <w:rFonts w:hint="eastAsia"/>
        <w:lang w:val="en-US" w:eastAsia="zh-CN"/>
      </w:rPr>
      <w:t>xx</w:t>
    </w:r>
    <w:r>
      <w:rPr>
        <w:rFonts w:hint="eastAsia"/>
      </w:rPr>
      <w:t xml:space="preserve">增值税发票系统及电子发票系统开发项目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0000008"/>
    <w:multiLevelType w:val="multilevel"/>
    <w:tmpl w:val="0000000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C"/>
    <w:multiLevelType w:val="multilevel"/>
    <w:tmpl w:val="0000000C"/>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562"/>
        </w:tabs>
        <w:ind w:left="562"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E"/>
    <w:multiLevelType w:val="multilevel"/>
    <w:tmpl w:val="0000000E"/>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1"/>
    <w:multiLevelType w:val="multilevel"/>
    <w:tmpl w:val="0000001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14"/>
    <w:multiLevelType w:val="multilevel"/>
    <w:tmpl w:val="00000014"/>
    <w:lvl w:ilvl="0" w:tentative="0">
      <w:start w:val="1"/>
      <w:numFmt w:val="decimal"/>
      <w:lvlText w:val="%1."/>
      <w:lvlJc w:val="left"/>
      <w:pPr>
        <w:ind w:left="60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24"/>
    <w:multiLevelType w:val="multilevel"/>
    <w:tmpl w:val="0000002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32232B"/>
    <w:multiLevelType w:val="multilevel"/>
    <w:tmpl w:val="0032232B"/>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8">
    <w:nsid w:val="00710D1C"/>
    <w:multiLevelType w:val="multilevel"/>
    <w:tmpl w:val="00710D1C"/>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9">
    <w:nsid w:val="00DE01D2"/>
    <w:multiLevelType w:val="multilevel"/>
    <w:tmpl w:val="00DE01D2"/>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0">
    <w:nsid w:val="0187435D"/>
    <w:multiLevelType w:val="multilevel"/>
    <w:tmpl w:val="0187435D"/>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1">
    <w:nsid w:val="01931F77"/>
    <w:multiLevelType w:val="multilevel"/>
    <w:tmpl w:val="01931F77"/>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2">
    <w:nsid w:val="050D00E6"/>
    <w:multiLevelType w:val="multilevel"/>
    <w:tmpl w:val="050D00E6"/>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3">
    <w:nsid w:val="08E74906"/>
    <w:multiLevelType w:val="multilevel"/>
    <w:tmpl w:val="08E74906"/>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4">
    <w:nsid w:val="09361A2E"/>
    <w:multiLevelType w:val="multilevel"/>
    <w:tmpl w:val="09361A2E"/>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5">
    <w:nsid w:val="09553ADA"/>
    <w:multiLevelType w:val="multilevel"/>
    <w:tmpl w:val="09553ADA"/>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6">
    <w:nsid w:val="09844BD2"/>
    <w:multiLevelType w:val="multilevel"/>
    <w:tmpl w:val="09844BD2"/>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7">
    <w:nsid w:val="0B707798"/>
    <w:multiLevelType w:val="multilevel"/>
    <w:tmpl w:val="0B707798"/>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8">
    <w:nsid w:val="0CA37947"/>
    <w:multiLevelType w:val="multilevel"/>
    <w:tmpl w:val="0CA37947"/>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9">
    <w:nsid w:val="0CF672D8"/>
    <w:multiLevelType w:val="multilevel"/>
    <w:tmpl w:val="0CF672D8"/>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0">
    <w:nsid w:val="0D8A271E"/>
    <w:multiLevelType w:val="multilevel"/>
    <w:tmpl w:val="0D8A271E"/>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1">
    <w:nsid w:val="10C93036"/>
    <w:multiLevelType w:val="multilevel"/>
    <w:tmpl w:val="10C93036"/>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2">
    <w:nsid w:val="13025C8C"/>
    <w:multiLevelType w:val="multilevel"/>
    <w:tmpl w:val="13025C8C"/>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3">
    <w:nsid w:val="16FD23D4"/>
    <w:multiLevelType w:val="multilevel"/>
    <w:tmpl w:val="16FD23D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4">
    <w:nsid w:val="1BA5341D"/>
    <w:multiLevelType w:val="multilevel"/>
    <w:tmpl w:val="1BA5341D"/>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5">
    <w:nsid w:val="1BE556D8"/>
    <w:multiLevelType w:val="multilevel"/>
    <w:tmpl w:val="1BE556D8"/>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6">
    <w:nsid w:val="1D1E4807"/>
    <w:multiLevelType w:val="multilevel"/>
    <w:tmpl w:val="1D1E4807"/>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7">
    <w:nsid w:val="1EB076B4"/>
    <w:multiLevelType w:val="multilevel"/>
    <w:tmpl w:val="1EB076B4"/>
    <w:lvl w:ilvl="0" w:tentative="0">
      <w:start w:val="1"/>
      <w:numFmt w:val="bullet"/>
      <w:lvlText w:val=""/>
      <w:lvlJc w:val="left"/>
      <w:pPr>
        <w:tabs>
          <w:tab w:val="left" w:pos="2380"/>
        </w:tabs>
        <w:ind w:left="2380" w:hanging="420"/>
      </w:pPr>
      <w:rPr>
        <w:rFonts w:hint="default" w:ascii="Wingdings" w:hAnsi="Wingdings"/>
        <w:sz w:val="18"/>
        <w:szCs w:val="18"/>
      </w:rPr>
    </w:lvl>
    <w:lvl w:ilvl="1" w:tentative="0">
      <w:start w:val="1"/>
      <w:numFmt w:val="bullet"/>
      <w:lvlText w:val=""/>
      <w:lvlJc w:val="left"/>
      <w:pPr>
        <w:tabs>
          <w:tab w:val="left" w:pos="1480"/>
        </w:tabs>
        <w:ind w:left="1480" w:hanging="420"/>
      </w:pPr>
      <w:rPr>
        <w:rFonts w:hint="default" w:ascii="Wingdings" w:hAnsi="Wingdings"/>
        <w:sz w:val="18"/>
        <w:szCs w:val="18"/>
      </w:rPr>
    </w:lvl>
    <w:lvl w:ilvl="2" w:tentative="0">
      <w:start w:val="1"/>
      <w:numFmt w:val="bullet"/>
      <w:lvlText w:val=""/>
      <w:lvlJc w:val="left"/>
      <w:pPr>
        <w:tabs>
          <w:tab w:val="left" w:pos="1260"/>
        </w:tabs>
        <w:ind w:left="1260" w:hanging="420"/>
      </w:pPr>
      <w:rPr>
        <w:rFonts w:hint="default" w:ascii="Wingdings" w:hAnsi="Wingdings"/>
        <w:sz w:val="18"/>
        <w:szCs w:val="18"/>
      </w:rPr>
    </w:lvl>
    <w:lvl w:ilvl="3" w:tentative="0">
      <w:start w:val="1"/>
      <w:numFmt w:val="bullet"/>
      <w:lvlText w:val=""/>
      <w:lvlJc w:val="left"/>
      <w:pPr>
        <w:tabs>
          <w:tab w:val="left" w:pos="2320"/>
        </w:tabs>
        <w:ind w:left="2320" w:hanging="420"/>
      </w:pPr>
      <w:rPr>
        <w:rFonts w:hint="default" w:ascii="Wingdings" w:hAnsi="Wingdings"/>
      </w:rPr>
    </w:lvl>
    <w:lvl w:ilvl="4" w:tentative="0">
      <w:start w:val="1"/>
      <w:numFmt w:val="bullet"/>
      <w:lvlText w:val=""/>
      <w:lvlJc w:val="left"/>
      <w:pPr>
        <w:tabs>
          <w:tab w:val="left" w:pos="2740"/>
        </w:tabs>
        <w:ind w:left="2740" w:hanging="420"/>
      </w:pPr>
      <w:rPr>
        <w:rFonts w:hint="default" w:ascii="Wingdings" w:hAnsi="Wingdings"/>
      </w:rPr>
    </w:lvl>
    <w:lvl w:ilvl="5" w:tentative="0">
      <w:start w:val="1"/>
      <w:numFmt w:val="bullet"/>
      <w:lvlText w:val=""/>
      <w:lvlJc w:val="left"/>
      <w:pPr>
        <w:tabs>
          <w:tab w:val="left" w:pos="3160"/>
        </w:tabs>
        <w:ind w:left="3160" w:hanging="420"/>
      </w:pPr>
      <w:rPr>
        <w:rFonts w:hint="default" w:ascii="Wingdings" w:hAnsi="Wingdings"/>
      </w:rPr>
    </w:lvl>
    <w:lvl w:ilvl="6" w:tentative="0">
      <w:start w:val="1"/>
      <w:numFmt w:val="bullet"/>
      <w:lvlText w:val=""/>
      <w:lvlJc w:val="left"/>
      <w:pPr>
        <w:tabs>
          <w:tab w:val="left" w:pos="3580"/>
        </w:tabs>
        <w:ind w:left="3580" w:hanging="420"/>
      </w:pPr>
      <w:rPr>
        <w:rFonts w:hint="default" w:ascii="Wingdings" w:hAnsi="Wingdings"/>
      </w:rPr>
    </w:lvl>
    <w:lvl w:ilvl="7" w:tentative="0">
      <w:start w:val="1"/>
      <w:numFmt w:val="bullet"/>
      <w:lvlText w:val=""/>
      <w:lvlJc w:val="left"/>
      <w:pPr>
        <w:tabs>
          <w:tab w:val="left" w:pos="4000"/>
        </w:tabs>
        <w:ind w:left="4000" w:hanging="420"/>
      </w:pPr>
      <w:rPr>
        <w:rFonts w:hint="default" w:ascii="Wingdings" w:hAnsi="Wingdings"/>
      </w:rPr>
    </w:lvl>
    <w:lvl w:ilvl="8" w:tentative="0">
      <w:start w:val="1"/>
      <w:numFmt w:val="bullet"/>
      <w:lvlText w:val=""/>
      <w:lvlJc w:val="left"/>
      <w:pPr>
        <w:tabs>
          <w:tab w:val="left" w:pos="4420"/>
        </w:tabs>
        <w:ind w:left="4420" w:hanging="420"/>
      </w:pPr>
      <w:rPr>
        <w:rFonts w:hint="default" w:ascii="Wingdings" w:hAnsi="Wingdings"/>
      </w:rPr>
    </w:lvl>
  </w:abstractNum>
  <w:abstractNum w:abstractNumId="28">
    <w:nsid w:val="20BF6680"/>
    <w:multiLevelType w:val="multilevel"/>
    <w:tmpl w:val="20BF6680"/>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562"/>
        </w:tabs>
        <w:ind w:left="562"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20C31DFC"/>
    <w:multiLevelType w:val="multilevel"/>
    <w:tmpl w:val="20C31DFC"/>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30">
    <w:nsid w:val="21BD0D0A"/>
    <w:multiLevelType w:val="multilevel"/>
    <w:tmpl w:val="21BD0D0A"/>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31">
    <w:nsid w:val="2509129D"/>
    <w:multiLevelType w:val="multilevel"/>
    <w:tmpl w:val="2509129D"/>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32">
    <w:nsid w:val="28672CD1"/>
    <w:multiLevelType w:val="multilevel"/>
    <w:tmpl w:val="28672CD1"/>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33">
    <w:nsid w:val="29AF51D1"/>
    <w:multiLevelType w:val="multilevel"/>
    <w:tmpl w:val="29AF51D1"/>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34">
    <w:nsid w:val="2B9D513A"/>
    <w:multiLevelType w:val="multilevel"/>
    <w:tmpl w:val="2B9D513A"/>
    <w:lvl w:ilvl="0" w:tentative="0">
      <w:start w:val="1"/>
      <w:numFmt w:val="bullet"/>
      <w:lvlText w:val=""/>
      <w:lvlJc w:val="left"/>
      <w:pPr>
        <w:ind w:left="845" w:hanging="420"/>
      </w:pPr>
      <w:rPr>
        <w:rFonts w:hint="default" w:ascii="Wingdings" w:hAnsi="Wingdings"/>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35">
    <w:nsid w:val="2C8655FB"/>
    <w:multiLevelType w:val="multilevel"/>
    <w:tmpl w:val="2C8655FB"/>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36">
    <w:nsid w:val="2E4A0DDC"/>
    <w:multiLevelType w:val="multilevel"/>
    <w:tmpl w:val="2E4A0DDC"/>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37">
    <w:nsid w:val="30CD5FB8"/>
    <w:multiLevelType w:val="multilevel"/>
    <w:tmpl w:val="30CD5FB8"/>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38">
    <w:nsid w:val="316C3E29"/>
    <w:multiLevelType w:val="multilevel"/>
    <w:tmpl w:val="316C3E29"/>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39">
    <w:nsid w:val="3F0F6921"/>
    <w:multiLevelType w:val="multilevel"/>
    <w:tmpl w:val="3F0F6921"/>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0">
    <w:nsid w:val="3F1C5E11"/>
    <w:multiLevelType w:val="multilevel"/>
    <w:tmpl w:val="3F1C5E11"/>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41">
    <w:nsid w:val="42C67A5E"/>
    <w:multiLevelType w:val="multilevel"/>
    <w:tmpl w:val="42C67A5E"/>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42">
    <w:nsid w:val="43E56C93"/>
    <w:multiLevelType w:val="multilevel"/>
    <w:tmpl w:val="43E56C93"/>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43">
    <w:nsid w:val="46993055"/>
    <w:multiLevelType w:val="multilevel"/>
    <w:tmpl w:val="46993055"/>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44">
    <w:nsid w:val="4A380B35"/>
    <w:multiLevelType w:val="multilevel"/>
    <w:tmpl w:val="4A380B35"/>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45">
    <w:nsid w:val="4B973372"/>
    <w:multiLevelType w:val="multilevel"/>
    <w:tmpl w:val="4B973372"/>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46">
    <w:nsid w:val="4D323158"/>
    <w:multiLevelType w:val="multilevel"/>
    <w:tmpl w:val="4D32315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7">
    <w:nsid w:val="4E4853C5"/>
    <w:multiLevelType w:val="multilevel"/>
    <w:tmpl w:val="4E4853C5"/>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48">
    <w:nsid w:val="4EAB45DD"/>
    <w:multiLevelType w:val="multilevel"/>
    <w:tmpl w:val="4EAB45DD"/>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49">
    <w:nsid w:val="50BF04E6"/>
    <w:multiLevelType w:val="multilevel"/>
    <w:tmpl w:val="50BF04E6"/>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50">
    <w:nsid w:val="55F669C8"/>
    <w:multiLevelType w:val="multilevel"/>
    <w:tmpl w:val="55F669C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55F66A8B"/>
    <w:multiLevelType w:val="multilevel"/>
    <w:tmpl w:val="55F66A8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
    <w:nsid w:val="55F66AF4"/>
    <w:multiLevelType w:val="multilevel"/>
    <w:tmpl w:val="55F66AF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
    <w:nsid w:val="55F6C08B"/>
    <w:multiLevelType w:val="multilevel"/>
    <w:tmpl w:val="55F6C08B"/>
    <w:lvl w:ilvl="0" w:tentative="0">
      <w:start w:val="1"/>
      <w:numFmt w:val="decimal"/>
      <w:lvlText w:val="%1."/>
      <w:lvlJc w:val="left"/>
      <w:pPr>
        <w:ind w:left="60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55F6C0C5"/>
    <w:multiLevelType w:val="multilevel"/>
    <w:tmpl w:val="55F6C0C5"/>
    <w:lvl w:ilvl="0" w:tentative="0">
      <w:start w:val="1"/>
      <w:numFmt w:val="decimal"/>
      <w:lvlText w:val="%1."/>
      <w:lvlJc w:val="left"/>
      <w:pPr>
        <w:ind w:left="60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568911CD"/>
    <w:multiLevelType w:val="multilevel"/>
    <w:tmpl w:val="568911CD"/>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56">
    <w:nsid w:val="56AC5071"/>
    <w:multiLevelType w:val="multilevel"/>
    <w:tmpl w:val="56AC5071"/>
    <w:lvl w:ilvl="0" w:tentative="0">
      <w:start w:val="1"/>
      <w:numFmt w:val="decimal"/>
      <w:suff w:val="nothing"/>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56AC630E"/>
    <w:multiLevelType w:val="multilevel"/>
    <w:tmpl w:val="56AC630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56CBADAA"/>
    <w:multiLevelType w:val="multilevel"/>
    <w:tmpl w:val="56CBADAA"/>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59">
    <w:nsid w:val="57C61B4F"/>
    <w:multiLevelType w:val="multilevel"/>
    <w:tmpl w:val="57C61B4F"/>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60">
    <w:nsid w:val="58109D92"/>
    <w:multiLevelType w:val="multilevel"/>
    <w:tmpl w:val="58109D92"/>
    <w:lvl w:ilvl="0" w:tentative="0">
      <w:start w:val="1"/>
      <w:numFmt w:val="decimal"/>
      <w:pStyle w:val="2"/>
      <w:lvlText w:val="%1."/>
      <w:lvlJc w:val="left"/>
      <w:pPr>
        <w:ind w:left="432" w:leftChars="0" w:hanging="432" w:firstLineChars="0"/>
      </w:pPr>
      <w:rPr>
        <w:rFonts w:hint="default"/>
      </w:rPr>
    </w:lvl>
    <w:lvl w:ilvl="1" w:tentative="0">
      <w:start w:val="1"/>
      <w:numFmt w:val="decimal"/>
      <w:pStyle w:val="3"/>
      <w:lvlText w:val="%1.%2."/>
      <w:lvlJc w:val="left"/>
      <w:pPr>
        <w:ind w:left="575" w:leftChars="0" w:hanging="575" w:firstLineChars="0"/>
      </w:pPr>
      <w:rPr>
        <w:rFonts w:hint="default"/>
      </w:rPr>
    </w:lvl>
    <w:lvl w:ilvl="2" w:tentative="0">
      <w:start w:val="1"/>
      <w:numFmt w:val="decimal"/>
      <w:pStyle w:val="4"/>
      <w:lvlText w:val="%1.%2.%3."/>
      <w:lvlJc w:val="left"/>
      <w:pPr>
        <w:ind w:left="720" w:leftChars="0" w:hanging="720" w:firstLineChars="0"/>
      </w:pPr>
      <w:rPr>
        <w:rFonts w:hint="default"/>
      </w:rPr>
    </w:lvl>
    <w:lvl w:ilvl="3" w:tentative="0">
      <w:start w:val="1"/>
      <w:numFmt w:val="decimal"/>
      <w:pStyle w:val="5"/>
      <w:lvlText w:val="%1.%2.%3.%4."/>
      <w:lvlJc w:val="left"/>
      <w:pPr>
        <w:ind w:left="864" w:leftChars="0" w:hanging="864" w:firstLineChars="0"/>
      </w:pPr>
      <w:rPr>
        <w:rFonts w:hint="default"/>
      </w:rPr>
    </w:lvl>
    <w:lvl w:ilvl="4" w:tentative="0">
      <w:start w:val="1"/>
      <w:numFmt w:val="decimal"/>
      <w:pStyle w:val="6"/>
      <w:lvlText w:val="%1.%2.%3.%4.%5."/>
      <w:lvlJc w:val="left"/>
      <w:pPr>
        <w:ind w:left="1008" w:leftChars="0" w:hanging="1008" w:firstLineChars="0"/>
      </w:pPr>
      <w:rPr>
        <w:rFonts w:hint="default"/>
      </w:rPr>
    </w:lvl>
    <w:lvl w:ilvl="5" w:tentative="0">
      <w:start w:val="1"/>
      <w:numFmt w:val="decimal"/>
      <w:pStyle w:val="7"/>
      <w:lvlText w:val="%1.%2.%3.%4.%5.%6."/>
      <w:lvlJc w:val="left"/>
      <w:pPr>
        <w:ind w:left="1151" w:leftChars="0" w:hanging="1151" w:firstLineChars="0"/>
      </w:pPr>
      <w:rPr>
        <w:rFonts w:hint="default"/>
      </w:rPr>
    </w:lvl>
    <w:lvl w:ilvl="6" w:tentative="0">
      <w:start w:val="1"/>
      <w:numFmt w:val="decimal"/>
      <w:pStyle w:val="8"/>
      <w:lvlText w:val="%1.%2.%3.%4.%5.%6.%7."/>
      <w:lvlJc w:val="left"/>
      <w:pPr>
        <w:ind w:left="1296" w:leftChars="0" w:hanging="1296" w:firstLineChars="0"/>
      </w:pPr>
      <w:rPr>
        <w:rFonts w:hint="default"/>
      </w:rPr>
    </w:lvl>
    <w:lvl w:ilvl="7" w:tentative="0">
      <w:start w:val="1"/>
      <w:numFmt w:val="decimal"/>
      <w:pStyle w:val="9"/>
      <w:lvlText w:val="%1.%2.%3.%4.%5.%6.%7.%8."/>
      <w:lvlJc w:val="left"/>
      <w:pPr>
        <w:ind w:left="1440" w:leftChars="0" w:hanging="1440" w:firstLineChars="0"/>
      </w:pPr>
      <w:rPr>
        <w:rFonts w:hint="default"/>
      </w:rPr>
    </w:lvl>
    <w:lvl w:ilvl="8" w:tentative="0">
      <w:start w:val="1"/>
      <w:numFmt w:val="decimal"/>
      <w:pStyle w:val="10"/>
      <w:lvlText w:val="%1.%2.%3.%4.%5.%6.%7.%8.%9."/>
      <w:lvlJc w:val="left"/>
      <w:pPr>
        <w:ind w:left="1583" w:leftChars="0" w:hanging="1583" w:firstLineChars="0"/>
      </w:pPr>
      <w:rPr>
        <w:rFonts w:hint="default"/>
      </w:rPr>
    </w:lvl>
  </w:abstractNum>
  <w:abstractNum w:abstractNumId="61">
    <w:nsid w:val="58109DE2"/>
    <w:multiLevelType w:val="multilevel"/>
    <w:tmpl w:val="58109DE2"/>
    <w:lvl w:ilvl="0" w:tentative="0">
      <w:start w:val="1"/>
      <w:numFmt w:val="chineseCounting"/>
      <w:suff w:val="nothing"/>
      <w:lvlText w:val="第%1章"/>
      <w:lvlJc w:val="left"/>
      <w:pPr>
        <w:ind w:left="0" w:leftChars="0" w:firstLine="402" w:firstLineChars="0"/>
      </w:pPr>
      <w:rPr>
        <w:rFonts w:hint="eastAsia"/>
      </w:rPr>
    </w:lvl>
    <w:lvl w:ilvl="1" w:tentative="0">
      <w:start w:val="1"/>
      <w:numFmt w:val="chineseCounting"/>
      <w:suff w:val="nothing"/>
      <w:lvlText w:val="%2、"/>
      <w:lvlJc w:val="left"/>
      <w:pPr>
        <w:ind w:left="0" w:leftChars="0" w:firstLine="402" w:firstLineChars="0"/>
      </w:pPr>
      <w:rPr>
        <w:rFonts w:hint="eastAsia"/>
      </w:rPr>
    </w:lvl>
    <w:lvl w:ilvl="2" w:tentative="0">
      <w:start w:val="1"/>
      <w:numFmt w:val="decimal"/>
      <w:suff w:val="nothing"/>
      <w:lvlText w:val="%3．"/>
      <w:lvlJc w:val="left"/>
      <w:pPr>
        <w:ind w:left="0" w:leftChars="0" w:firstLine="402" w:firstLineChars="0"/>
      </w:pPr>
      <w:rPr>
        <w:rFonts w:hint="eastAsia"/>
      </w:rPr>
    </w:lvl>
    <w:lvl w:ilvl="3" w:tentative="0">
      <w:start w:val="1"/>
      <w:numFmt w:val="decimal"/>
      <w:suff w:val="nothing"/>
      <w:lvlText w:val="（%4）"/>
      <w:lvlJc w:val="left"/>
      <w:pPr>
        <w:ind w:left="0" w:leftChars="0" w:firstLine="402" w:firstLineChars="0"/>
      </w:pPr>
      <w:rPr>
        <w:rFonts w:hint="eastAsia"/>
      </w:rPr>
    </w:lvl>
    <w:lvl w:ilvl="4" w:tentative="0">
      <w:start w:val="1"/>
      <w:numFmt w:val="decimalEnclosedCircleChinese"/>
      <w:suff w:val="nothing"/>
      <w:lvlText w:val="%5 "/>
      <w:lvlJc w:val="left"/>
      <w:pPr>
        <w:ind w:left="0" w:leftChars="0" w:firstLine="402" w:firstLineChars="0"/>
      </w:pPr>
      <w:rPr>
        <w:rFonts w:hint="eastAsia"/>
      </w:rPr>
    </w:lvl>
    <w:lvl w:ilvl="5" w:tentative="0">
      <w:start w:val="1"/>
      <w:numFmt w:val="decimal"/>
      <w:suff w:val="nothing"/>
      <w:lvlText w:val="%6）"/>
      <w:lvlJc w:val="left"/>
      <w:pPr>
        <w:ind w:left="0" w:leftChars="0" w:firstLine="402" w:firstLineChars="0"/>
      </w:pPr>
      <w:rPr>
        <w:rFonts w:hint="eastAsia"/>
      </w:rPr>
    </w:lvl>
    <w:lvl w:ilvl="6" w:tentative="0">
      <w:start w:val="1"/>
      <w:numFmt w:val="lowerLetter"/>
      <w:suff w:val="nothing"/>
      <w:lvlText w:val="%7．"/>
      <w:lvlJc w:val="left"/>
      <w:pPr>
        <w:ind w:left="0" w:leftChars="0" w:firstLine="402" w:firstLineChars="0"/>
      </w:pPr>
      <w:rPr>
        <w:rFonts w:hint="eastAsia"/>
      </w:rPr>
    </w:lvl>
    <w:lvl w:ilvl="7" w:tentative="0">
      <w:start w:val="1"/>
      <w:numFmt w:val="lowerLetter"/>
      <w:suff w:val="nothing"/>
      <w:lvlText w:val="%8）"/>
      <w:lvlJc w:val="left"/>
      <w:pPr>
        <w:ind w:left="0" w:leftChars="0" w:firstLine="402" w:firstLineChars="0"/>
      </w:pPr>
      <w:rPr>
        <w:rFonts w:hint="eastAsia"/>
      </w:rPr>
    </w:lvl>
    <w:lvl w:ilvl="8" w:tentative="0">
      <w:start w:val="1"/>
      <w:numFmt w:val="lowerRoman"/>
      <w:suff w:val="nothing"/>
      <w:lvlText w:val="%9. "/>
      <w:lvlJc w:val="left"/>
      <w:pPr>
        <w:ind w:left="0" w:leftChars="0" w:firstLine="402" w:firstLineChars="0"/>
      </w:pPr>
      <w:rPr>
        <w:rFonts w:hint="eastAsia"/>
      </w:rPr>
    </w:lvl>
  </w:abstractNum>
  <w:abstractNum w:abstractNumId="62">
    <w:nsid w:val="58109E03"/>
    <w:multiLevelType w:val="multilevel"/>
    <w:tmpl w:val="58109E03"/>
    <w:lvl w:ilvl="0" w:tentative="0">
      <w:start w:val="1"/>
      <w:numFmt w:val="chineseCounting"/>
      <w:suff w:val="nothing"/>
      <w:lvlText w:val="第%1章"/>
      <w:lvlJc w:val="left"/>
      <w:pPr>
        <w:ind w:left="0" w:leftChars="0" w:firstLine="402" w:firstLineChars="0"/>
      </w:pPr>
      <w:rPr>
        <w:rFonts w:hint="eastAsia"/>
      </w:rPr>
    </w:lvl>
    <w:lvl w:ilvl="1" w:tentative="0">
      <w:start w:val="1"/>
      <w:numFmt w:val="chineseCounting"/>
      <w:suff w:val="nothing"/>
      <w:lvlText w:val="%2、"/>
      <w:lvlJc w:val="left"/>
      <w:pPr>
        <w:ind w:left="0" w:leftChars="0" w:firstLine="402" w:firstLineChars="0"/>
      </w:pPr>
      <w:rPr>
        <w:rFonts w:hint="eastAsia"/>
      </w:rPr>
    </w:lvl>
    <w:lvl w:ilvl="2" w:tentative="0">
      <w:start w:val="1"/>
      <w:numFmt w:val="decimal"/>
      <w:suff w:val="nothing"/>
      <w:lvlText w:val="%3．"/>
      <w:lvlJc w:val="left"/>
      <w:pPr>
        <w:ind w:left="0" w:leftChars="0" w:firstLine="402" w:firstLineChars="0"/>
      </w:pPr>
      <w:rPr>
        <w:rFonts w:hint="eastAsia"/>
      </w:rPr>
    </w:lvl>
    <w:lvl w:ilvl="3" w:tentative="0">
      <w:start w:val="1"/>
      <w:numFmt w:val="decimal"/>
      <w:suff w:val="nothing"/>
      <w:lvlText w:val="（%4）"/>
      <w:lvlJc w:val="left"/>
      <w:pPr>
        <w:ind w:left="0" w:leftChars="0" w:firstLine="402" w:firstLineChars="0"/>
      </w:pPr>
      <w:rPr>
        <w:rFonts w:hint="eastAsia"/>
      </w:rPr>
    </w:lvl>
    <w:lvl w:ilvl="4" w:tentative="0">
      <w:start w:val="1"/>
      <w:numFmt w:val="decimalEnclosedCircleChinese"/>
      <w:suff w:val="nothing"/>
      <w:lvlText w:val="%5 "/>
      <w:lvlJc w:val="left"/>
      <w:pPr>
        <w:ind w:left="0" w:leftChars="0" w:firstLine="402" w:firstLineChars="0"/>
      </w:pPr>
      <w:rPr>
        <w:rFonts w:hint="eastAsia"/>
      </w:rPr>
    </w:lvl>
    <w:lvl w:ilvl="5" w:tentative="0">
      <w:start w:val="1"/>
      <w:numFmt w:val="decimal"/>
      <w:suff w:val="nothing"/>
      <w:lvlText w:val="%6）"/>
      <w:lvlJc w:val="left"/>
      <w:pPr>
        <w:ind w:left="0" w:leftChars="0" w:firstLine="402" w:firstLineChars="0"/>
      </w:pPr>
      <w:rPr>
        <w:rFonts w:hint="eastAsia"/>
      </w:rPr>
    </w:lvl>
    <w:lvl w:ilvl="6" w:tentative="0">
      <w:start w:val="1"/>
      <w:numFmt w:val="lowerLetter"/>
      <w:suff w:val="nothing"/>
      <w:lvlText w:val="%7．"/>
      <w:lvlJc w:val="left"/>
      <w:pPr>
        <w:ind w:left="0" w:leftChars="0" w:firstLine="402" w:firstLineChars="0"/>
      </w:pPr>
      <w:rPr>
        <w:rFonts w:hint="eastAsia"/>
      </w:rPr>
    </w:lvl>
    <w:lvl w:ilvl="7" w:tentative="0">
      <w:start w:val="1"/>
      <w:numFmt w:val="lowerLetter"/>
      <w:suff w:val="nothing"/>
      <w:lvlText w:val="%8）"/>
      <w:lvlJc w:val="left"/>
      <w:pPr>
        <w:ind w:left="0" w:leftChars="0" w:firstLine="402" w:firstLineChars="0"/>
      </w:pPr>
      <w:rPr>
        <w:rFonts w:hint="eastAsia"/>
      </w:rPr>
    </w:lvl>
    <w:lvl w:ilvl="8" w:tentative="0">
      <w:start w:val="1"/>
      <w:numFmt w:val="lowerRoman"/>
      <w:suff w:val="nothing"/>
      <w:lvlText w:val="%9. "/>
      <w:lvlJc w:val="left"/>
      <w:pPr>
        <w:ind w:left="0" w:leftChars="0" w:firstLine="402" w:firstLineChars="0"/>
      </w:pPr>
      <w:rPr>
        <w:rFonts w:hint="eastAsia"/>
      </w:rPr>
    </w:lvl>
  </w:abstractNum>
  <w:abstractNum w:abstractNumId="63">
    <w:nsid w:val="58116E89"/>
    <w:multiLevelType w:val="multilevel"/>
    <w:tmpl w:val="58116E89"/>
    <w:lvl w:ilvl="0" w:tentative="0">
      <w:start w:val="1"/>
      <w:numFmt w:val="chineseCounting"/>
      <w:suff w:val="nothing"/>
      <w:lvlText w:val="第%1章"/>
      <w:lvlJc w:val="left"/>
      <w:pPr>
        <w:ind w:left="0" w:leftChars="0" w:firstLine="402" w:firstLineChars="0"/>
      </w:pPr>
      <w:rPr>
        <w:rFonts w:hint="eastAsia"/>
      </w:rPr>
    </w:lvl>
    <w:lvl w:ilvl="1" w:tentative="0">
      <w:start w:val="1"/>
      <w:numFmt w:val="chineseCounting"/>
      <w:suff w:val="nothing"/>
      <w:lvlText w:val="%2、"/>
      <w:lvlJc w:val="left"/>
      <w:pPr>
        <w:ind w:left="0" w:leftChars="0" w:firstLine="402" w:firstLineChars="0"/>
      </w:pPr>
      <w:rPr>
        <w:rFonts w:hint="eastAsia"/>
      </w:rPr>
    </w:lvl>
    <w:lvl w:ilvl="2" w:tentative="0">
      <w:start w:val="1"/>
      <w:numFmt w:val="decimal"/>
      <w:suff w:val="nothing"/>
      <w:lvlText w:val="%3．"/>
      <w:lvlJc w:val="left"/>
      <w:pPr>
        <w:ind w:left="0" w:leftChars="0" w:firstLine="402" w:firstLineChars="0"/>
      </w:pPr>
      <w:rPr>
        <w:rFonts w:hint="eastAsia"/>
      </w:rPr>
    </w:lvl>
    <w:lvl w:ilvl="3" w:tentative="0">
      <w:start w:val="1"/>
      <w:numFmt w:val="upperRoman"/>
      <w:suff w:val="nothing"/>
      <w:lvlText w:val="%4"/>
      <w:lvlJc w:val="left"/>
      <w:pPr>
        <w:tabs>
          <w:tab w:val="left" w:pos="0"/>
        </w:tabs>
        <w:ind w:left="0" w:leftChars="0" w:firstLine="402" w:firstLineChars="0"/>
      </w:pPr>
      <w:rPr>
        <w:rFonts w:hint="eastAsia" w:ascii="宋体" w:hAnsi="宋体" w:eastAsia="宋体" w:cs="宋体"/>
      </w:rPr>
    </w:lvl>
    <w:lvl w:ilvl="4" w:tentative="0">
      <w:start w:val="1"/>
      <w:numFmt w:val="decimalEnclosedCircleChinese"/>
      <w:suff w:val="nothing"/>
      <w:lvlText w:val="%5 "/>
      <w:lvlJc w:val="left"/>
      <w:pPr>
        <w:ind w:left="0" w:leftChars="0" w:firstLine="402" w:firstLineChars="0"/>
      </w:pPr>
      <w:rPr>
        <w:rFonts w:hint="eastAsia"/>
      </w:rPr>
    </w:lvl>
    <w:lvl w:ilvl="5" w:tentative="0">
      <w:start w:val="1"/>
      <w:numFmt w:val="decimal"/>
      <w:suff w:val="nothing"/>
      <w:lvlText w:val="%6）"/>
      <w:lvlJc w:val="left"/>
      <w:pPr>
        <w:ind w:left="0" w:leftChars="0" w:firstLine="402" w:firstLineChars="0"/>
      </w:pPr>
      <w:rPr>
        <w:rFonts w:hint="eastAsia"/>
      </w:rPr>
    </w:lvl>
    <w:lvl w:ilvl="6" w:tentative="0">
      <w:start w:val="1"/>
      <w:numFmt w:val="lowerLetter"/>
      <w:suff w:val="nothing"/>
      <w:lvlText w:val="%7．"/>
      <w:lvlJc w:val="left"/>
      <w:pPr>
        <w:ind w:left="0" w:leftChars="0" w:firstLine="402" w:firstLineChars="0"/>
      </w:pPr>
      <w:rPr>
        <w:rFonts w:hint="eastAsia"/>
      </w:rPr>
    </w:lvl>
    <w:lvl w:ilvl="7" w:tentative="0">
      <w:start w:val="1"/>
      <w:numFmt w:val="lowerLetter"/>
      <w:suff w:val="nothing"/>
      <w:lvlText w:val="%8）"/>
      <w:lvlJc w:val="left"/>
      <w:pPr>
        <w:ind w:left="0" w:leftChars="0" w:firstLine="402" w:firstLineChars="0"/>
      </w:pPr>
      <w:rPr>
        <w:rFonts w:hint="eastAsia"/>
      </w:rPr>
    </w:lvl>
    <w:lvl w:ilvl="8" w:tentative="0">
      <w:start w:val="1"/>
      <w:numFmt w:val="lowerRoman"/>
      <w:suff w:val="nothing"/>
      <w:lvlText w:val="%9. "/>
      <w:lvlJc w:val="left"/>
      <w:pPr>
        <w:ind w:left="0" w:leftChars="0" w:firstLine="402" w:firstLineChars="0"/>
      </w:pPr>
      <w:rPr>
        <w:rFonts w:hint="eastAsia"/>
      </w:rPr>
    </w:lvl>
  </w:abstractNum>
  <w:abstractNum w:abstractNumId="64">
    <w:nsid w:val="58119CAA"/>
    <w:multiLevelType w:val="singleLevel"/>
    <w:tmpl w:val="58119CAA"/>
    <w:lvl w:ilvl="0" w:tentative="0">
      <w:start w:val="1"/>
      <w:numFmt w:val="chineseCounting"/>
      <w:suff w:val="nothing"/>
      <w:lvlText w:val="%1、"/>
      <w:lvlJc w:val="left"/>
    </w:lvl>
  </w:abstractNum>
  <w:abstractNum w:abstractNumId="65">
    <w:nsid w:val="5811B7CF"/>
    <w:multiLevelType w:val="multilevel"/>
    <w:tmpl w:val="5811B7CF"/>
    <w:lvl w:ilvl="0" w:tentative="0">
      <w:start w:val="1"/>
      <w:numFmt w:val="chineseCounting"/>
      <w:suff w:val="nothing"/>
      <w:lvlText w:val="第%1章"/>
      <w:lvlJc w:val="left"/>
      <w:pPr>
        <w:ind w:left="0" w:leftChars="0" w:firstLine="402" w:firstLineChars="0"/>
      </w:pPr>
      <w:rPr>
        <w:rFonts w:hint="eastAsia"/>
      </w:rPr>
    </w:lvl>
    <w:lvl w:ilvl="1" w:tentative="0">
      <w:start w:val="1"/>
      <w:numFmt w:val="chineseCounting"/>
      <w:suff w:val="nothing"/>
      <w:lvlText w:val="%2、"/>
      <w:lvlJc w:val="left"/>
      <w:pPr>
        <w:ind w:left="0" w:leftChars="0" w:firstLine="402" w:firstLineChars="0"/>
      </w:pPr>
      <w:rPr>
        <w:rFonts w:hint="eastAsia"/>
      </w:rPr>
    </w:lvl>
    <w:lvl w:ilvl="2" w:tentative="0">
      <w:start w:val="1"/>
      <w:numFmt w:val="decimal"/>
      <w:suff w:val="nothing"/>
      <w:lvlText w:val="%3．"/>
      <w:lvlJc w:val="left"/>
      <w:pPr>
        <w:ind w:left="0" w:leftChars="0" w:firstLine="402" w:firstLineChars="0"/>
      </w:pPr>
      <w:rPr>
        <w:rFonts w:hint="eastAsia"/>
      </w:rPr>
    </w:lvl>
    <w:lvl w:ilvl="3" w:tentative="0">
      <w:start w:val="1"/>
      <w:numFmt w:val="upperRoman"/>
      <w:suff w:val="nothing"/>
      <w:lvlText w:val="%4"/>
      <w:lvlJc w:val="left"/>
      <w:pPr>
        <w:tabs>
          <w:tab w:val="left" w:pos="0"/>
        </w:tabs>
        <w:ind w:left="0" w:leftChars="0" w:firstLine="402" w:firstLineChars="0"/>
      </w:pPr>
      <w:rPr>
        <w:rFonts w:hint="eastAsia" w:ascii="宋体" w:hAnsi="宋体" w:eastAsia="宋体" w:cs="宋体"/>
      </w:rPr>
    </w:lvl>
    <w:lvl w:ilvl="4" w:tentative="0">
      <w:start w:val="1"/>
      <w:numFmt w:val="decimalEnclosedCircleChinese"/>
      <w:suff w:val="nothing"/>
      <w:lvlText w:val="%5 "/>
      <w:lvlJc w:val="left"/>
      <w:pPr>
        <w:ind w:left="0" w:leftChars="0" w:firstLine="402" w:firstLineChars="0"/>
      </w:pPr>
      <w:rPr>
        <w:rFonts w:hint="eastAsia"/>
      </w:rPr>
    </w:lvl>
    <w:lvl w:ilvl="5" w:tentative="0">
      <w:start w:val="1"/>
      <w:numFmt w:val="decimal"/>
      <w:suff w:val="nothing"/>
      <w:lvlText w:val="%6）"/>
      <w:lvlJc w:val="left"/>
      <w:pPr>
        <w:ind w:left="0" w:leftChars="0" w:firstLine="402" w:firstLineChars="0"/>
      </w:pPr>
      <w:rPr>
        <w:rFonts w:hint="eastAsia"/>
      </w:rPr>
    </w:lvl>
    <w:lvl w:ilvl="6" w:tentative="0">
      <w:start w:val="1"/>
      <w:numFmt w:val="lowerLetter"/>
      <w:suff w:val="nothing"/>
      <w:lvlText w:val="%7．"/>
      <w:lvlJc w:val="left"/>
      <w:pPr>
        <w:ind w:left="0" w:leftChars="0" w:firstLine="402" w:firstLineChars="0"/>
      </w:pPr>
      <w:rPr>
        <w:rFonts w:hint="eastAsia"/>
      </w:rPr>
    </w:lvl>
    <w:lvl w:ilvl="7" w:tentative="0">
      <w:start w:val="1"/>
      <w:numFmt w:val="lowerLetter"/>
      <w:suff w:val="nothing"/>
      <w:lvlText w:val="%8）"/>
      <w:lvlJc w:val="left"/>
      <w:pPr>
        <w:ind w:left="0" w:leftChars="0" w:firstLine="402" w:firstLineChars="0"/>
      </w:pPr>
      <w:rPr>
        <w:rFonts w:hint="eastAsia"/>
      </w:rPr>
    </w:lvl>
    <w:lvl w:ilvl="8" w:tentative="0">
      <w:start w:val="1"/>
      <w:numFmt w:val="lowerRoman"/>
      <w:suff w:val="nothing"/>
      <w:lvlText w:val="%9. "/>
      <w:lvlJc w:val="left"/>
      <w:pPr>
        <w:ind w:left="0" w:leftChars="0" w:firstLine="402" w:firstLineChars="0"/>
      </w:pPr>
      <w:rPr>
        <w:rFonts w:hint="eastAsia"/>
      </w:rPr>
    </w:lvl>
  </w:abstractNum>
  <w:abstractNum w:abstractNumId="66">
    <w:nsid w:val="58EB6D16"/>
    <w:multiLevelType w:val="multilevel"/>
    <w:tmpl w:val="58EB6D16"/>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67">
    <w:nsid w:val="5CF14927"/>
    <w:multiLevelType w:val="multilevel"/>
    <w:tmpl w:val="5CF14927"/>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68">
    <w:nsid w:val="5FA17535"/>
    <w:multiLevelType w:val="multilevel"/>
    <w:tmpl w:val="5FA17535"/>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69">
    <w:nsid w:val="6102571F"/>
    <w:multiLevelType w:val="multilevel"/>
    <w:tmpl w:val="6102571F"/>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70">
    <w:nsid w:val="61A126DB"/>
    <w:multiLevelType w:val="multilevel"/>
    <w:tmpl w:val="61A126DB"/>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71">
    <w:nsid w:val="63ED54E3"/>
    <w:multiLevelType w:val="multilevel"/>
    <w:tmpl w:val="63ED54E3"/>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72">
    <w:nsid w:val="64F979BE"/>
    <w:multiLevelType w:val="multilevel"/>
    <w:tmpl w:val="64F979BE"/>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73">
    <w:nsid w:val="654D03BA"/>
    <w:multiLevelType w:val="multilevel"/>
    <w:tmpl w:val="654D03BA"/>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74">
    <w:nsid w:val="66FE60AB"/>
    <w:multiLevelType w:val="multilevel"/>
    <w:tmpl w:val="66FE60AB"/>
    <w:lvl w:ilvl="0" w:tentative="0">
      <w:start w:val="1"/>
      <w:numFmt w:val="decimal"/>
      <w:suff w:val="nothing"/>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5">
    <w:nsid w:val="67631CCF"/>
    <w:multiLevelType w:val="multilevel"/>
    <w:tmpl w:val="67631CCF"/>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76">
    <w:nsid w:val="6D5A608E"/>
    <w:multiLevelType w:val="multilevel"/>
    <w:tmpl w:val="6D5A608E"/>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77">
    <w:nsid w:val="715F08C8"/>
    <w:multiLevelType w:val="multilevel"/>
    <w:tmpl w:val="715F08C8"/>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78">
    <w:nsid w:val="721017EA"/>
    <w:multiLevelType w:val="multilevel"/>
    <w:tmpl w:val="721017EA"/>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79">
    <w:nsid w:val="74BD4996"/>
    <w:multiLevelType w:val="multilevel"/>
    <w:tmpl w:val="74BD4996"/>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80">
    <w:nsid w:val="75AA5A3E"/>
    <w:multiLevelType w:val="multilevel"/>
    <w:tmpl w:val="75AA5A3E"/>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81">
    <w:nsid w:val="75EA57DF"/>
    <w:multiLevelType w:val="multilevel"/>
    <w:tmpl w:val="75EA57DF"/>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82">
    <w:nsid w:val="780E0C02"/>
    <w:multiLevelType w:val="multilevel"/>
    <w:tmpl w:val="780E0C02"/>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83">
    <w:nsid w:val="7CDE2600"/>
    <w:multiLevelType w:val="multilevel"/>
    <w:tmpl w:val="7CDE260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4">
    <w:nsid w:val="7EAD1299"/>
    <w:multiLevelType w:val="multilevel"/>
    <w:tmpl w:val="7EAD129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5">
    <w:nsid w:val="7EDD420C"/>
    <w:multiLevelType w:val="multilevel"/>
    <w:tmpl w:val="7EDD420C"/>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86">
    <w:nsid w:val="7F7208FF"/>
    <w:multiLevelType w:val="multilevel"/>
    <w:tmpl w:val="7F7208FF"/>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60"/>
  </w:num>
  <w:num w:numId="2">
    <w:abstractNumId w:val="61"/>
  </w:num>
  <w:num w:numId="3">
    <w:abstractNumId w:val="62"/>
  </w:num>
  <w:num w:numId="4">
    <w:abstractNumId w:val="12"/>
  </w:num>
  <w:num w:numId="5">
    <w:abstractNumId w:val="83"/>
  </w:num>
  <w:num w:numId="6">
    <w:abstractNumId w:val="2"/>
    <w:lvlOverride w:ilvl="0">
      <w:startOverride w:val="1"/>
    </w:lvlOverride>
  </w:num>
  <w:num w:numId="7">
    <w:abstractNumId w:val="39"/>
  </w:num>
  <w:num w:numId="8">
    <w:abstractNumId w:val="5"/>
    <w:lvlOverride w:ilvl="0">
      <w:startOverride w:val="1"/>
    </w:lvlOverride>
  </w:num>
  <w:num w:numId="9">
    <w:abstractNumId w:val="3"/>
    <w:lvlOverride w:ilvl="0">
      <w:startOverride w:val="1"/>
    </w:lvlOverride>
  </w:num>
  <w:num w:numId="10">
    <w:abstractNumId w:val="53"/>
    <w:lvlOverride w:ilvl="0">
      <w:startOverride w:val="1"/>
    </w:lvlOverride>
  </w:num>
  <w:num w:numId="11">
    <w:abstractNumId w:val="54"/>
    <w:lvlOverride w:ilvl="0">
      <w:startOverride w:val="1"/>
    </w:lvlOverride>
  </w:num>
  <w:num w:numId="12">
    <w:abstractNumId w:val="0"/>
    <w:lvlOverride w:ilvl="0">
      <w:startOverride w:val="1"/>
    </w:lvlOverride>
  </w:num>
  <w:num w:numId="13">
    <w:abstractNumId w:val="4"/>
    <w:lvlOverride w:ilvl="0">
      <w:startOverride w:val="1"/>
    </w:lvlOverride>
  </w:num>
  <w:num w:numId="14">
    <w:abstractNumId w:val="1"/>
    <w:lvlOverride w:ilvl="0">
      <w:startOverride w:val="1"/>
    </w:lvlOverride>
  </w:num>
  <w:num w:numId="15">
    <w:abstractNumId w:val="70"/>
  </w:num>
  <w:num w:numId="16">
    <w:abstractNumId w:val="28"/>
  </w:num>
  <w:num w:numId="17">
    <w:abstractNumId w:val="50"/>
    <w:lvlOverride w:ilvl="0">
      <w:startOverride w:val="1"/>
    </w:lvlOverride>
  </w:num>
  <w:num w:numId="18">
    <w:abstractNumId w:val="51"/>
    <w:lvlOverride w:ilvl="0">
      <w:startOverride w:val="1"/>
    </w:lvlOverride>
  </w:num>
  <w:num w:numId="19">
    <w:abstractNumId w:val="52"/>
    <w:lvlOverride w:ilvl="0">
      <w:startOverride w:val="1"/>
    </w:lvlOverride>
  </w:num>
  <w:num w:numId="20">
    <w:abstractNumId w:val="6"/>
    <w:lvlOverride w:ilvl="0">
      <w:startOverride w:val="1"/>
    </w:lvlOverride>
  </w:num>
  <w:num w:numId="21">
    <w:abstractNumId w:val="57"/>
    <w:lvlOverride w:ilvl="0">
      <w:startOverride w:val="1"/>
    </w:lvlOverride>
  </w:num>
  <w:num w:numId="22">
    <w:abstractNumId w:val="56"/>
    <w:lvlOverride w:ilvl="0">
      <w:startOverride w:val="1"/>
    </w:lvlOverride>
  </w:num>
  <w:num w:numId="23">
    <w:abstractNumId w:val="74"/>
    <w:lvlOverride w:ilvl="0">
      <w:startOverride w:val="1"/>
    </w:lvlOverride>
  </w:num>
  <w:num w:numId="24">
    <w:abstractNumId w:val="7"/>
  </w:num>
  <w:num w:numId="25">
    <w:abstractNumId w:val="11"/>
  </w:num>
  <w:num w:numId="26">
    <w:abstractNumId w:val="84"/>
  </w:num>
  <w:num w:numId="27">
    <w:abstractNumId w:val="46"/>
  </w:num>
  <w:num w:numId="28">
    <w:abstractNumId w:val="23"/>
  </w:num>
  <w:num w:numId="29">
    <w:abstractNumId w:val="10"/>
  </w:num>
  <w:num w:numId="30">
    <w:abstractNumId w:val="27"/>
  </w:num>
  <w:num w:numId="31">
    <w:abstractNumId w:val="77"/>
  </w:num>
  <w:num w:numId="32">
    <w:abstractNumId w:val="35"/>
  </w:num>
  <w:num w:numId="33">
    <w:abstractNumId w:val="47"/>
  </w:num>
  <w:num w:numId="34">
    <w:abstractNumId w:val="17"/>
  </w:num>
  <w:num w:numId="35">
    <w:abstractNumId w:val="75"/>
  </w:num>
  <w:num w:numId="36">
    <w:abstractNumId w:val="37"/>
  </w:num>
  <w:num w:numId="37">
    <w:abstractNumId w:val="20"/>
  </w:num>
  <w:num w:numId="38">
    <w:abstractNumId w:val="67"/>
  </w:num>
  <w:num w:numId="39">
    <w:abstractNumId w:val="21"/>
  </w:num>
  <w:num w:numId="40">
    <w:abstractNumId w:val="36"/>
  </w:num>
  <w:num w:numId="41">
    <w:abstractNumId w:val="29"/>
  </w:num>
  <w:num w:numId="42">
    <w:abstractNumId w:val="86"/>
  </w:num>
  <w:num w:numId="43">
    <w:abstractNumId w:val="32"/>
  </w:num>
  <w:num w:numId="44">
    <w:abstractNumId w:val="58"/>
  </w:num>
  <w:num w:numId="45">
    <w:abstractNumId w:val="72"/>
  </w:num>
  <w:num w:numId="46">
    <w:abstractNumId w:val="73"/>
  </w:num>
  <w:num w:numId="47">
    <w:abstractNumId w:val="25"/>
  </w:num>
  <w:num w:numId="48">
    <w:abstractNumId w:val="68"/>
  </w:num>
  <w:num w:numId="49">
    <w:abstractNumId w:val="49"/>
  </w:num>
  <w:num w:numId="50">
    <w:abstractNumId w:val="24"/>
  </w:num>
  <w:num w:numId="51">
    <w:abstractNumId w:val="16"/>
  </w:num>
  <w:num w:numId="52">
    <w:abstractNumId w:val="76"/>
  </w:num>
  <w:num w:numId="53">
    <w:abstractNumId w:val="13"/>
  </w:num>
  <w:num w:numId="54">
    <w:abstractNumId w:val="15"/>
  </w:num>
  <w:num w:numId="55">
    <w:abstractNumId w:val="79"/>
  </w:num>
  <w:num w:numId="56">
    <w:abstractNumId w:val="55"/>
  </w:num>
  <w:num w:numId="57">
    <w:abstractNumId w:val="33"/>
  </w:num>
  <w:num w:numId="58">
    <w:abstractNumId w:val="85"/>
  </w:num>
  <w:num w:numId="59">
    <w:abstractNumId w:val="34"/>
  </w:num>
  <w:num w:numId="60">
    <w:abstractNumId w:val="14"/>
  </w:num>
  <w:num w:numId="61">
    <w:abstractNumId w:val="9"/>
  </w:num>
  <w:num w:numId="62">
    <w:abstractNumId w:val="22"/>
  </w:num>
  <w:num w:numId="63">
    <w:abstractNumId w:val="30"/>
  </w:num>
  <w:num w:numId="64">
    <w:abstractNumId w:val="41"/>
  </w:num>
  <w:num w:numId="65">
    <w:abstractNumId w:val="38"/>
  </w:num>
  <w:num w:numId="66">
    <w:abstractNumId w:val="66"/>
  </w:num>
  <w:num w:numId="67">
    <w:abstractNumId w:val="42"/>
  </w:num>
  <w:num w:numId="68">
    <w:abstractNumId w:val="31"/>
  </w:num>
  <w:num w:numId="69">
    <w:abstractNumId w:val="43"/>
  </w:num>
  <w:num w:numId="70">
    <w:abstractNumId w:val="40"/>
  </w:num>
  <w:num w:numId="71">
    <w:abstractNumId w:val="78"/>
  </w:num>
  <w:num w:numId="72">
    <w:abstractNumId w:val="26"/>
  </w:num>
  <w:num w:numId="73">
    <w:abstractNumId w:val="81"/>
  </w:num>
  <w:num w:numId="74">
    <w:abstractNumId w:val="80"/>
  </w:num>
  <w:num w:numId="75">
    <w:abstractNumId w:val="44"/>
  </w:num>
  <w:num w:numId="76">
    <w:abstractNumId w:val="59"/>
  </w:num>
  <w:num w:numId="77">
    <w:abstractNumId w:val="8"/>
  </w:num>
  <w:num w:numId="78">
    <w:abstractNumId w:val="19"/>
  </w:num>
  <w:num w:numId="79">
    <w:abstractNumId w:val="18"/>
  </w:num>
  <w:num w:numId="80">
    <w:abstractNumId w:val="82"/>
  </w:num>
  <w:num w:numId="81">
    <w:abstractNumId w:val="48"/>
  </w:num>
  <w:num w:numId="82">
    <w:abstractNumId w:val="71"/>
  </w:num>
  <w:num w:numId="83">
    <w:abstractNumId w:val="45"/>
  </w:num>
  <w:num w:numId="84">
    <w:abstractNumId w:val="69"/>
  </w:num>
  <w:num w:numId="85">
    <w:abstractNumId w:val="63"/>
  </w:num>
  <w:num w:numId="86">
    <w:abstractNumId w:val="64"/>
  </w:num>
  <w:num w:numId="87">
    <w:abstractNumId w:val="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HorizontalSpacing w:val="105"/>
  <w:drawingGridVerticalSpacing w:val="159"/>
  <w:displayHorizontalDrawingGridEvery w:val="1"/>
  <w:displayVerticalDrawingGridEvery w:val="2"/>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CD2"/>
    <w:rsid w:val="00015054"/>
    <w:rsid w:val="00022C98"/>
    <w:rsid w:val="0003000F"/>
    <w:rsid w:val="000318F0"/>
    <w:rsid w:val="00035F32"/>
    <w:rsid w:val="000474E3"/>
    <w:rsid w:val="00074426"/>
    <w:rsid w:val="0008164B"/>
    <w:rsid w:val="00095150"/>
    <w:rsid w:val="000A23E8"/>
    <w:rsid w:val="000A39EF"/>
    <w:rsid w:val="000B4195"/>
    <w:rsid w:val="000B7DC3"/>
    <w:rsid w:val="00110446"/>
    <w:rsid w:val="001128BA"/>
    <w:rsid w:val="00112CCB"/>
    <w:rsid w:val="0014654C"/>
    <w:rsid w:val="0015741A"/>
    <w:rsid w:val="00165750"/>
    <w:rsid w:val="00176C27"/>
    <w:rsid w:val="0019676E"/>
    <w:rsid w:val="001A616E"/>
    <w:rsid w:val="001B0A89"/>
    <w:rsid w:val="001C210E"/>
    <w:rsid w:val="001C3667"/>
    <w:rsid w:val="001C3F25"/>
    <w:rsid w:val="001C59B4"/>
    <w:rsid w:val="001D3A95"/>
    <w:rsid w:val="001E0656"/>
    <w:rsid w:val="001E5856"/>
    <w:rsid w:val="001F0A3E"/>
    <w:rsid w:val="001F6AD5"/>
    <w:rsid w:val="001F7D8A"/>
    <w:rsid w:val="00202844"/>
    <w:rsid w:val="002559FB"/>
    <w:rsid w:val="00260A6E"/>
    <w:rsid w:val="0027236E"/>
    <w:rsid w:val="00287099"/>
    <w:rsid w:val="002B1EC3"/>
    <w:rsid w:val="002B6FB8"/>
    <w:rsid w:val="002C54C7"/>
    <w:rsid w:val="002D16A6"/>
    <w:rsid w:val="00301304"/>
    <w:rsid w:val="00321284"/>
    <w:rsid w:val="00322831"/>
    <w:rsid w:val="0032506A"/>
    <w:rsid w:val="0033072F"/>
    <w:rsid w:val="00344DEE"/>
    <w:rsid w:val="00351F30"/>
    <w:rsid w:val="00353DE9"/>
    <w:rsid w:val="00361289"/>
    <w:rsid w:val="003627F8"/>
    <w:rsid w:val="003668CB"/>
    <w:rsid w:val="00372B66"/>
    <w:rsid w:val="003752D4"/>
    <w:rsid w:val="0038622D"/>
    <w:rsid w:val="00387F13"/>
    <w:rsid w:val="003931C8"/>
    <w:rsid w:val="003A6926"/>
    <w:rsid w:val="003A6B05"/>
    <w:rsid w:val="003C556A"/>
    <w:rsid w:val="003F3B32"/>
    <w:rsid w:val="003F7B78"/>
    <w:rsid w:val="004128E4"/>
    <w:rsid w:val="00423739"/>
    <w:rsid w:val="00427841"/>
    <w:rsid w:val="00433E3B"/>
    <w:rsid w:val="0043465D"/>
    <w:rsid w:val="00455E7E"/>
    <w:rsid w:val="0046380F"/>
    <w:rsid w:val="00485708"/>
    <w:rsid w:val="004958E5"/>
    <w:rsid w:val="004A66D8"/>
    <w:rsid w:val="004B3ADB"/>
    <w:rsid w:val="004D1EBE"/>
    <w:rsid w:val="004D56F5"/>
    <w:rsid w:val="004E4D50"/>
    <w:rsid w:val="00505D38"/>
    <w:rsid w:val="00506808"/>
    <w:rsid w:val="00515F5F"/>
    <w:rsid w:val="00556511"/>
    <w:rsid w:val="00561E60"/>
    <w:rsid w:val="00574EAE"/>
    <w:rsid w:val="00585399"/>
    <w:rsid w:val="00587E45"/>
    <w:rsid w:val="00592619"/>
    <w:rsid w:val="00592F39"/>
    <w:rsid w:val="005954AB"/>
    <w:rsid w:val="005A1190"/>
    <w:rsid w:val="005D2B9C"/>
    <w:rsid w:val="005D38C0"/>
    <w:rsid w:val="00600FE4"/>
    <w:rsid w:val="0060159E"/>
    <w:rsid w:val="00603F7B"/>
    <w:rsid w:val="006079C0"/>
    <w:rsid w:val="0061103D"/>
    <w:rsid w:val="00613DEE"/>
    <w:rsid w:val="0061530B"/>
    <w:rsid w:val="00615A42"/>
    <w:rsid w:val="00643631"/>
    <w:rsid w:val="00664C3B"/>
    <w:rsid w:val="006731B3"/>
    <w:rsid w:val="006937FD"/>
    <w:rsid w:val="006977B9"/>
    <w:rsid w:val="006A0317"/>
    <w:rsid w:val="006B2550"/>
    <w:rsid w:val="006D1527"/>
    <w:rsid w:val="006D2CFF"/>
    <w:rsid w:val="006E5545"/>
    <w:rsid w:val="00703FC6"/>
    <w:rsid w:val="0072517C"/>
    <w:rsid w:val="007429CB"/>
    <w:rsid w:val="00742CA4"/>
    <w:rsid w:val="00773732"/>
    <w:rsid w:val="00775719"/>
    <w:rsid w:val="00780113"/>
    <w:rsid w:val="00787F1C"/>
    <w:rsid w:val="007A20AF"/>
    <w:rsid w:val="007C1B5A"/>
    <w:rsid w:val="007C4460"/>
    <w:rsid w:val="007E7423"/>
    <w:rsid w:val="008048BF"/>
    <w:rsid w:val="00807A61"/>
    <w:rsid w:val="008164D7"/>
    <w:rsid w:val="008807A6"/>
    <w:rsid w:val="00883D28"/>
    <w:rsid w:val="008B3784"/>
    <w:rsid w:val="008D03B2"/>
    <w:rsid w:val="008D0B60"/>
    <w:rsid w:val="008E2876"/>
    <w:rsid w:val="008E3541"/>
    <w:rsid w:val="008F1577"/>
    <w:rsid w:val="00901F91"/>
    <w:rsid w:val="00902C36"/>
    <w:rsid w:val="00923E20"/>
    <w:rsid w:val="00924F80"/>
    <w:rsid w:val="00942642"/>
    <w:rsid w:val="00950C64"/>
    <w:rsid w:val="00963941"/>
    <w:rsid w:val="00993942"/>
    <w:rsid w:val="0099696C"/>
    <w:rsid w:val="009A3AF6"/>
    <w:rsid w:val="009A5D05"/>
    <w:rsid w:val="009B6496"/>
    <w:rsid w:val="009C5FAF"/>
    <w:rsid w:val="009D1CEF"/>
    <w:rsid w:val="009D41E5"/>
    <w:rsid w:val="00A04075"/>
    <w:rsid w:val="00A47A62"/>
    <w:rsid w:val="00A576EF"/>
    <w:rsid w:val="00A61673"/>
    <w:rsid w:val="00A624A9"/>
    <w:rsid w:val="00A933C4"/>
    <w:rsid w:val="00AA0E66"/>
    <w:rsid w:val="00AA7C72"/>
    <w:rsid w:val="00AB3BFE"/>
    <w:rsid w:val="00AD24B0"/>
    <w:rsid w:val="00B016B4"/>
    <w:rsid w:val="00B169CC"/>
    <w:rsid w:val="00B17233"/>
    <w:rsid w:val="00B37EDB"/>
    <w:rsid w:val="00B40E12"/>
    <w:rsid w:val="00B4223F"/>
    <w:rsid w:val="00B56A77"/>
    <w:rsid w:val="00B63A8A"/>
    <w:rsid w:val="00B75D87"/>
    <w:rsid w:val="00B86027"/>
    <w:rsid w:val="00B9693F"/>
    <w:rsid w:val="00B96BBB"/>
    <w:rsid w:val="00BA3B75"/>
    <w:rsid w:val="00BB773C"/>
    <w:rsid w:val="00BC2272"/>
    <w:rsid w:val="00BE55F6"/>
    <w:rsid w:val="00BF4BF1"/>
    <w:rsid w:val="00C062B9"/>
    <w:rsid w:val="00C136A8"/>
    <w:rsid w:val="00C23C0A"/>
    <w:rsid w:val="00C25821"/>
    <w:rsid w:val="00C31C19"/>
    <w:rsid w:val="00C36C0E"/>
    <w:rsid w:val="00C40ADC"/>
    <w:rsid w:val="00C4325C"/>
    <w:rsid w:val="00C459E3"/>
    <w:rsid w:val="00C46009"/>
    <w:rsid w:val="00C500A8"/>
    <w:rsid w:val="00C51911"/>
    <w:rsid w:val="00C546B4"/>
    <w:rsid w:val="00C606C2"/>
    <w:rsid w:val="00C63FDD"/>
    <w:rsid w:val="00C7096D"/>
    <w:rsid w:val="00C74002"/>
    <w:rsid w:val="00CC353A"/>
    <w:rsid w:val="00CC7865"/>
    <w:rsid w:val="00CC7D2C"/>
    <w:rsid w:val="00CD6195"/>
    <w:rsid w:val="00CF7E6A"/>
    <w:rsid w:val="00D07AD5"/>
    <w:rsid w:val="00D402D2"/>
    <w:rsid w:val="00D50D10"/>
    <w:rsid w:val="00D70491"/>
    <w:rsid w:val="00D71FEF"/>
    <w:rsid w:val="00D77FB6"/>
    <w:rsid w:val="00D95909"/>
    <w:rsid w:val="00DA5381"/>
    <w:rsid w:val="00DC713E"/>
    <w:rsid w:val="00DD468C"/>
    <w:rsid w:val="00DD57F6"/>
    <w:rsid w:val="00DD60FB"/>
    <w:rsid w:val="00DE30B9"/>
    <w:rsid w:val="00DF2CD4"/>
    <w:rsid w:val="00E065A7"/>
    <w:rsid w:val="00E2767E"/>
    <w:rsid w:val="00E33A63"/>
    <w:rsid w:val="00E402E6"/>
    <w:rsid w:val="00E62961"/>
    <w:rsid w:val="00E719A0"/>
    <w:rsid w:val="00E7218C"/>
    <w:rsid w:val="00E72770"/>
    <w:rsid w:val="00E905BB"/>
    <w:rsid w:val="00EA3F90"/>
    <w:rsid w:val="00EA53D9"/>
    <w:rsid w:val="00EC020E"/>
    <w:rsid w:val="00EC2A1F"/>
    <w:rsid w:val="00ED7622"/>
    <w:rsid w:val="00ED77F6"/>
    <w:rsid w:val="00EF2B9C"/>
    <w:rsid w:val="00F0026D"/>
    <w:rsid w:val="00F1246C"/>
    <w:rsid w:val="00F152AF"/>
    <w:rsid w:val="00F16047"/>
    <w:rsid w:val="00F4186B"/>
    <w:rsid w:val="00F44242"/>
    <w:rsid w:val="00F4589F"/>
    <w:rsid w:val="00F56DAE"/>
    <w:rsid w:val="00F6412E"/>
    <w:rsid w:val="00F702F0"/>
    <w:rsid w:val="00F73937"/>
    <w:rsid w:val="00F93069"/>
    <w:rsid w:val="00FD02D2"/>
    <w:rsid w:val="00FD4C90"/>
    <w:rsid w:val="00FE0A73"/>
    <w:rsid w:val="00FF15A4"/>
    <w:rsid w:val="0217591E"/>
    <w:rsid w:val="028C2181"/>
    <w:rsid w:val="04857993"/>
    <w:rsid w:val="055110DF"/>
    <w:rsid w:val="065939AC"/>
    <w:rsid w:val="09AA544F"/>
    <w:rsid w:val="0A0A37B8"/>
    <w:rsid w:val="0B9D0E97"/>
    <w:rsid w:val="0BB96C98"/>
    <w:rsid w:val="0BFC1FCE"/>
    <w:rsid w:val="0C0A1442"/>
    <w:rsid w:val="0DD5023A"/>
    <w:rsid w:val="0E2B3741"/>
    <w:rsid w:val="0EEF3CE0"/>
    <w:rsid w:val="11E3148A"/>
    <w:rsid w:val="1267025C"/>
    <w:rsid w:val="13225AAC"/>
    <w:rsid w:val="1409212A"/>
    <w:rsid w:val="16A43D73"/>
    <w:rsid w:val="18261706"/>
    <w:rsid w:val="18C829CB"/>
    <w:rsid w:val="1C7A1D6B"/>
    <w:rsid w:val="1DBF48BF"/>
    <w:rsid w:val="1E093404"/>
    <w:rsid w:val="1E9E7B9C"/>
    <w:rsid w:val="1EB91C3E"/>
    <w:rsid w:val="1F0D126B"/>
    <w:rsid w:val="1F783CF1"/>
    <w:rsid w:val="201268F6"/>
    <w:rsid w:val="20620D3A"/>
    <w:rsid w:val="21316529"/>
    <w:rsid w:val="22A356CF"/>
    <w:rsid w:val="230E17DA"/>
    <w:rsid w:val="233C5764"/>
    <w:rsid w:val="253B4A86"/>
    <w:rsid w:val="25BE0311"/>
    <w:rsid w:val="289A4F56"/>
    <w:rsid w:val="29107653"/>
    <w:rsid w:val="298529EE"/>
    <w:rsid w:val="2B521850"/>
    <w:rsid w:val="2C1D215C"/>
    <w:rsid w:val="2C7150BB"/>
    <w:rsid w:val="2C8B4492"/>
    <w:rsid w:val="2E0462CC"/>
    <w:rsid w:val="2E817608"/>
    <w:rsid w:val="2EF05B34"/>
    <w:rsid w:val="306010E2"/>
    <w:rsid w:val="315A2B98"/>
    <w:rsid w:val="31837E1B"/>
    <w:rsid w:val="31C57BE9"/>
    <w:rsid w:val="32747333"/>
    <w:rsid w:val="334C4C59"/>
    <w:rsid w:val="34F65DFD"/>
    <w:rsid w:val="35D55A08"/>
    <w:rsid w:val="36801F4D"/>
    <w:rsid w:val="36A70B0A"/>
    <w:rsid w:val="36BF7364"/>
    <w:rsid w:val="36F16E2A"/>
    <w:rsid w:val="3723415E"/>
    <w:rsid w:val="385526D0"/>
    <w:rsid w:val="3CA86664"/>
    <w:rsid w:val="3D3011F7"/>
    <w:rsid w:val="3D703372"/>
    <w:rsid w:val="3DE12BEF"/>
    <w:rsid w:val="3E244BD4"/>
    <w:rsid w:val="41267E83"/>
    <w:rsid w:val="41DD5E7A"/>
    <w:rsid w:val="426759F9"/>
    <w:rsid w:val="42C068EA"/>
    <w:rsid w:val="42FF605C"/>
    <w:rsid w:val="45617887"/>
    <w:rsid w:val="46095369"/>
    <w:rsid w:val="471438EC"/>
    <w:rsid w:val="48395FAE"/>
    <w:rsid w:val="4A080D33"/>
    <w:rsid w:val="4AAC6904"/>
    <w:rsid w:val="4B7A4754"/>
    <w:rsid w:val="4BA91E00"/>
    <w:rsid w:val="4F993558"/>
    <w:rsid w:val="508B2B0D"/>
    <w:rsid w:val="521E2E84"/>
    <w:rsid w:val="55640993"/>
    <w:rsid w:val="59110BED"/>
    <w:rsid w:val="594C5A53"/>
    <w:rsid w:val="59870523"/>
    <w:rsid w:val="5A2B7DC1"/>
    <w:rsid w:val="5A4D157B"/>
    <w:rsid w:val="5B4531D5"/>
    <w:rsid w:val="5B86232C"/>
    <w:rsid w:val="5BEF642E"/>
    <w:rsid w:val="5C387D83"/>
    <w:rsid w:val="5C5B52EE"/>
    <w:rsid w:val="5EEE6073"/>
    <w:rsid w:val="5FFB0A97"/>
    <w:rsid w:val="60582689"/>
    <w:rsid w:val="60B23641"/>
    <w:rsid w:val="610D60BF"/>
    <w:rsid w:val="62092C8A"/>
    <w:rsid w:val="627A29C1"/>
    <w:rsid w:val="62D60E41"/>
    <w:rsid w:val="62EF5597"/>
    <w:rsid w:val="63BF01C5"/>
    <w:rsid w:val="647B4AD0"/>
    <w:rsid w:val="665F319D"/>
    <w:rsid w:val="67255983"/>
    <w:rsid w:val="68DF1877"/>
    <w:rsid w:val="696957D3"/>
    <w:rsid w:val="69CC4AEA"/>
    <w:rsid w:val="6A0372F2"/>
    <w:rsid w:val="6B720A58"/>
    <w:rsid w:val="6DC4455D"/>
    <w:rsid w:val="6E850561"/>
    <w:rsid w:val="6EE15AAB"/>
    <w:rsid w:val="6F116F4E"/>
    <w:rsid w:val="71192CB6"/>
    <w:rsid w:val="72190DF7"/>
    <w:rsid w:val="730C5A04"/>
    <w:rsid w:val="75732CFA"/>
    <w:rsid w:val="759108EB"/>
    <w:rsid w:val="75A36165"/>
    <w:rsid w:val="75D14E05"/>
    <w:rsid w:val="766F7418"/>
    <w:rsid w:val="79F70916"/>
    <w:rsid w:val="7CBC7795"/>
    <w:rsid w:val="7D0E11C0"/>
    <w:rsid w:val="7E1634A2"/>
    <w:rsid w:val="7F6327B3"/>
    <w:rsid w:val="7FD77A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nhideWhenUsed="0"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2"/>
    <w:qFormat/>
    <w:uiPriority w:val="9"/>
    <w:pPr>
      <w:keepNext/>
      <w:keepLines/>
      <w:numPr>
        <w:ilvl w:val="0"/>
        <w:numId w:val="1"/>
      </w:numPr>
      <w:spacing w:before="340" w:after="330" w:line="578" w:lineRule="auto"/>
      <w:ind w:left="432" w:hanging="432"/>
      <w:outlineLvl w:val="0"/>
    </w:pPr>
    <w:rPr>
      <w:b/>
      <w:bCs/>
      <w:kern w:val="44"/>
      <w:sz w:val="44"/>
      <w:szCs w:val="44"/>
    </w:rPr>
  </w:style>
  <w:style w:type="paragraph" w:styleId="3">
    <w:name w:val="heading 2"/>
    <w:basedOn w:val="1"/>
    <w:next w:val="1"/>
    <w:link w:val="38"/>
    <w:unhideWhenUsed/>
    <w:qFormat/>
    <w:uiPriority w:val="9"/>
    <w:pPr>
      <w:keepNext/>
      <w:keepLines/>
      <w:numPr>
        <w:ilvl w:val="1"/>
        <w:numId w:val="1"/>
      </w:numPr>
      <w:spacing w:before="260" w:after="260" w:line="416" w:lineRule="auto"/>
      <w:ind w:left="575" w:leftChars="0" w:hanging="575" w:firstLineChars="0"/>
      <w:outlineLvl w:val="1"/>
    </w:pPr>
    <w:rPr>
      <w:rFonts w:asciiTheme="majorHAnsi" w:hAnsiTheme="majorHAnsi" w:eastAsiaTheme="majorEastAsia" w:cstheme="majorBidi"/>
      <w:b/>
      <w:bCs/>
      <w:sz w:val="32"/>
      <w:szCs w:val="32"/>
    </w:rPr>
  </w:style>
  <w:style w:type="paragraph" w:styleId="4">
    <w:name w:val="heading 3"/>
    <w:basedOn w:val="1"/>
    <w:next w:val="1"/>
    <w:link w:val="39"/>
    <w:unhideWhenUsed/>
    <w:qFormat/>
    <w:uiPriority w:val="9"/>
    <w:pPr>
      <w:keepNext/>
      <w:keepLines/>
      <w:numPr>
        <w:ilvl w:val="2"/>
        <w:numId w:val="1"/>
      </w:numPr>
      <w:spacing w:before="260" w:after="260" w:line="416" w:lineRule="auto"/>
      <w:ind w:left="720" w:hanging="720"/>
      <w:outlineLvl w:val="2"/>
    </w:pPr>
    <w:rPr>
      <w:b/>
      <w:bCs/>
      <w:sz w:val="32"/>
      <w:szCs w:val="32"/>
    </w:rPr>
  </w:style>
  <w:style w:type="paragraph" w:styleId="5">
    <w:name w:val="heading 4"/>
    <w:basedOn w:val="1"/>
    <w:next w:val="1"/>
    <w:link w:val="44"/>
    <w:unhideWhenUsed/>
    <w:qFormat/>
    <w:uiPriority w:val="9"/>
    <w:pPr>
      <w:keepNext/>
      <w:keepLines/>
      <w:numPr>
        <w:ilvl w:val="3"/>
        <w:numId w:val="1"/>
      </w:numPr>
      <w:spacing w:before="280" w:after="290" w:line="376" w:lineRule="auto"/>
      <w:ind w:left="864" w:hanging="864"/>
      <w:outlineLvl w:val="3"/>
    </w:pPr>
    <w:rPr>
      <w:rFonts w:asciiTheme="majorHAnsi" w:hAnsiTheme="majorHAnsi" w:eastAsiaTheme="majorEastAsia" w:cstheme="majorBidi"/>
      <w:b/>
      <w:bCs/>
      <w:sz w:val="28"/>
      <w:szCs w:val="28"/>
    </w:rPr>
  </w:style>
  <w:style w:type="paragraph" w:styleId="6">
    <w:name w:val="heading 5"/>
    <w:basedOn w:val="1"/>
    <w:next w:val="1"/>
    <w:link w:val="45"/>
    <w:unhideWhenUsed/>
    <w:qFormat/>
    <w:uiPriority w:val="9"/>
    <w:pPr>
      <w:keepNext/>
      <w:keepLines/>
      <w:numPr>
        <w:ilvl w:val="4"/>
        <w:numId w:val="1"/>
      </w:numPr>
      <w:spacing w:before="280" w:after="290" w:line="376" w:lineRule="auto"/>
      <w:ind w:left="1008" w:hanging="1008"/>
      <w:outlineLvl w:val="4"/>
    </w:pPr>
    <w:rPr>
      <w:b/>
      <w:bCs/>
      <w:sz w:val="28"/>
      <w:szCs w:val="28"/>
    </w:rPr>
  </w:style>
  <w:style w:type="paragraph" w:styleId="7">
    <w:name w:val="heading 6"/>
    <w:basedOn w:val="1"/>
    <w:next w:val="1"/>
    <w:link w:val="46"/>
    <w:unhideWhenUsed/>
    <w:qFormat/>
    <w:uiPriority w:val="9"/>
    <w:pPr>
      <w:keepNext/>
      <w:keepLines/>
      <w:numPr>
        <w:ilvl w:val="5"/>
        <w:numId w:val="1"/>
      </w:numPr>
      <w:spacing w:before="240" w:after="64" w:line="320" w:lineRule="auto"/>
      <w:ind w:left="1151" w:hanging="1151"/>
      <w:outlineLvl w:val="5"/>
    </w:pPr>
    <w:rPr>
      <w:rFonts w:asciiTheme="majorHAnsi" w:hAnsiTheme="majorHAnsi" w:eastAsiaTheme="majorEastAsia" w:cstheme="majorBidi"/>
      <w:b/>
      <w:bCs/>
      <w:sz w:val="24"/>
      <w:szCs w:val="24"/>
    </w:rPr>
  </w:style>
  <w:style w:type="paragraph" w:styleId="8">
    <w:name w:val="heading 7"/>
    <w:basedOn w:val="1"/>
    <w:next w:val="1"/>
    <w:link w:val="49"/>
    <w:qFormat/>
    <w:uiPriority w:val="9"/>
    <w:pPr>
      <w:keepNext/>
      <w:keepLines/>
      <w:numPr>
        <w:ilvl w:val="6"/>
        <w:numId w:val="1"/>
      </w:numPr>
      <w:spacing w:before="240" w:after="64" w:line="320" w:lineRule="auto"/>
      <w:ind w:left="1296" w:hanging="1296"/>
      <w:outlineLvl w:val="6"/>
    </w:pPr>
    <w:rPr>
      <w:rFonts w:ascii="Times New Roman" w:hAnsi="Times New Roman" w:eastAsia="黑体" w:cs="Times New Roman"/>
      <w:bCs/>
      <w:szCs w:val="20"/>
    </w:rPr>
  </w:style>
  <w:style w:type="paragraph" w:styleId="9">
    <w:name w:val="heading 8"/>
    <w:basedOn w:val="1"/>
    <w:next w:val="1"/>
    <w:unhideWhenUsed/>
    <w:qFormat/>
    <w:uiPriority w:val="9"/>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unhideWhenUsed/>
    <w:qFormat/>
    <w:uiPriority w:val="9"/>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31">
    <w:name w:val="Default Paragraph Font"/>
    <w:unhideWhenUsed/>
    <w:qFormat/>
    <w:uiPriority w:val="1"/>
  </w:style>
  <w:style w:type="table" w:default="1" w:styleId="34">
    <w:name w:val="Normal Table"/>
    <w:unhideWhenUsed/>
    <w:qFormat/>
    <w:uiPriority w:val="99"/>
    <w:tblPr>
      <w:tblLayout w:type="fixed"/>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style>
  <w:style w:type="paragraph" w:styleId="12">
    <w:name w:val="caption"/>
    <w:basedOn w:val="1"/>
    <w:next w:val="1"/>
    <w:qFormat/>
    <w:uiPriority w:val="35"/>
    <w:pPr>
      <w:spacing w:line="360" w:lineRule="auto"/>
      <w:jc w:val="center"/>
    </w:pPr>
    <w:rPr>
      <w:rFonts w:ascii="宋体" w:hAnsi="宋体" w:eastAsia="宋体" w:cs="Times New Roman"/>
      <w:b/>
      <w:szCs w:val="21"/>
    </w:rPr>
  </w:style>
  <w:style w:type="paragraph" w:styleId="13">
    <w:name w:val="annotation text"/>
    <w:basedOn w:val="1"/>
    <w:unhideWhenUsed/>
    <w:qFormat/>
    <w:uiPriority w:val="99"/>
    <w:pPr>
      <w:jc w:val="left"/>
    </w:pPr>
  </w:style>
  <w:style w:type="paragraph" w:styleId="14">
    <w:name w:val="Body Text"/>
    <w:basedOn w:val="1"/>
    <w:unhideWhenUsed/>
    <w:qFormat/>
    <w:uiPriority w:val="99"/>
    <w:pPr>
      <w:spacing w:after="120"/>
    </w:pPr>
    <w:rPr>
      <w:rFonts w:ascii="Times New Roman" w:hAnsi="Times New Roman" w:eastAsia="宋体" w:cs="Times New Roman"/>
      <w:sz w:val="24"/>
      <w:szCs w:val="20"/>
    </w:rPr>
  </w:style>
  <w:style w:type="paragraph" w:styleId="15">
    <w:name w:val="Body Text Indent"/>
    <w:basedOn w:val="1"/>
    <w:link w:val="62"/>
    <w:unhideWhenUsed/>
    <w:qFormat/>
    <w:uiPriority w:val="99"/>
    <w:pPr>
      <w:ind w:firstLine="540" w:firstLineChars="225"/>
    </w:pPr>
    <w:rPr>
      <w:rFonts w:ascii="Times New Roman" w:hAnsi="Times New Roman" w:eastAsia="宋体" w:cs="Times New Roman"/>
      <w:szCs w:val="20"/>
    </w:rPr>
  </w:style>
  <w:style w:type="paragraph" w:styleId="16">
    <w:name w:val="List 2"/>
    <w:basedOn w:val="1"/>
    <w:unhideWhenUsed/>
    <w:qFormat/>
    <w:uiPriority w:val="99"/>
    <w:pPr>
      <w:ind w:left="100" w:leftChars="200" w:hanging="200" w:hangingChars="200"/>
    </w:pPr>
  </w:style>
  <w:style w:type="paragraph" w:styleId="17">
    <w:name w:val="toc 5"/>
    <w:basedOn w:val="1"/>
    <w:next w:val="1"/>
    <w:unhideWhenUsed/>
    <w:qFormat/>
    <w:uiPriority w:val="39"/>
    <w:pPr>
      <w:ind w:left="1680" w:leftChars="800"/>
    </w:pPr>
  </w:style>
  <w:style w:type="paragraph" w:styleId="18">
    <w:name w:val="toc 3"/>
    <w:basedOn w:val="1"/>
    <w:next w:val="1"/>
    <w:unhideWhenUsed/>
    <w:qFormat/>
    <w:uiPriority w:val="39"/>
    <w:pPr>
      <w:widowControl/>
      <w:spacing w:after="100" w:line="276" w:lineRule="auto"/>
      <w:ind w:left="440"/>
      <w:jc w:val="left"/>
    </w:pPr>
    <w:rPr>
      <w:kern w:val="0"/>
      <w:sz w:val="22"/>
    </w:rPr>
  </w:style>
  <w:style w:type="paragraph" w:styleId="19">
    <w:name w:val="Plain Text"/>
    <w:basedOn w:val="1"/>
    <w:link w:val="55"/>
    <w:unhideWhenUsed/>
    <w:qFormat/>
    <w:uiPriority w:val="99"/>
    <w:pPr>
      <w:spacing w:line="360" w:lineRule="auto"/>
    </w:pPr>
    <w:rPr>
      <w:rFonts w:ascii="宋体" w:hAnsi="Courier New" w:eastAsia="宋体" w:cs="Times New Roman"/>
      <w:szCs w:val="20"/>
    </w:rPr>
  </w:style>
  <w:style w:type="paragraph" w:styleId="20">
    <w:name w:val="toc 8"/>
    <w:basedOn w:val="1"/>
    <w:next w:val="1"/>
    <w:unhideWhenUsed/>
    <w:qFormat/>
    <w:uiPriority w:val="39"/>
    <w:pPr>
      <w:ind w:left="2940" w:leftChars="1400"/>
    </w:pPr>
  </w:style>
  <w:style w:type="paragraph" w:styleId="21">
    <w:name w:val="Date"/>
    <w:basedOn w:val="1"/>
    <w:next w:val="1"/>
    <w:link w:val="37"/>
    <w:unhideWhenUsed/>
    <w:qFormat/>
    <w:uiPriority w:val="99"/>
    <w:pPr>
      <w:ind w:left="100" w:leftChars="2500"/>
    </w:pPr>
  </w:style>
  <w:style w:type="paragraph" w:styleId="22">
    <w:name w:val="Balloon Text"/>
    <w:basedOn w:val="1"/>
    <w:link w:val="36"/>
    <w:unhideWhenUsed/>
    <w:qFormat/>
    <w:uiPriority w:val="99"/>
    <w:rPr>
      <w:sz w:val="18"/>
      <w:szCs w:val="18"/>
    </w:rPr>
  </w:style>
  <w:style w:type="paragraph" w:styleId="23">
    <w:name w:val="footer"/>
    <w:basedOn w:val="1"/>
    <w:link w:val="41"/>
    <w:unhideWhenUsed/>
    <w:qFormat/>
    <w:uiPriority w:val="0"/>
    <w:pPr>
      <w:tabs>
        <w:tab w:val="center" w:pos="4153"/>
        <w:tab w:val="right" w:pos="8306"/>
      </w:tabs>
      <w:snapToGrid w:val="0"/>
      <w:jc w:val="left"/>
    </w:pPr>
    <w:rPr>
      <w:sz w:val="18"/>
      <w:szCs w:val="18"/>
    </w:rPr>
  </w:style>
  <w:style w:type="paragraph" w:styleId="24">
    <w:name w:val="header"/>
    <w:basedOn w:val="1"/>
    <w:link w:val="40"/>
    <w:unhideWhenUsed/>
    <w:qFormat/>
    <w:uiPriority w:val="0"/>
    <w:pPr>
      <w:pBdr>
        <w:bottom w:val="single" w:color="auto" w:sz="6" w:space="1"/>
      </w:pBdr>
      <w:tabs>
        <w:tab w:val="center" w:pos="4153"/>
        <w:tab w:val="right" w:pos="8306"/>
      </w:tabs>
      <w:snapToGrid w:val="0"/>
      <w:jc w:val="center"/>
    </w:pPr>
    <w:rPr>
      <w:sz w:val="18"/>
      <w:szCs w:val="18"/>
    </w:rPr>
  </w:style>
  <w:style w:type="paragraph" w:styleId="25">
    <w:name w:val="toc 1"/>
    <w:basedOn w:val="1"/>
    <w:next w:val="1"/>
    <w:unhideWhenUsed/>
    <w:qFormat/>
    <w:uiPriority w:val="39"/>
    <w:pPr>
      <w:tabs>
        <w:tab w:val="right" w:leader="dot" w:pos="8302"/>
      </w:tabs>
      <w:spacing w:line="360" w:lineRule="auto"/>
    </w:pPr>
    <w:rPr>
      <w:b/>
    </w:rPr>
  </w:style>
  <w:style w:type="paragraph" w:styleId="26">
    <w:name w:val="toc 4"/>
    <w:basedOn w:val="1"/>
    <w:next w:val="1"/>
    <w:unhideWhenUsed/>
    <w:qFormat/>
    <w:uiPriority w:val="39"/>
    <w:pPr>
      <w:ind w:left="1260" w:leftChars="600"/>
    </w:pPr>
  </w:style>
  <w:style w:type="paragraph" w:styleId="27">
    <w:name w:val="toc 6"/>
    <w:basedOn w:val="1"/>
    <w:next w:val="1"/>
    <w:unhideWhenUsed/>
    <w:qFormat/>
    <w:uiPriority w:val="39"/>
    <w:pPr>
      <w:ind w:left="2100" w:leftChars="1000"/>
    </w:pPr>
  </w:style>
  <w:style w:type="paragraph" w:styleId="28">
    <w:name w:val="toc 2"/>
    <w:basedOn w:val="1"/>
    <w:next w:val="1"/>
    <w:unhideWhenUsed/>
    <w:qFormat/>
    <w:uiPriority w:val="39"/>
    <w:pPr>
      <w:widowControl/>
      <w:tabs>
        <w:tab w:val="right" w:leader="dot" w:pos="8302"/>
      </w:tabs>
      <w:spacing w:line="360" w:lineRule="auto"/>
      <w:ind w:left="221"/>
      <w:jc w:val="left"/>
    </w:pPr>
    <w:rPr>
      <w:kern w:val="0"/>
      <w:sz w:val="22"/>
    </w:rPr>
  </w:style>
  <w:style w:type="paragraph" w:styleId="29">
    <w:name w:val="toc 9"/>
    <w:basedOn w:val="1"/>
    <w:next w:val="1"/>
    <w:unhideWhenUsed/>
    <w:qFormat/>
    <w:uiPriority w:val="39"/>
    <w:pPr>
      <w:ind w:left="3360" w:leftChars="1600"/>
    </w:pPr>
  </w:style>
  <w:style w:type="paragraph" w:styleId="30">
    <w:name w:val="Normal (Web)"/>
    <w:basedOn w:val="1"/>
    <w:unhideWhenUsed/>
    <w:qFormat/>
    <w:uiPriority w:val="99"/>
    <w:pPr>
      <w:widowControl/>
      <w:spacing w:after="150"/>
    </w:pPr>
    <w:rPr>
      <w:rFonts w:ascii="宋体" w:hAnsi="宋体" w:cs="宋体"/>
      <w:sz w:val="24"/>
    </w:rPr>
  </w:style>
  <w:style w:type="character" w:styleId="32">
    <w:name w:val="page number"/>
    <w:basedOn w:val="31"/>
    <w:unhideWhenUsed/>
    <w:qFormat/>
    <w:uiPriority w:val="99"/>
  </w:style>
  <w:style w:type="character" w:styleId="33">
    <w:name w:val="Hyperlink"/>
    <w:basedOn w:val="31"/>
    <w:unhideWhenUsed/>
    <w:qFormat/>
    <w:uiPriority w:val="99"/>
    <w:rPr>
      <w:color w:val="0000FF" w:themeColor="hyperlink"/>
      <w:u w:val="single"/>
      <w14:textFill>
        <w14:solidFill>
          <w14:schemeClr w14:val="hlink"/>
        </w14:solidFill>
      </w14:textFill>
    </w:rPr>
  </w:style>
  <w:style w:type="table" w:styleId="35">
    <w:name w:val="Table Grid"/>
    <w:basedOn w:val="3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6">
    <w:name w:val="批注框文本 Char"/>
    <w:basedOn w:val="31"/>
    <w:link w:val="22"/>
    <w:semiHidden/>
    <w:qFormat/>
    <w:uiPriority w:val="99"/>
    <w:rPr>
      <w:sz w:val="18"/>
      <w:szCs w:val="18"/>
    </w:rPr>
  </w:style>
  <w:style w:type="character" w:customStyle="1" w:styleId="37">
    <w:name w:val="日期 Char"/>
    <w:basedOn w:val="31"/>
    <w:link w:val="21"/>
    <w:semiHidden/>
    <w:qFormat/>
    <w:uiPriority w:val="99"/>
  </w:style>
  <w:style w:type="character" w:customStyle="1" w:styleId="38">
    <w:name w:val="标题 2 Char"/>
    <w:basedOn w:val="31"/>
    <w:link w:val="3"/>
    <w:qFormat/>
    <w:uiPriority w:val="9"/>
    <w:rPr>
      <w:rFonts w:asciiTheme="majorHAnsi" w:hAnsiTheme="majorHAnsi" w:eastAsiaTheme="majorEastAsia" w:cstheme="majorBidi"/>
      <w:b/>
      <w:bCs/>
      <w:sz w:val="32"/>
      <w:szCs w:val="32"/>
    </w:rPr>
  </w:style>
  <w:style w:type="character" w:customStyle="1" w:styleId="39">
    <w:name w:val="标题 3 Char"/>
    <w:basedOn w:val="31"/>
    <w:link w:val="4"/>
    <w:qFormat/>
    <w:uiPriority w:val="9"/>
    <w:rPr>
      <w:b/>
      <w:bCs/>
      <w:sz w:val="32"/>
      <w:szCs w:val="32"/>
    </w:rPr>
  </w:style>
  <w:style w:type="character" w:customStyle="1" w:styleId="40">
    <w:name w:val="页眉 Char"/>
    <w:basedOn w:val="31"/>
    <w:link w:val="24"/>
    <w:qFormat/>
    <w:uiPriority w:val="99"/>
    <w:rPr>
      <w:sz w:val="18"/>
      <w:szCs w:val="18"/>
    </w:rPr>
  </w:style>
  <w:style w:type="character" w:customStyle="1" w:styleId="41">
    <w:name w:val="页脚 Char"/>
    <w:basedOn w:val="31"/>
    <w:link w:val="23"/>
    <w:qFormat/>
    <w:uiPriority w:val="99"/>
    <w:rPr>
      <w:sz w:val="18"/>
      <w:szCs w:val="18"/>
    </w:rPr>
  </w:style>
  <w:style w:type="character" w:customStyle="1" w:styleId="42">
    <w:name w:val="标题 1 Char"/>
    <w:basedOn w:val="31"/>
    <w:link w:val="2"/>
    <w:qFormat/>
    <w:uiPriority w:val="9"/>
    <w:rPr>
      <w:b/>
      <w:bCs/>
      <w:kern w:val="44"/>
      <w:sz w:val="44"/>
      <w:szCs w:val="44"/>
    </w:rPr>
  </w:style>
  <w:style w:type="paragraph" w:customStyle="1" w:styleId="43">
    <w:name w:val="List Paragraph"/>
    <w:basedOn w:val="1"/>
    <w:qFormat/>
    <w:uiPriority w:val="34"/>
    <w:pPr>
      <w:ind w:firstLine="420" w:firstLineChars="200"/>
    </w:pPr>
  </w:style>
  <w:style w:type="character" w:customStyle="1" w:styleId="44">
    <w:name w:val="标题 4 Char"/>
    <w:basedOn w:val="31"/>
    <w:link w:val="5"/>
    <w:qFormat/>
    <w:uiPriority w:val="9"/>
    <w:rPr>
      <w:rFonts w:asciiTheme="majorHAnsi" w:hAnsiTheme="majorHAnsi" w:eastAsiaTheme="majorEastAsia" w:cstheme="majorBidi"/>
      <w:b/>
      <w:bCs/>
      <w:sz w:val="28"/>
      <w:szCs w:val="28"/>
    </w:rPr>
  </w:style>
  <w:style w:type="character" w:customStyle="1" w:styleId="45">
    <w:name w:val="标题 5 Char"/>
    <w:basedOn w:val="31"/>
    <w:link w:val="6"/>
    <w:qFormat/>
    <w:uiPriority w:val="9"/>
    <w:rPr>
      <w:b/>
      <w:bCs/>
      <w:sz w:val="28"/>
      <w:szCs w:val="28"/>
    </w:rPr>
  </w:style>
  <w:style w:type="character" w:customStyle="1" w:styleId="46">
    <w:name w:val="标题 6 Char"/>
    <w:basedOn w:val="31"/>
    <w:link w:val="7"/>
    <w:qFormat/>
    <w:uiPriority w:val="9"/>
    <w:rPr>
      <w:rFonts w:asciiTheme="majorHAnsi" w:hAnsiTheme="majorHAnsi" w:eastAsiaTheme="majorEastAsia" w:cstheme="majorBidi"/>
      <w:b/>
      <w:bCs/>
      <w:sz w:val="24"/>
      <w:szCs w:val="24"/>
    </w:rPr>
  </w:style>
  <w:style w:type="paragraph" w:customStyle="1" w:styleId="47">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48">
    <w:name w:val="页脚1"/>
    <w:basedOn w:val="1"/>
    <w:qFormat/>
    <w:uiPriority w:val="0"/>
    <w:pPr>
      <w:tabs>
        <w:tab w:val="center" w:pos="4153"/>
        <w:tab w:val="right" w:pos="8306"/>
      </w:tabs>
      <w:snapToGrid w:val="0"/>
      <w:ind w:left="567"/>
      <w:jc w:val="left"/>
    </w:pPr>
    <w:rPr>
      <w:rFonts w:ascii="Calibri" w:hAnsi="Calibri" w:eastAsia="宋体" w:cs="黑体"/>
      <w:sz w:val="18"/>
      <w:szCs w:val="18"/>
    </w:rPr>
  </w:style>
  <w:style w:type="character" w:customStyle="1" w:styleId="49">
    <w:name w:val="标题 7 Char"/>
    <w:basedOn w:val="31"/>
    <w:link w:val="8"/>
    <w:qFormat/>
    <w:uiPriority w:val="9"/>
    <w:rPr>
      <w:rFonts w:ascii="Times New Roman" w:hAnsi="Times New Roman" w:eastAsia="黑体" w:cs="Times New Roman"/>
      <w:bCs/>
      <w:szCs w:val="20"/>
    </w:rPr>
  </w:style>
  <w:style w:type="paragraph" w:customStyle="1" w:styleId="50">
    <w:name w:val="首行缩进:  2 字符"/>
    <w:basedOn w:val="1"/>
    <w:qFormat/>
    <w:uiPriority w:val="0"/>
    <w:pPr>
      <w:spacing w:line="360" w:lineRule="auto"/>
      <w:ind w:firstLine="480"/>
    </w:pPr>
    <w:rPr>
      <w:rFonts w:ascii="Calibri" w:hAnsi="Calibri" w:eastAsia="宋体" w:cs="宋体"/>
      <w:szCs w:val="21"/>
    </w:rPr>
  </w:style>
  <w:style w:type="paragraph" w:customStyle="1" w:styleId="51">
    <w:name w:val="列出段落1"/>
    <w:basedOn w:val="1"/>
    <w:qFormat/>
    <w:uiPriority w:val="34"/>
    <w:pPr>
      <w:ind w:firstLine="420" w:firstLineChars="200"/>
    </w:pPr>
    <w:rPr>
      <w:rFonts w:ascii="Calibri" w:hAnsi="Calibri" w:eastAsia="宋体" w:cs="黑体"/>
    </w:rPr>
  </w:style>
  <w:style w:type="paragraph" w:customStyle="1" w:styleId="52">
    <w:name w:val="_正文"/>
    <w:basedOn w:val="1"/>
    <w:qFormat/>
    <w:uiPriority w:val="0"/>
    <w:pPr>
      <w:adjustRightInd w:val="0"/>
      <w:snapToGrid w:val="0"/>
      <w:spacing w:line="360" w:lineRule="auto"/>
      <w:ind w:firstLine="200" w:firstLineChars="200"/>
    </w:pPr>
    <w:rPr>
      <w:rFonts w:ascii="Times New Roman" w:hAnsi="Times New Roman" w:eastAsia="宋体" w:cs="Times New Roman"/>
      <w:szCs w:val="20"/>
    </w:rPr>
  </w:style>
  <w:style w:type="paragraph" w:customStyle="1" w:styleId="53">
    <w:name w:val="图片正文"/>
    <w:basedOn w:val="1"/>
    <w:qFormat/>
    <w:uiPriority w:val="0"/>
    <w:pPr>
      <w:jc w:val="center"/>
    </w:pPr>
    <w:rPr>
      <w:rFonts w:ascii="Times New Roman" w:hAnsi="Times New Roman" w:eastAsia="宋体" w:cs="Times New Roman"/>
      <w:szCs w:val="20"/>
    </w:rPr>
  </w:style>
  <w:style w:type="paragraph" w:customStyle="1" w:styleId="54">
    <w:name w:val="表格正文"/>
    <w:basedOn w:val="1"/>
    <w:qFormat/>
    <w:uiPriority w:val="34"/>
    <w:pPr>
      <w:adjustRightInd w:val="0"/>
      <w:snapToGrid w:val="0"/>
      <w:spacing w:beforeLines="15" w:afterLines="15"/>
      <w:ind w:right="-107" w:rightChars="-51"/>
    </w:pPr>
    <w:rPr>
      <w:rFonts w:ascii="宋体" w:hAnsi="宋体" w:eastAsia="宋体" w:cs="Times New Roman"/>
      <w:szCs w:val="20"/>
    </w:rPr>
  </w:style>
  <w:style w:type="character" w:customStyle="1" w:styleId="55">
    <w:name w:val="纯文本 Char"/>
    <w:basedOn w:val="31"/>
    <w:link w:val="19"/>
    <w:qFormat/>
    <w:uiPriority w:val="99"/>
    <w:rPr>
      <w:rFonts w:ascii="宋体" w:hAnsi="Courier New" w:eastAsia="宋体" w:cs="Times New Roman"/>
      <w:szCs w:val="20"/>
    </w:rPr>
  </w:style>
  <w:style w:type="paragraph" w:customStyle="1" w:styleId="56">
    <w:name w:val="正文1"/>
    <w:basedOn w:val="1"/>
    <w:qFormat/>
    <w:uiPriority w:val="0"/>
    <w:pPr>
      <w:spacing w:line="440" w:lineRule="atLeast"/>
      <w:ind w:firstLine="480" w:firstLineChars="200"/>
    </w:pPr>
    <w:rPr>
      <w:rFonts w:ascii="Times New Roman" w:hAnsi="Times New Roman" w:eastAsia="宋体" w:cs="Times New Roman"/>
      <w:kern w:val="0"/>
      <w:szCs w:val="20"/>
    </w:rPr>
  </w:style>
  <w:style w:type="paragraph" w:customStyle="1" w:styleId="57">
    <w:name w:val="段落正文"/>
    <w:basedOn w:val="1"/>
    <w:qFormat/>
    <w:uiPriority w:val="0"/>
    <w:pPr>
      <w:spacing w:line="360" w:lineRule="auto"/>
      <w:ind w:firstLine="200" w:firstLineChars="200"/>
    </w:pPr>
    <w:rPr>
      <w:rFonts w:ascii="Times New Roman" w:hAnsi="Times New Roman" w:eastAsia="宋体" w:cs="Times New Roman"/>
      <w:szCs w:val="20"/>
    </w:rPr>
  </w:style>
  <w:style w:type="paragraph" w:customStyle="1" w:styleId="58">
    <w:name w:val="正文."/>
    <w:qFormat/>
    <w:uiPriority w:val="99"/>
    <w:pPr>
      <w:spacing w:line="300" w:lineRule="auto"/>
    </w:pPr>
    <w:rPr>
      <w:rFonts w:ascii="Arial" w:hAnsi="Arial" w:eastAsia="宋体" w:cs="Times New Roman"/>
      <w:kern w:val="0"/>
      <w:sz w:val="21"/>
      <w:szCs w:val="21"/>
      <w:lang w:val="en-US" w:eastAsia="zh-CN" w:bidi="ar-SA"/>
    </w:rPr>
  </w:style>
  <w:style w:type="paragraph" w:customStyle="1" w:styleId="59">
    <w:name w:val="标书正文"/>
    <w:basedOn w:val="1"/>
    <w:qFormat/>
    <w:uiPriority w:val="0"/>
    <w:pPr>
      <w:ind w:left="-24" w:firstLine="564" w:firstLineChars="235"/>
    </w:pPr>
    <w:rPr>
      <w:rFonts w:ascii="Times New Roman" w:hAnsi="Times New Roman" w:eastAsia="宋体" w:cs="Times New Roman"/>
      <w:szCs w:val="20"/>
    </w:rPr>
  </w:style>
  <w:style w:type="paragraph" w:customStyle="1" w:styleId="60">
    <w:name w:val="tytytyty"/>
    <w:basedOn w:val="1"/>
    <w:qFormat/>
    <w:uiPriority w:val="0"/>
    <w:pPr>
      <w:spacing w:line="360" w:lineRule="auto"/>
      <w:ind w:left="359" w:leftChars="171" w:firstLine="480" w:firstLineChars="200"/>
    </w:pPr>
    <w:rPr>
      <w:rFonts w:ascii="Times New Roman" w:hAnsi="Times New Roman" w:eastAsia="宋体" w:cs="Times New Roman"/>
      <w:szCs w:val="20"/>
    </w:rPr>
  </w:style>
  <w:style w:type="paragraph" w:customStyle="1" w:styleId="61">
    <w:name w:val="正文内容"/>
    <w:basedOn w:val="1"/>
    <w:qFormat/>
    <w:uiPriority w:val="0"/>
    <w:pPr>
      <w:spacing w:line="400" w:lineRule="exact"/>
      <w:ind w:firstLine="472" w:firstLineChars="200"/>
    </w:pPr>
    <w:rPr>
      <w:rFonts w:ascii="宋体" w:hAnsi="宋体" w:eastAsia="宋体" w:cs="Times New Roman"/>
      <w:spacing w:val="-2"/>
      <w:sz w:val="24"/>
      <w:szCs w:val="20"/>
    </w:rPr>
  </w:style>
  <w:style w:type="character" w:customStyle="1" w:styleId="62">
    <w:name w:val="正文文本缩进 Char"/>
    <w:basedOn w:val="31"/>
    <w:link w:val="15"/>
    <w:qFormat/>
    <w:uiPriority w:val="99"/>
    <w:rPr>
      <w:rFonts w:ascii="Times New Roman" w:hAnsi="Times New Roman" w:eastAsia="宋体" w:cs="Times New Roman"/>
      <w:szCs w:val="20"/>
    </w:rPr>
  </w:style>
  <w:style w:type="paragraph" w:customStyle="1" w:styleId="63">
    <w:name w:val="正文 New"/>
    <w:qFormat/>
    <w:uiPriority w:val="99"/>
    <w:pPr>
      <w:widowControl w:val="0"/>
      <w:jc w:val="both"/>
    </w:pPr>
    <w:rPr>
      <w:rFonts w:ascii="Times New Roman" w:hAnsi="Times New Roman" w:eastAsia="宋体" w:cs="Times New Roman"/>
      <w:kern w:val="96"/>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6" Type="http://schemas.openxmlformats.org/officeDocument/2006/relationships/fontTable" Target="fontTable.xml"/><Relationship Id="rId65" Type="http://schemas.openxmlformats.org/officeDocument/2006/relationships/customXml" Target="../customXml/item2.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46.png"/><Relationship Id="rId61" Type="http://schemas.openxmlformats.org/officeDocument/2006/relationships/image" Target="media/image45.png"/><Relationship Id="rId60" Type="http://schemas.openxmlformats.org/officeDocument/2006/relationships/image" Target="media/image44.png"/><Relationship Id="rId6" Type="http://schemas.openxmlformats.org/officeDocument/2006/relationships/footer" Target="footer2.xml"/><Relationship Id="rId59" Type="http://schemas.openxmlformats.org/officeDocument/2006/relationships/image" Target="media/image43.png"/><Relationship Id="rId58" Type="http://schemas.openxmlformats.org/officeDocument/2006/relationships/image" Target="media/image42.emf"/><Relationship Id="rId57" Type="http://schemas.openxmlformats.org/officeDocument/2006/relationships/oleObject" Target="embeddings/oleObject9.bin"/><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emf"/><Relationship Id="rId53" Type="http://schemas.openxmlformats.org/officeDocument/2006/relationships/oleObject" Target="embeddings/oleObject8.bin"/><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2.xml"/><Relationship Id="rId49" Type="http://schemas.openxmlformats.org/officeDocument/2006/relationships/image" Target="media/image35.png"/><Relationship Id="rId48" Type="http://schemas.openxmlformats.org/officeDocument/2006/relationships/image" Target="media/image34.emf"/><Relationship Id="rId47" Type="http://schemas.openxmlformats.org/officeDocument/2006/relationships/oleObject" Target="embeddings/oleObject7.bin"/><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emf"/><Relationship Id="rId40" Type="http://schemas.openxmlformats.org/officeDocument/2006/relationships/oleObject" Target="embeddings/oleObject6.bin"/><Relationship Id="rId4" Type="http://schemas.openxmlformats.org/officeDocument/2006/relationships/footer" Target="footer1.xml"/><Relationship Id="rId39" Type="http://schemas.openxmlformats.org/officeDocument/2006/relationships/image" Target="media/image27.emf"/><Relationship Id="rId38" Type="http://schemas.openxmlformats.org/officeDocument/2006/relationships/oleObject" Target="embeddings/oleObject5.bin"/><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emf"/><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emf"/><Relationship Id="rId26" Type="http://schemas.openxmlformats.org/officeDocument/2006/relationships/oleObject" Target="embeddings/oleObject4.bin"/><Relationship Id="rId25" Type="http://schemas.openxmlformats.org/officeDocument/2006/relationships/image" Target="media/image15.emf"/><Relationship Id="rId24" Type="http://schemas.openxmlformats.org/officeDocument/2006/relationships/oleObject" Target="embeddings/oleObject3.bin"/><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e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3F9F0D-006A-4C84-BD57-35BA0ACECABB}">
  <ds:schemaRefs/>
</ds:datastoreItem>
</file>

<file path=docProps/app.xml><?xml version="1.0" encoding="utf-8"?>
<Properties xmlns="http://schemas.openxmlformats.org/officeDocument/2006/extended-properties" xmlns:vt="http://schemas.openxmlformats.org/officeDocument/2006/docPropsVTypes">
  <Template>Normal.dotm</Template>
  <Pages>983</Pages>
  <Words>65836</Words>
  <Characters>375269</Characters>
  <Lines>3127</Lines>
  <Paragraphs>880</Paragraphs>
  <ScaleCrop>false</ScaleCrop>
  <LinksUpToDate>false</LinksUpToDate>
  <CharactersWithSpaces>440225</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2016-02-26T12:17:00Z</dcterms:created>
  <dc:creator>myuan</dc:creator>
  <cp:lastModifiedBy>ldh</cp:lastModifiedBy>
  <cp:lastPrinted>2016-02-25T07:40:00Z</cp:lastPrinted>
  <dcterms:modified xsi:type="dcterms:W3CDTF">2017-09-20T08:25:20Z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